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31" w:type="pct"/>
        <w:tblInd w:w="-176" w:type="dxa"/>
        <w:tblLayout w:type="fixed"/>
        <w:tblLook w:val="01E0" w:firstRow="1" w:lastRow="1" w:firstColumn="1" w:lastColumn="1" w:noHBand="0" w:noVBand="0"/>
      </w:tblPr>
      <w:tblGrid>
        <w:gridCol w:w="10267"/>
      </w:tblGrid>
      <w:tr w:rsidR="00D2402E" w:rsidRPr="00862949" w14:paraId="23F65E4A" w14:textId="77777777" w:rsidTr="009B0BCE">
        <w:trPr>
          <w:trHeight w:val="192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5DBC82E4" w14:textId="77777777" w:rsidR="00D2402E" w:rsidRPr="00E369CC" w:rsidRDefault="00860B89" w:rsidP="00F81A28">
            <w:pPr>
              <w:jc w:val="right"/>
              <w:rPr>
                <w:rFonts w:cs="Arial"/>
                <w:b/>
                <w:bCs/>
                <w:iCs/>
                <w:color w:val="0070C0"/>
                <w:sz w:val="15"/>
                <w:szCs w:val="15"/>
                <w:lang w:val="en-US"/>
              </w:rPr>
            </w:pPr>
            <w:r>
              <w:rPr>
                <w:rFonts w:cs="Arial"/>
                <w:b/>
                <w:bCs/>
                <w:iCs/>
                <w:color w:val="333399"/>
                <w:sz w:val="15"/>
                <w:szCs w:val="15"/>
                <w:lang w:val="en-US"/>
              </w:rPr>
              <w:t xml:space="preserve">  </w:t>
            </w:r>
            <w:r w:rsidR="00A3053B">
              <w:rPr>
                <w:rFonts w:cs="Arial"/>
                <w:b/>
                <w:bCs/>
                <w:iCs/>
                <w:color w:val="333399"/>
                <w:sz w:val="15"/>
                <w:szCs w:val="15"/>
                <w:lang w:val="en-US"/>
              </w:rPr>
              <w:t xml:space="preserve"> </w:t>
            </w:r>
            <w:r w:rsidR="00AB34E3" w:rsidRPr="00862949">
              <w:rPr>
                <w:rFonts w:cs="Arial"/>
                <w:b/>
                <w:bCs/>
                <w:iCs/>
                <w:color w:val="333399"/>
                <w:sz w:val="15"/>
                <w:szCs w:val="15"/>
                <w:lang w:val="en-US"/>
              </w:rPr>
              <w:t xml:space="preserve"> </w:t>
            </w:r>
            <w:r w:rsidR="009C539A" w:rsidRPr="00862949">
              <w:rPr>
                <w:rFonts w:cs="Arial"/>
                <w:b/>
                <w:bCs/>
                <w:iCs/>
                <w:color w:val="333399"/>
                <w:sz w:val="15"/>
                <w:szCs w:val="15"/>
                <w:lang w:val="en-US"/>
              </w:rPr>
              <w:t xml:space="preserve"> </w:t>
            </w:r>
            <w:hyperlink r:id="rId8" w:tgtFrame="_blank" w:history="1">
              <w:r w:rsidR="00F81A28" w:rsidRPr="009B0BCE">
                <w:rPr>
                  <w:rStyle w:val="Hyperlink"/>
                  <w:rFonts w:ascii="Arial" w:hAnsi="Arial" w:cs="Arial"/>
                  <w:b/>
                  <w:bCs/>
                  <w:iCs/>
                  <w:color w:val="0070C0"/>
                  <w:sz w:val="20"/>
                  <w:szCs w:val="15"/>
                  <w:lang w:val="en-US"/>
                </w:rPr>
                <w:t>SPS</w:t>
              </w:r>
              <w:r w:rsidR="00D2402E" w:rsidRPr="009B0BCE">
                <w:rPr>
                  <w:rStyle w:val="Hyperlink"/>
                  <w:rFonts w:ascii="Arial" w:hAnsi="Arial" w:cs="Arial"/>
                  <w:b/>
                  <w:bCs/>
                  <w:iCs/>
                  <w:color w:val="0070C0"/>
                  <w:sz w:val="20"/>
                  <w:szCs w:val="15"/>
                  <w:lang w:val="en-US"/>
                </w:rPr>
                <w:t xml:space="preserve"> home</w:t>
              </w:r>
            </w:hyperlink>
            <w:r w:rsidR="00D2402E" w:rsidRPr="009B0BCE">
              <w:rPr>
                <w:rFonts w:cs="Arial"/>
                <w:b/>
                <w:bCs/>
                <w:iCs/>
                <w:color w:val="0070C0"/>
                <w:sz w:val="20"/>
                <w:szCs w:val="15"/>
                <w:lang w:val="en-US"/>
              </w:rPr>
              <w:t xml:space="preserve"> | </w:t>
            </w:r>
            <w:hyperlink r:id="rId9" w:history="1">
              <w:r w:rsidR="00D2402E" w:rsidRPr="009B0BCE">
                <w:rPr>
                  <w:rStyle w:val="Hyperlink"/>
                  <w:rFonts w:ascii="Arial" w:hAnsi="Arial" w:cs="Arial"/>
                  <w:b/>
                  <w:bCs/>
                  <w:iCs/>
                  <w:color w:val="0070C0"/>
                  <w:sz w:val="20"/>
                  <w:szCs w:val="15"/>
                  <w:lang w:val="en-US"/>
                </w:rPr>
                <w:t>Contact</w:t>
              </w:r>
            </w:hyperlink>
          </w:p>
        </w:tc>
      </w:tr>
    </w:tbl>
    <w:p w14:paraId="3D8C0138" w14:textId="77777777" w:rsidR="00B85859" w:rsidRDefault="00B85859" w:rsidP="00727945">
      <w:pPr>
        <w:rPr>
          <w:rFonts w:ascii="Latha" w:hAnsi="Latha" w:cs="Latha"/>
          <w:sz w:val="8"/>
          <w:szCs w:val="8"/>
        </w:rPr>
      </w:pPr>
    </w:p>
    <w:tbl>
      <w:tblPr>
        <w:tblW w:w="5170" w:type="pct"/>
        <w:tblInd w:w="-176" w:type="dxa"/>
        <w:tblLayout w:type="fixed"/>
        <w:tblLook w:val="01E0" w:firstRow="1" w:lastRow="1" w:firstColumn="1" w:lastColumn="1" w:noHBand="0" w:noVBand="0"/>
      </w:tblPr>
      <w:tblGrid>
        <w:gridCol w:w="3011"/>
        <w:gridCol w:w="7540"/>
      </w:tblGrid>
      <w:tr w:rsidR="0020101A" w:rsidRPr="00862949" w14:paraId="05AF4283" w14:textId="77777777" w:rsidTr="002772ED">
        <w:tc>
          <w:tcPr>
            <w:tcW w:w="5000" w:type="pct"/>
            <w:gridSpan w:val="2"/>
            <w:shd w:val="clear" w:color="auto" w:fill="0070C0"/>
            <w:tcMar>
              <w:top w:w="85" w:type="dxa"/>
              <w:bottom w:w="85" w:type="dxa"/>
            </w:tcMar>
            <w:vAlign w:val="bottom"/>
          </w:tcPr>
          <w:p w14:paraId="3F178DFF" w14:textId="77777777" w:rsidR="0020101A" w:rsidRPr="00862949" w:rsidRDefault="0020101A" w:rsidP="00720F9E">
            <w:pPr>
              <w:rPr>
                <w:rFonts w:cs="Arial"/>
                <w:color w:val="FFFFFF"/>
                <w:sz w:val="15"/>
                <w:szCs w:val="15"/>
              </w:rPr>
            </w:pPr>
            <w:r>
              <w:rPr>
                <w:rFonts w:cs="Arial"/>
                <w:b/>
                <w:bCs/>
                <w:iCs/>
                <w:color w:val="FFFFFF"/>
                <w:sz w:val="28"/>
                <w:szCs w:val="28"/>
                <w:lang w:val="en-US"/>
              </w:rPr>
              <w:t>New product information</w:t>
            </w:r>
            <w:r w:rsidRPr="00862949">
              <w:rPr>
                <w:rFonts w:cs="Arial"/>
                <w:b/>
                <w:bCs/>
                <w:iCs/>
                <w:color w:val="FFFFFF"/>
                <w:sz w:val="28"/>
                <w:szCs w:val="28"/>
                <w:lang w:val="en-US"/>
              </w:rPr>
              <w:tab/>
            </w:r>
          </w:p>
        </w:tc>
      </w:tr>
      <w:tr w:rsidR="0020101A" w:rsidRPr="00862949" w14:paraId="5A25D7D4" w14:textId="77777777" w:rsidTr="002772ED">
        <w:tc>
          <w:tcPr>
            <w:tcW w:w="5000" w:type="pct"/>
            <w:gridSpan w:val="2"/>
            <w:shd w:val="clear" w:color="auto" w:fill="DAEEF3"/>
            <w:tcMar>
              <w:top w:w="0" w:type="dxa"/>
              <w:bottom w:w="0" w:type="dxa"/>
            </w:tcMar>
          </w:tcPr>
          <w:p w14:paraId="2F974B05" w14:textId="77777777" w:rsidR="0020101A" w:rsidRPr="00862949" w:rsidRDefault="0020101A" w:rsidP="00720F9E">
            <w:pPr>
              <w:rPr>
                <w:rFonts w:cs="Arial"/>
                <w:b/>
                <w:bCs/>
                <w:i/>
                <w:iCs/>
                <w:color w:val="000000"/>
                <w:sz w:val="8"/>
                <w:szCs w:val="8"/>
                <w:lang w:val="en-US"/>
              </w:rPr>
            </w:pPr>
          </w:p>
        </w:tc>
      </w:tr>
      <w:tr w:rsidR="0020101A" w:rsidRPr="00862949" w14:paraId="3ED123FC" w14:textId="77777777" w:rsidTr="002772ED">
        <w:tc>
          <w:tcPr>
            <w:tcW w:w="5000" w:type="pct"/>
            <w:gridSpan w:val="2"/>
            <w:shd w:val="clear" w:color="auto" w:fill="00B050"/>
            <w:tcMar>
              <w:top w:w="57" w:type="dxa"/>
              <w:bottom w:w="57" w:type="dxa"/>
            </w:tcMar>
          </w:tcPr>
          <w:p w14:paraId="78D5D81F" w14:textId="77777777" w:rsidR="0020101A" w:rsidRPr="00433D3E" w:rsidRDefault="0020101A" w:rsidP="00720F9E">
            <w:pPr>
              <w:rPr>
                <w:rFonts w:cs="Arial"/>
                <w:color w:val="FFFFFF"/>
                <w:sz w:val="20"/>
                <w:szCs w:val="20"/>
              </w:rPr>
            </w:pPr>
            <w:r w:rsidRPr="00433D3E">
              <w:rPr>
                <w:rFonts w:cs="Arial"/>
                <w:b/>
                <w:bCs/>
                <w:i/>
                <w:iCs/>
                <w:color w:val="FFFFFF"/>
                <w:sz w:val="22"/>
                <w:szCs w:val="20"/>
                <w:lang w:val="en-US"/>
              </w:rPr>
              <w:t xml:space="preserve">Launched in the UK (or </w:t>
            </w:r>
            <w:proofErr w:type="spellStart"/>
            <w:r w:rsidRPr="00433D3E">
              <w:rPr>
                <w:rFonts w:cs="Arial"/>
                <w:b/>
                <w:bCs/>
                <w:i/>
                <w:iCs/>
                <w:color w:val="FFFFFF"/>
                <w:sz w:val="22"/>
                <w:szCs w:val="20"/>
                <w:lang w:val="en-US"/>
              </w:rPr>
              <w:t>licence</w:t>
            </w:r>
            <w:proofErr w:type="spellEnd"/>
            <w:r w:rsidRPr="00433D3E">
              <w:rPr>
                <w:rFonts w:cs="Arial"/>
                <w:b/>
                <w:bCs/>
                <w:i/>
                <w:iCs/>
                <w:color w:val="FFFFFF"/>
                <w:sz w:val="22"/>
                <w:szCs w:val="20"/>
                <w:lang w:val="en-US"/>
              </w:rPr>
              <w:t xml:space="preserve"> change for existing products)</w:t>
            </w:r>
          </w:p>
        </w:tc>
      </w:tr>
      <w:tr w:rsidR="003C1F60" w:rsidRPr="00131D4C" w14:paraId="070EE61A" w14:textId="77777777" w:rsidTr="003F7448">
        <w:tc>
          <w:tcPr>
            <w:tcW w:w="1427" w:type="pct"/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095093DF" w14:textId="77777777" w:rsidR="003C1F60" w:rsidRDefault="003C1F60" w:rsidP="00F6236B">
            <w:pPr>
              <w:rPr>
                <w:rFonts w:cs="Arial"/>
                <w:szCs w:val="19"/>
              </w:rPr>
            </w:pPr>
            <w:proofErr w:type="spellStart"/>
            <w:r>
              <w:rPr>
                <w:rFonts w:cs="Arial"/>
                <w:szCs w:val="19"/>
              </w:rPr>
              <w:t>Abaloparatide</w:t>
            </w:r>
            <w:proofErr w:type="spellEnd"/>
            <w:r>
              <w:rPr>
                <w:rFonts w:cs="Arial"/>
                <w:szCs w:val="19"/>
              </w:rPr>
              <w:t xml:space="preserve"> (</w:t>
            </w:r>
            <w:proofErr w:type="spellStart"/>
            <w:r>
              <w:rPr>
                <w:rFonts w:cs="Arial"/>
                <w:i/>
                <w:iCs/>
                <w:szCs w:val="19"/>
              </w:rPr>
              <w:t>Eladynos</w:t>
            </w:r>
            <w:proofErr w:type="spellEnd"/>
            <w:r>
              <w:rPr>
                <w:rFonts w:cs="Arial"/>
                <w:szCs w:val="19"/>
              </w:rPr>
              <w:t>)</w:t>
            </w:r>
          </w:p>
          <w:p w14:paraId="56E53578" w14:textId="0A003726" w:rsidR="003C1F60" w:rsidRPr="003C1F60" w:rsidRDefault="003C1F60" w:rsidP="00F6236B">
            <w:pPr>
              <w:rPr>
                <w:rFonts w:cs="Arial"/>
                <w:szCs w:val="19"/>
              </w:rPr>
            </w:pPr>
            <w:r w:rsidRPr="003C1F60">
              <w:rPr>
                <w:rFonts w:cs="Arial"/>
                <w:sz w:val="18"/>
                <w:szCs w:val="18"/>
              </w:rPr>
              <w:t>3mg in 1.5mL prefilled pen</w:t>
            </w:r>
          </w:p>
        </w:tc>
        <w:tc>
          <w:tcPr>
            <w:tcW w:w="3573" w:type="pct"/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32411D54" w14:textId="1F8C22D3" w:rsidR="003C1F60" w:rsidRPr="00552108" w:rsidRDefault="003C1F60" w:rsidP="00F6236B">
            <w:pPr>
              <w:tabs>
                <w:tab w:val="center" w:pos="3152"/>
              </w:tabs>
              <w:rPr>
                <w:rFonts w:cs="Arial"/>
                <w:szCs w:val="19"/>
                <w:lang w:val="en-US"/>
              </w:rPr>
            </w:pPr>
            <w:r w:rsidRPr="003C1F60">
              <w:rPr>
                <w:rFonts w:cs="Arial"/>
                <w:szCs w:val="19"/>
                <w:lang w:val="en-US"/>
              </w:rPr>
              <w:t>Treatment of osteoporosis in postmenopausal women at increased risk of fracture</w:t>
            </w:r>
          </w:p>
        </w:tc>
      </w:tr>
      <w:tr w:rsidR="00F6236B" w:rsidRPr="00131D4C" w14:paraId="47D8DC7F" w14:textId="77777777" w:rsidTr="003F7448">
        <w:tc>
          <w:tcPr>
            <w:tcW w:w="1427" w:type="pct"/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5E7CD097" w14:textId="77777777" w:rsidR="00F6236B" w:rsidRDefault="00F6236B" w:rsidP="00F6236B">
            <w:pPr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Aripiprazole (</w:t>
            </w:r>
            <w:r w:rsidRPr="00552108">
              <w:rPr>
                <w:rFonts w:cs="Arial"/>
                <w:i/>
                <w:iCs/>
                <w:szCs w:val="19"/>
              </w:rPr>
              <w:t xml:space="preserve">Abilify </w:t>
            </w:r>
            <w:proofErr w:type="spellStart"/>
            <w:r w:rsidRPr="00552108">
              <w:rPr>
                <w:rFonts w:cs="Arial"/>
                <w:i/>
                <w:iCs/>
                <w:szCs w:val="19"/>
              </w:rPr>
              <w:t>Maintena</w:t>
            </w:r>
            <w:proofErr w:type="spellEnd"/>
            <w:r>
              <w:rPr>
                <w:rFonts w:cs="Arial"/>
                <w:szCs w:val="19"/>
              </w:rPr>
              <w:t>)</w:t>
            </w:r>
            <w:r w:rsidRPr="00552108">
              <w:rPr>
                <w:rFonts w:cs="Arial"/>
                <w:szCs w:val="19"/>
              </w:rPr>
              <w:t xml:space="preserve"> </w:t>
            </w:r>
          </w:p>
          <w:p w14:paraId="785E44CC" w14:textId="755B0A64" w:rsidR="00F6236B" w:rsidRPr="0011452F" w:rsidRDefault="00F6236B" w:rsidP="00F6236B">
            <w:pPr>
              <w:rPr>
                <w:rFonts w:cs="Arial"/>
                <w:szCs w:val="19"/>
              </w:rPr>
            </w:pPr>
            <w:r w:rsidRPr="00552108">
              <w:rPr>
                <w:rFonts w:cs="Arial"/>
                <w:sz w:val="16"/>
                <w:szCs w:val="16"/>
              </w:rPr>
              <w:t xml:space="preserve">960mg in 3.2mL </w:t>
            </w:r>
            <w:r>
              <w:rPr>
                <w:rFonts w:cs="Arial"/>
                <w:sz w:val="16"/>
                <w:szCs w:val="16"/>
              </w:rPr>
              <w:t xml:space="preserve">and 720mg in 2.4mL </w:t>
            </w:r>
            <w:r w:rsidRPr="00552108">
              <w:rPr>
                <w:rFonts w:cs="Arial"/>
                <w:sz w:val="16"/>
                <w:szCs w:val="16"/>
              </w:rPr>
              <w:t>prefilled syringe</w:t>
            </w:r>
            <w:r>
              <w:rPr>
                <w:rFonts w:cs="Arial"/>
                <w:sz w:val="16"/>
                <w:szCs w:val="16"/>
              </w:rPr>
              <w:t>s</w:t>
            </w:r>
          </w:p>
        </w:tc>
        <w:tc>
          <w:tcPr>
            <w:tcW w:w="3573" w:type="pct"/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53824689" w14:textId="5CDA0001" w:rsidR="00F6236B" w:rsidRPr="009C4947" w:rsidRDefault="00F6236B" w:rsidP="00F6236B">
            <w:pPr>
              <w:tabs>
                <w:tab w:val="center" w:pos="3152"/>
              </w:tabs>
              <w:rPr>
                <w:rFonts w:cs="Arial"/>
                <w:szCs w:val="19"/>
                <w:lang w:val="en-US"/>
              </w:rPr>
            </w:pPr>
            <w:r w:rsidRPr="00552108">
              <w:rPr>
                <w:rFonts w:cs="Arial"/>
                <w:szCs w:val="19"/>
                <w:lang w:val="en-US"/>
              </w:rPr>
              <w:t xml:space="preserve">Maintenance treatment of schizophrenia in adult patients </w:t>
            </w:r>
            <w:proofErr w:type="spellStart"/>
            <w:r w:rsidRPr="00552108">
              <w:rPr>
                <w:rFonts w:cs="Arial"/>
                <w:szCs w:val="19"/>
                <w:lang w:val="en-US"/>
              </w:rPr>
              <w:t>stabilised</w:t>
            </w:r>
            <w:proofErr w:type="spellEnd"/>
            <w:r w:rsidRPr="00552108">
              <w:rPr>
                <w:rFonts w:cs="Arial"/>
                <w:szCs w:val="19"/>
                <w:lang w:val="en-US"/>
              </w:rPr>
              <w:t xml:space="preserve"> with aripiprazole</w:t>
            </w:r>
            <w:r>
              <w:rPr>
                <w:rFonts w:cs="Arial"/>
                <w:szCs w:val="19"/>
                <w:lang w:val="en-US"/>
              </w:rPr>
              <w:t xml:space="preserve"> </w:t>
            </w:r>
            <w:r w:rsidRPr="00F87BD9">
              <w:rPr>
                <w:rFonts w:cs="Arial"/>
                <w:sz w:val="16"/>
                <w:szCs w:val="16"/>
                <w:lang w:val="en-US"/>
              </w:rPr>
              <w:t>[new 2-monthly intramuscular formulation]</w:t>
            </w:r>
          </w:p>
        </w:tc>
      </w:tr>
      <w:tr w:rsidR="001079B2" w:rsidRPr="00131D4C" w14:paraId="5829B70A" w14:textId="77777777" w:rsidTr="003F7448">
        <w:tc>
          <w:tcPr>
            <w:tcW w:w="1427" w:type="pct"/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6307D348" w14:textId="77777777" w:rsidR="001079B2" w:rsidRDefault="001079B2" w:rsidP="001079B2">
            <w:pPr>
              <w:rPr>
                <w:rFonts w:cs="Arial"/>
                <w:szCs w:val="19"/>
              </w:rPr>
            </w:pPr>
            <w:proofErr w:type="spellStart"/>
            <w:r>
              <w:rPr>
                <w:rFonts w:cs="Arial"/>
                <w:szCs w:val="19"/>
              </w:rPr>
              <w:t>Faricimab</w:t>
            </w:r>
            <w:proofErr w:type="spellEnd"/>
            <w:r>
              <w:rPr>
                <w:rFonts w:cs="Arial"/>
                <w:szCs w:val="19"/>
              </w:rPr>
              <w:t xml:space="preserve"> (</w:t>
            </w:r>
            <w:proofErr w:type="spellStart"/>
            <w:r>
              <w:rPr>
                <w:rFonts w:cs="Arial"/>
                <w:i/>
                <w:iCs/>
                <w:szCs w:val="19"/>
              </w:rPr>
              <w:t>Vabysmo</w:t>
            </w:r>
            <w:proofErr w:type="spellEnd"/>
            <w:r>
              <w:rPr>
                <w:rFonts w:cs="Arial"/>
                <w:szCs w:val="19"/>
              </w:rPr>
              <w:t>)</w:t>
            </w:r>
          </w:p>
          <w:p w14:paraId="440DA328" w14:textId="1B19A2DD" w:rsidR="001079B2" w:rsidRPr="00EA51C2" w:rsidRDefault="001079B2" w:rsidP="001079B2">
            <w:pPr>
              <w:rPr>
                <w:rFonts w:cs="Arial"/>
                <w:szCs w:val="19"/>
              </w:rPr>
            </w:pPr>
            <w:r w:rsidRPr="001079B2">
              <w:rPr>
                <w:rFonts w:cs="Arial"/>
                <w:sz w:val="16"/>
                <w:szCs w:val="16"/>
              </w:rPr>
              <w:t>28.8mg in 0.24mL vial</w:t>
            </w:r>
          </w:p>
        </w:tc>
        <w:tc>
          <w:tcPr>
            <w:tcW w:w="3573" w:type="pct"/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2A324EF9" w14:textId="6EDADF13" w:rsidR="001079B2" w:rsidRDefault="001079B2" w:rsidP="001079B2">
            <w:pPr>
              <w:tabs>
                <w:tab w:val="center" w:pos="3152"/>
              </w:tabs>
              <w:rPr>
                <w:rFonts w:cs="Arial"/>
                <w:szCs w:val="19"/>
                <w:lang w:val="en-US"/>
              </w:rPr>
            </w:pPr>
            <w:r>
              <w:rPr>
                <w:rFonts w:cs="Arial"/>
                <w:szCs w:val="19"/>
                <w:lang w:val="en-US"/>
              </w:rPr>
              <w:t>T</w:t>
            </w:r>
            <w:r w:rsidRPr="00594D05">
              <w:rPr>
                <w:rFonts w:cs="Arial"/>
                <w:szCs w:val="19"/>
                <w:lang w:val="en-US"/>
              </w:rPr>
              <w:t>reatment of adults with neovascular (wet) age-related macular degeneration, visual impairment due to diabetic macular oedema, and visual impairment due to macular oedema secondary to retinal vein occlusion (branch RVO or central RVO)</w:t>
            </w:r>
            <w:r>
              <w:rPr>
                <w:rFonts w:cs="Arial"/>
                <w:szCs w:val="19"/>
                <w:lang w:val="en-US"/>
              </w:rPr>
              <w:t xml:space="preserve"> </w:t>
            </w:r>
          </w:p>
          <w:p w14:paraId="5A3902B5" w14:textId="68B2B0B7" w:rsidR="001079B2" w:rsidRPr="00B64A1C" w:rsidRDefault="001079B2" w:rsidP="001079B2">
            <w:pPr>
              <w:tabs>
                <w:tab w:val="center" w:pos="3152"/>
              </w:tabs>
              <w:rPr>
                <w:rFonts w:cs="Arial"/>
                <w:sz w:val="18"/>
                <w:szCs w:val="18"/>
              </w:rPr>
            </w:pPr>
            <w:r w:rsidRPr="00594D05">
              <w:rPr>
                <w:rFonts w:cs="Arial"/>
                <w:sz w:val="16"/>
                <w:szCs w:val="16"/>
                <w:lang w:val="en-US"/>
              </w:rPr>
              <w:t>[</w:t>
            </w:r>
            <w:proofErr w:type="spellStart"/>
            <w:r w:rsidRPr="00594D05">
              <w:rPr>
                <w:rFonts w:cs="Arial"/>
                <w:sz w:val="16"/>
                <w:szCs w:val="16"/>
                <w:lang w:val="en-US"/>
              </w:rPr>
              <w:t>licence</w:t>
            </w:r>
            <w:proofErr w:type="spellEnd"/>
            <w:r w:rsidRPr="00594D05">
              <w:rPr>
                <w:rFonts w:cs="Arial"/>
                <w:sz w:val="16"/>
                <w:szCs w:val="16"/>
                <w:lang w:val="en-US"/>
              </w:rPr>
              <w:t xml:space="preserve"> change to include treatment of visual impairment due to macular oedema secondary to retinal vein occlusion]</w:t>
            </w:r>
          </w:p>
        </w:tc>
      </w:tr>
      <w:tr w:rsidR="00BD141E" w:rsidRPr="00131D4C" w14:paraId="614AE6E5" w14:textId="77777777" w:rsidTr="003F7448">
        <w:tc>
          <w:tcPr>
            <w:tcW w:w="1427" w:type="pct"/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6EC24715" w14:textId="77777777" w:rsidR="00BD141E" w:rsidRDefault="00BD141E" w:rsidP="00BD141E">
            <w:pPr>
              <w:rPr>
                <w:rFonts w:cs="Arial"/>
                <w:szCs w:val="19"/>
              </w:rPr>
            </w:pPr>
            <w:r w:rsidRPr="00B56607">
              <w:rPr>
                <w:rFonts w:cs="Arial"/>
                <w:szCs w:val="19"/>
              </w:rPr>
              <w:t>Latanoprost + timolol</w:t>
            </w:r>
            <w:r>
              <w:rPr>
                <w:rFonts w:cs="Arial"/>
                <w:szCs w:val="19"/>
              </w:rPr>
              <w:t xml:space="preserve"> </w:t>
            </w:r>
          </w:p>
          <w:p w14:paraId="2E2DDE07" w14:textId="77777777" w:rsidR="00BD141E" w:rsidRDefault="00BD141E" w:rsidP="00BD141E">
            <w:pPr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(</w:t>
            </w:r>
            <w:proofErr w:type="spellStart"/>
            <w:r w:rsidRPr="00B56607">
              <w:rPr>
                <w:rFonts w:cs="Arial"/>
                <w:i/>
                <w:iCs/>
                <w:szCs w:val="19"/>
              </w:rPr>
              <w:t>Vizilatan</w:t>
            </w:r>
            <w:proofErr w:type="spellEnd"/>
            <w:r w:rsidRPr="00B56607">
              <w:rPr>
                <w:rFonts w:cs="Arial"/>
                <w:i/>
                <w:iCs/>
                <w:szCs w:val="19"/>
              </w:rPr>
              <w:t xml:space="preserve"> Duo</w:t>
            </w:r>
            <w:r>
              <w:rPr>
                <w:rFonts w:cs="Arial"/>
                <w:szCs w:val="19"/>
              </w:rPr>
              <w:t>)</w:t>
            </w:r>
          </w:p>
          <w:p w14:paraId="535FD9F1" w14:textId="30AB6D83" w:rsidR="00BD141E" w:rsidRPr="00723718" w:rsidRDefault="00BD141E" w:rsidP="00BD141E">
            <w:pPr>
              <w:rPr>
                <w:rFonts w:cs="Arial"/>
                <w:szCs w:val="19"/>
              </w:rPr>
            </w:pPr>
            <w:r w:rsidRPr="0093594C">
              <w:rPr>
                <w:rFonts w:cs="Arial"/>
                <w:sz w:val="16"/>
                <w:szCs w:val="16"/>
              </w:rPr>
              <w:t>50mg/5mg in 1mL eye drops</w:t>
            </w:r>
          </w:p>
        </w:tc>
        <w:tc>
          <w:tcPr>
            <w:tcW w:w="3573" w:type="pct"/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1F38CE31" w14:textId="202C9790" w:rsidR="00BD141E" w:rsidRPr="001D7849" w:rsidRDefault="00BD141E" w:rsidP="00BD141E">
            <w:pPr>
              <w:tabs>
                <w:tab w:val="center" w:pos="3152"/>
              </w:tabs>
              <w:rPr>
                <w:rFonts w:cs="Arial"/>
                <w:szCs w:val="19"/>
              </w:rPr>
            </w:pPr>
            <w:r>
              <w:rPr>
                <w:rFonts w:cs="Arial"/>
                <w:color w:val="000000"/>
                <w:szCs w:val="19"/>
                <w:lang w:val="en-US"/>
              </w:rPr>
              <w:t xml:space="preserve">Use </w:t>
            </w:r>
            <w:r w:rsidRPr="00B56607">
              <w:rPr>
                <w:rFonts w:cs="Arial"/>
                <w:color w:val="000000"/>
                <w:szCs w:val="19"/>
                <w:lang w:val="en-US"/>
              </w:rPr>
              <w:t>in adults (including the elderly) for the</w:t>
            </w:r>
            <w:r>
              <w:rPr>
                <w:rFonts w:cs="Arial"/>
                <w:color w:val="000000"/>
                <w:szCs w:val="19"/>
                <w:lang w:val="en-US"/>
              </w:rPr>
              <w:t xml:space="preserve"> r</w:t>
            </w:r>
            <w:r w:rsidRPr="00B56607">
              <w:rPr>
                <w:rFonts w:cs="Arial"/>
                <w:color w:val="000000"/>
                <w:szCs w:val="19"/>
                <w:lang w:val="en-US"/>
              </w:rPr>
              <w:t>eduction of intraocular pressure in patients with open angle glaucoma and ocular hypertension who are insufficiently responsive to topical beta-blockers or prostaglandin analogues</w:t>
            </w:r>
          </w:p>
        </w:tc>
      </w:tr>
      <w:tr w:rsidR="00F54C51" w:rsidRPr="00131D4C" w14:paraId="384E6F8A" w14:textId="77777777" w:rsidTr="003F7448">
        <w:tc>
          <w:tcPr>
            <w:tcW w:w="1427" w:type="pct"/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1CC11E31" w14:textId="77777777" w:rsidR="00F54C51" w:rsidRDefault="00F54C51" w:rsidP="004E650F">
            <w:pPr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Oxybutynin (</w:t>
            </w:r>
            <w:proofErr w:type="spellStart"/>
            <w:r>
              <w:rPr>
                <w:rFonts w:cs="Arial"/>
                <w:i/>
                <w:iCs/>
                <w:szCs w:val="19"/>
              </w:rPr>
              <w:t>Velariq</w:t>
            </w:r>
            <w:proofErr w:type="spellEnd"/>
            <w:r>
              <w:rPr>
                <w:rFonts w:cs="Arial"/>
                <w:szCs w:val="19"/>
              </w:rPr>
              <w:t>)</w:t>
            </w:r>
          </w:p>
          <w:p w14:paraId="6222CC6C" w14:textId="76F1A8D6" w:rsidR="00F54C51" w:rsidRPr="00F54C51" w:rsidRDefault="00F54C51" w:rsidP="004E650F">
            <w:pPr>
              <w:rPr>
                <w:rFonts w:cs="Arial"/>
                <w:szCs w:val="19"/>
              </w:rPr>
            </w:pPr>
            <w:r w:rsidRPr="00F54C51">
              <w:rPr>
                <w:rFonts w:cs="Arial"/>
                <w:sz w:val="16"/>
                <w:szCs w:val="16"/>
              </w:rPr>
              <w:t>10mg in 10mL prefilled syringe</w:t>
            </w:r>
          </w:p>
        </w:tc>
        <w:tc>
          <w:tcPr>
            <w:tcW w:w="3573" w:type="pct"/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6C09354B" w14:textId="60C05F9C" w:rsidR="00F54C51" w:rsidRDefault="00F54C51" w:rsidP="004E650F">
            <w:pPr>
              <w:tabs>
                <w:tab w:val="num" w:pos="720"/>
                <w:tab w:val="center" w:pos="3152"/>
              </w:tabs>
              <w:rPr>
                <w:rFonts w:cs="Arial"/>
                <w:szCs w:val="19"/>
                <w:lang w:val="en-US"/>
              </w:rPr>
            </w:pPr>
            <w:r w:rsidRPr="00F54C51">
              <w:rPr>
                <w:rFonts w:cs="Arial"/>
                <w:szCs w:val="19"/>
                <w:lang w:val="en-US"/>
              </w:rPr>
              <w:t xml:space="preserve">Suppression of neurogenic detrusor overactivity in children </w:t>
            </w:r>
            <w:r>
              <w:rPr>
                <w:rFonts w:cs="Arial"/>
                <w:szCs w:val="19"/>
                <w:lang w:val="en-US"/>
              </w:rPr>
              <w:t>aged ≥</w:t>
            </w:r>
            <w:r w:rsidRPr="00F54C51">
              <w:rPr>
                <w:rFonts w:cs="Arial"/>
                <w:szCs w:val="19"/>
                <w:lang w:val="en-US"/>
              </w:rPr>
              <w:t xml:space="preserve">6 years and adults, who are managing bladder emptying by clean intermittent </w:t>
            </w:r>
            <w:proofErr w:type="spellStart"/>
            <w:r w:rsidRPr="00F54C51">
              <w:rPr>
                <w:rFonts w:cs="Arial"/>
                <w:szCs w:val="19"/>
                <w:lang w:val="en-US"/>
              </w:rPr>
              <w:t>catheterisation</w:t>
            </w:r>
            <w:proofErr w:type="spellEnd"/>
            <w:r w:rsidRPr="00F54C51">
              <w:rPr>
                <w:rFonts w:cs="Arial"/>
                <w:szCs w:val="19"/>
                <w:lang w:val="en-US"/>
              </w:rPr>
              <w:t>, not adequately managed with oral anticholinergics</w:t>
            </w:r>
            <w:r>
              <w:rPr>
                <w:rFonts w:cs="Arial"/>
                <w:szCs w:val="19"/>
                <w:lang w:val="en-US"/>
              </w:rPr>
              <w:t xml:space="preserve"> </w:t>
            </w:r>
            <w:r w:rsidRPr="00F54C51">
              <w:rPr>
                <w:rFonts w:cs="Arial"/>
                <w:sz w:val="16"/>
                <w:szCs w:val="16"/>
                <w:lang w:val="en-US"/>
              </w:rPr>
              <w:t>[new intravesical formulation]</w:t>
            </w:r>
          </w:p>
        </w:tc>
      </w:tr>
      <w:tr w:rsidR="004E650F" w:rsidRPr="00131D4C" w14:paraId="445E472F" w14:textId="77777777" w:rsidTr="003F7448">
        <w:tc>
          <w:tcPr>
            <w:tcW w:w="1427" w:type="pct"/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226AA4D0" w14:textId="77777777" w:rsidR="004E650F" w:rsidRDefault="004E650F" w:rsidP="004E650F">
            <w:r>
              <w:rPr>
                <w:rFonts w:cs="Arial"/>
                <w:szCs w:val="19"/>
              </w:rPr>
              <w:t>Ranibizumab biosimilar (</w:t>
            </w:r>
            <w:proofErr w:type="spellStart"/>
            <w:r>
              <w:rPr>
                <w:rFonts w:cs="Arial"/>
                <w:i/>
                <w:iCs/>
                <w:szCs w:val="19"/>
              </w:rPr>
              <w:t>Rimmyrah</w:t>
            </w:r>
            <w:proofErr w:type="spellEnd"/>
            <w:r>
              <w:rPr>
                <w:rFonts w:cs="Arial"/>
                <w:szCs w:val="19"/>
              </w:rPr>
              <w:t>)</w:t>
            </w:r>
            <w:r>
              <w:t xml:space="preserve"> </w:t>
            </w:r>
          </w:p>
          <w:p w14:paraId="2B26B2FD" w14:textId="70418BC3" w:rsidR="004E650F" w:rsidRDefault="004E650F" w:rsidP="004E650F">
            <w:pPr>
              <w:rPr>
                <w:rFonts w:cs="Arial"/>
                <w:szCs w:val="19"/>
              </w:rPr>
            </w:pPr>
            <w:r w:rsidRPr="00BF53E9">
              <w:rPr>
                <w:rFonts w:cs="Arial"/>
                <w:sz w:val="16"/>
                <w:szCs w:val="16"/>
              </w:rPr>
              <w:t>2.3mg in 0.23mL vials</w:t>
            </w:r>
          </w:p>
        </w:tc>
        <w:tc>
          <w:tcPr>
            <w:tcW w:w="3573" w:type="pct"/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06AD6091" w14:textId="1D9BADA1" w:rsidR="004E650F" w:rsidRPr="003D7028" w:rsidRDefault="004E650F" w:rsidP="004E650F">
            <w:pPr>
              <w:tabs>
                <w:tab w:val="num" w:pos="720"/>
                <w:tab w:val="center" w:pos="3152"/>
              </w:tabs>
              <w:rPr>
                <w:rFonts w:cs="Arial"/>
                <w:szCs w:val="19"/>
                <w:lang w:val="en-US"/>
              </w:rPr>
            </w:pPr>
            <w:r>
              <w:rPr>
                <w:rFonts w:cs="Arial"/>
                <w:szCs w:val="19"/>
                <w:lang w:val="en-US"/>
              </w:rPr>
              <w:t>T</w:t>
            </w:r>
            <w:r w:rsidRPr="003C43BD">
              <w:rPr>
                <w:rFonts w:cs="Arial"/>
                <w:szCs w:val="19"/>
                <w:lang w:val="en-US"/>
              </w:rPr>
              <w:t>reatment of neovascular (wet) age-related macular degeneration</w:t>
            </w:r>
            <w:r>
              <w:rPr>
                <w:rFonts w:cs="Arial"/>
                <w:szCs w:val="19"/>
                <w:lang w:val="en-US"/>
              </w:rPr>
              <w:t>,</w:t>
            </w:r>
            <w:r w:rsidRPr="003C43BD">
              <w:rPr>
                <w:rFonts w:cs="Arial"/>
                <w:szCs w:val="19"/>
                <w:lang w:val="en-US"/>
              </w:rPr>
              <w:t xml:space="preserve"> visual impairment due to diabetic macular oedema</w:t>
            </w:r>
            <w:r>
              <w:rPr>
                <w:rFonts w:cs="Arial"/>
                <w:szCs w:val="19"/>
                <w:lang w:val="en-US"/>
              </w:rPr>
              <w:t>,</w:t>
            </w:r>
            <w:r w:rsidRPr="003C43BD">
              <w:rPr>
                <w:rFonts w:cs="Arial"/>
                <w:szCs w:val="19"/>
                <w:lang w:val="en-US"/>
              </w:rPr>
              <w:t xml:space="preserve"> proliferative diabetic retinopathy</w:t>
            </w:r>
            <w:r>
              <w:rPr>
                <w:rFonts w:cs="Arial"/>
                <w:szCs w:val="19"/>
                <w:lang w:val="en-US"/>
              </w:rPr>
              <w:t>,</w:t>
            </w:r>
            <w:r w:rsidRPr="003C43BD">
              <w:rPr>
                <w:rFonts w:cs="Arial"/>
                <w:szCs w:val="19"/>
                <w:lang w:val="en-US"/>
              </w:rPr>
              <w:t xml:space="preserve"> visual impairment due to macular oedema secondary to retinal vein occlusion (branch RVO or central RVO)</w:t>
            </w:r>
            <w:r>
              <w:rPr>
                <w:rFonts w:cs="Arial"/>
                <w:szCs w:val="19"/>
                <w:lang w:val="en-US"/>
              </w:rPr>
              <w:t xml:space="preserve"> and </w:t>
            </w:r>
            <w:r w:rsidRPr="003C43BD">
              <w:rPr>
                <w:rFonts w:cs="Arial"/>
                <w:szCs w:val="19"/>
                <w:lang w:val="en-US"/>
              </w:rPr>
              <w:t xml:space="preserve">visual impairment due to choroidal </w:t>
            </w:r>
            <w:proofErr w:type="spellStart"/>
            <w:r w:rsidRPr="003C43BD">
              <w:rPr>
                <w:rFonts w:cs="Arial"/>
                <w:szCs w:val="19"/>
                <w:lang w:val="en-US"/>
              </w:rPr>
              <w:t>neovascularisation</w:t>
            </w:r>
            <w:proofErr w:type="spellEnd"/>
          </w:p>
        </w:tc>
      </w:tr>
      <w:tr w:rsidR="004E650F" w:rsidRPr="00131D4C" w14:paraId="35839932" w14:textId="77777777" w:rsidTr="003F7448">
        <w:tc>
          <w:tcPr>
            <w:tcW w:w="1427" w:type="pct"/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60F5B4DD" w14:textId="77777777" w:rsidR="004E650F" w:rsidRDefault="004E650F" w:rsidP="004E650F">
            <w:pPr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Risankizumab (</w:t>
            </w:r>
            <w:proofErr w:type="spellStart"/>
            <w:r>
              <w:rPr>
                <w:rFonts w:cs="Arial"/>
                <w:i/>
                <w:iCs/>
                <w:szCs w:val="19"/>
              </w:rPr>
              <w:t>Skyrizi</w:t>
            </w:r>
            <w:proofErr w:type="spellEnd"/>
            <w:r>
              <w:rPr>
                <w:rFonts w:cs="Arial"/>
                <w:szCs w:val="19"/>
              </w:rPr>
              <w:t>)</w:t>
            </w:r>
          </w:p>
          <w:p w14:paraId="1188C8C5" w14:textId="4D2875F9" w:rsidR="004E650F" w:rsidRPr="00E07B89" w:rsidRDefault="004E650F" w:rsidP="004E650F">
            <w:pPr>
              <w:rPr>
                <w:rFonts w:cs="Arial"/>
                <w:szCs w:val="19"/>
              </w:rPr>
            </w:pPr>
            <w:r w:rsidRPr="003F7448">
              <w:rPr>
                <w:rFonts w:cs="Arial"/>
                <w:sz w:val="16"/>
                <w:szCs w:val="16"/>
              </w:rPr>
              <w:t>360mg in 2.4mL cartridge with on-body injector</w:t>
            </w:r>
            <w:r>
              <w:rPr>
                <w:rFonts w:cs="Arial"/>
                <w:sz w:val="16"/>
                <w:szCs w:val="16"/>
              </w:rPr>
              <w:t xml:space="preserve"> and 600mg in 10mL vial</w:t>
            </w:r>
          </w:p>
        </w:tc>
        <w:tc>
          <w:tcPr>
            <w:tcW w:w="3573" w:type="pct"/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478ADE6B" w14:textId="2442BCAE" w:rsidR="004E650F" w:rsidRPr="00A075A3" w:rsidRDefault="004E650F" w:rsidP="004E650F">
            <w:pPr>
              <w:tabs>
                <w:tab w:val="num" w:pos="720"/>
                <w:tab w:val="center" w:pos="3152"/>
              </w:tabs>
              <w:rPr>
                <w:rFonts w:cs="Arial"/>
                <w:szCs w:val="19"/>
                <w:lang w:val="en-US"/>
              </w:rPr>
            </w:pPr>
            <w:r w:rsidRPr="003D7028">
              <w:rPr>
                <w:rFonts w:cs="Arial"/>
                <w:szCs w:val="19"/>
                <w:lang w:val="en-US"/>
              </w:rPr>
              <w:t>Treatment of adults with moderately to severely active ulcerative colitis who have had an inadequate response to, lost response to, or were intolerant to conventional therapy or a biologic therapy</w:t>
            </w:r>
            <w:r w:rsidRPr="00A806C6">
              <w:rPr>
                <w:rFonts w:cs="Arial"/>
                <w:sz w:val="16"/>
                <w:szCs w:val="16"/>
                <w:lang w:val="en-US"/>
              </w:rPr>
              <w:t xml:space="preserve"> [new indication]</w:t>
            </w:r>
          </w:p>
        </w:tc>
      </w:tr>
      <w:tr w:rsidR="004E650F" w14:paraId="302403C4" w14:textId="77777777" w:rsidTr="003F7448">
        <w:tc>
          <w:tcPr>
            <w:tcW w:w="1427" w:type="pct"/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2F4D3647" w14:textId="77777777" w:rsidR="004E650F" w:rsidRDefault="004E650F" w:rsidP="004E650F">
            <w:pPr>
              <w:rPr>
                <w:rFonts w:cs="Arial"/>
                <w:szCs w:val="19"/>
              </w:rPr>
            </w:pPr>
            <w:proofErr w:type="spellStart"/>
            <w:r>
              <w:rPr>
                <w:rFonts w:cs="Arial"/>
                <w:szCs w:val="19"/>
              </w:rPr>
              <w:t>Tafamidis</w:t>
            </w:r>
            <w:proofErr w:type="spellEnd"/>
            <w:r>
              <w:rPr>
                <w:rFonts w:cs="Arial"/>
                <w:szCs w:val="19"/>
              </w:rPr>
              <w:t xml:space="preserve"> (</w:t>
            </w:r>
            <w:proofErr w:type="spellStart"/>
            <w:r>
              <w:rPr>
                <w:rFonts w:cs="Arial"/>
                <w:i/>
                <w:iCs/>
                <w:szCs w:val="19"/>
              </w:rPr>
              <w:t>Vyndaqel</w:t>
            </w:r>
            <w:proofErr w:type="spellEnd"/>
            <w:r>
              <w:rPr>
                <w:rFonts w:cs="Arial"/>
                <w:szCs w:val="19"/>
              </w:rPr>
              <w:t>)</w:t>
            </w:r>
          </w:p>
          <w:p w14:paraId="1498E357" w14:textId="40281E2E" w:rsidR="004E650F" w:rsidRPr="00CA0AC9" w:rsidRDefault="004E650F" w:rsidP="004E650F">
            <w:pPr>
              <w:rPr>
                <w:rFonts w:cs="Arial"/>
                <w:szCs w:val="19"/>
              </w:rPr>
            </w:pPr>
            <w:r w:rsidRPr="00A546D0">
              <w:rPr>
                <w:rFonts w:cs="Arial"/>
                <w:sz w:val="16"/>
                <w:szCs w:val="16"/>
              </w:rPr>
              <w:t>61mg capsule</w:t>
            </w:r>
          </w:p>
        </w:tc>
        <w:tc>
          <w:tcPr>
            <w:tcW w:w="3573" w:type="pct"/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485641B8" w14:textId="5E1AA320" w:rsidR="004E650F" w:rsidRPr="00A075A3" w:rsidRDefault="004E650F" w:rsidP="004E650F">
            <w:pPr>
              <w:tabs>
                <w:tab w:val="center" w:pos="3152"/>
              </w:tabs>
              <w:rPr>
                <w:rFonts w:cs="Arial"/>
                <w:bCs/>
                <w:szCs w:val="19"/>
              </w:rPr>
            </w:pPr>
            <w:r w:rsidRPr="00871B10">
              <w:rPr>
                <w:rFonts w:cs="Arial"/>
                <w:color w:val="000000"/>
                <w:szCs w:val="19"/>
                <w:lang w:val="en-US"/>
              </w:rPr>
              <w:t>Treatment of wild-type or hereditary transthyretin amyloidosis in adults with cardiomyopathy</w:t>
            </w:r>
            <w:r w:rsidRPr="00871B10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871B10">
              <w:rPr>
                <w:rFonts w:cs="Arial"/>
                <w:color w:val="000000"/>
                <w:sz w:val="16"/>
                <w:szCs w:val="16"/>
                <w:lang w:val="en-US"/>
              </w:rPr>
              <w:t>[new higher strength capsule formulation with new indication]</w:t>
            </w:r>
          </w:p>
        </w:tc>
      </w:tr>
      <w:tr w:rsidR="00200541" w14:paraId="6B7D1CD6" w14:textId="77777777" w:rsidTr="003F7448">
        <w:tc>
          <w:tcPr>
            <w:tcW w:w="1427" w:type="pct"/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40D6E67A" w14:textId="77777777" w:rsidR="00200541" w:rsidRDefault="00200541" w:rsidP="00304C1B">
            <w:pPr>
              <w:rPr>
                <w:rFonts w:cs="Arial"/>
                <w:szCs w:val="19"/>
              </w:rPr>
            </w:pPr>
            <w:proofErr w:type="spellStart"/>
            <w:r>
              <w:rPr>
                <w:rFonts w:cs="Arial"/>
                <w:szCs w:val="19"/>
              </w:rPr>
              <w:t>Tapentadol</w:t>
            </w:r>
            <w:proofErr w:type="spellEnd"/>
            <w:r>
              <w:rPr>
                <w:rFonts w:cs="Arial"/>
                <w:szCs w:val="19"/>
              </w:rPr>
              <w:t xml:space="preserve"> (</w:t>
            </w:r>
            <w:proofErr w:type="spellStart"/>
            <w:r>
              <w:rPr>
                <w:rFonts w:cs="Arial"/>
                <w:i/>
                <w:iCs/>
                <w:szCs w:val="19"/>
              </w:rPr>
              <w:t>Palexia</w:t>
            </w:r>
            <w:proofErr w:type="spellEnd"/>
            <w:r>
              <w:rPr>
                <w:rFonts w:cs="Arial"/>
                <w:szCs w:val="19"/>
              </w:rPr>
              <w:t xml:space="preserve">) </w:t>
            </w:r>
          </w:p>
          <w:p w14:paraId="2A15D27B" w14:textId="38A58472" w:rsidR="00200541" w:rsidRPr="00200541" w:rsidRDefault="00200541" w:rsidP="00304C1B">
            <w:pPr>
              <w:rPr>
                <w:rFonts w:cs="Arial"/>
                <w:szCs w:val="19"/>
              </w:rPr>
            </w:pPr>
            <w:r w:rsidRPr="00200541">
              <w:rPr>
                <w:rFonts w:cs="Arial"/>
                <w:sz w:val="16"/>
                <w:szCs w:val="16"/>
              </w:rPr>
              <w:t>20mg in 1mL oral solution</w:t>
            </w:r>
          </w:p>
        </w:tc>
        <w:tc>
          <w:tcPr>
            <w:tcW w:w="3573" w:type="pct"/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223878C0" w14:textId="3AEDEFCE" w:rsidR="00200541" w:rsidRDefault="00200541" w:rsidP="00304C1B">
            <w:pPr>
              <w:tabs>
                <w:tab w:val="num" w:pos="720"/>
                <w:tab w:val="center" w:pos="3152"/>
              </w:tabs>
              <w:rPr>
                <w:rFonts w:cs="Arial"/>
                <w:szCs w:val="19"/>
                <w:lang w:val="en-US"/>
              </w:rPr>
            </w:pPr>
            <w:r w:rsidRPr="00200541">
              <w:rPr>
                <w:rFonts w:cs="Arial"/>
                <w:szCs w:val="19"/>
                <w:lang w:val="en-US"/>
              </w:rPr>
              <w:t xml:space="preserve">Relief of moderate to severe acute pain in children and adolescents </w:t>
            </w:r>
            <w:r>
              <w:rPr>
                <w:rFonts w:cs="Arial"/>
                <w:szCs w:val="19"/>
                <w:lang w:val="en-US"/>
              </w:rPr>
              <w:t>aged ≥</w:t>
            </w:r>
            <w:r w:rsidRPr="00200541">
              <w:rPr>
                <w:rFonts w:cs="Arial"/>
                <w:szCs w:val="19"/>
                <w:lang w:val="en-US"/>
              </w:rPr>
              <w:t xml:space="preserve">2 years with a body weight </w:t>
            </w:r>
            <w:r>
              <w:rPr>
                <w:rFonts w:cs="Arial"/>
                <w:szCs w:val="19"/>
                <w:lang w:val="en-US"/>
              </w:rPr>
              <w:t>&gt;</w:t>
            </w:r>
            <w:r w:rsidRPr="00200541">
              <w:rPr>
                <w:rFonts w:cs="Arial"/>
                <w:szCs w:val="19"/>
                <w:lang w:val="en-US"/>
              </w:rPr>
              <w:t xml:space="preserve">16kg and in adults, which can be adequately managed only with opioid analgesics </w:t>
            </w:r>
            <w:r w:rsidRPr="00200541">
              <w:rPr>
                <w:rFonts w:cs="Arial"/>
                <w:sz w:val="16"/>
                <w:szCs w:val="16"/>
                <w:lang w:val="en-US"/>
              </w:rPr>
              <w:t>[</w:t>
            </w:r>
            <w:proofErr w:type="spellStart"/>
            <w:r w:rsidRPr="00200541">
              <w:rPr>
                <w:rFonts w:cs="Arial"/>
                <w:sz w:val="16"/>
                <w:szCs w:val="16"/>
                <w:lang w:val="en-US"/>
              </w:rPr>
              <w:t>licence</w:t>
            </w:r>
            <w:proofErr w:type="spellEnd"/>
            <w:r w:rsidRPr="00200541">
              <w:rPr>
                <w:rFonts w:cs="Arial"/>
                <w:sz w:val="16"/>
                <w:szCs w:val="16"/>
                <w:lang w:val="en-US"/>
              </w:rPr>
              <w:t xml:space="preserve"> change from use only in adults]</w:t>
            </w:r>
          </w:p>
        </w:tc>
      </w:tr>
      <w:tr w:rsidR="00200541" w14:paraId="32CA0C37" w14:textId="77777777" w:rsidTr="003F7448">
        <w:tc>
          <w:tcPr>
            <w:tcW w:w="1427" w:type="pct"/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61B755CA" w14:textId="55992D42" w:rsidR="0017041B" w:rsidRDefault="00200541" w:rsidP="00304C1B">
            <w:proofErr w:type="spellStart"/>
            <w:r>
              <w:rPr>
                <w:rFonts w:cs="Arial"/>
                <w:szCs w:val="19"/>
              </w:rPr>
              <w:t>Tapentadol</w:t>
            </w:r>
            <w:proofErr w:type="spellEnd"/>
            <w:r>
              <w:rPr>
                <w:rFonts w:cs="Arial"/>
                <w:szCs w:val="19"/>
              </w:rPr>
              <w:t xml:space="preserve"> (</w:t>
            </w:r>
            <w:proofErr w:type="spellStart"/>
            <w:r>
              <w:rPr>
                <w:rFonts w:cs="Arial"/>
                <w:i/>
                <w:iCs/>
                <w:szCs w:val="19"/>
              </w:rPr>
              <w:t>Palexia</w:t>
            </w:r>
            <w:proofErr w:type="spellEnd"/>
            <w:r w:rsidR="0017041B">
              <w:rPr>
                <w:rFonts w:cs="Arial"/>
                <w:i/>
                <w:iCs/>
                <w:szCs w:val="19"/>
              </w:rPr>
              <w:t xml:space="preserve"> SR</w:t>
            </w:r>
            <w:r>
              <w:rPr>
                <w:rFonts w:cs="Arial"/>
                <w:szCs w:val="19"/>
              </w:rPr>
              <w:t>)</w:t>
            </w:r>
            <w:r w:rsidR="0017041B">
              <w:t xml:space="preserve"> </w:t>
            </w:r>
          </w:p>
          <w:p w14:paraId="710C847F" w14:textId="2ACEFC71" w:rsidR="00200541" w:rsidRDefault="0017041B" w:rsidP="00304C1B">
            <w:pPr>
              <w:rPr>
                <w:rFonts w:cs="Arial"/>
                <w:szCs w:val="19"/>
              </w:rPr>
            </w:pPr>
            <w:r w:rsidRPr="0017041B">
              <w:rPr>
                <w:rFonts w:cs="Arial"/>
                <w:sz w:val="16"/>
                <w:szCs w:val="16"/>
              </w:rPr>
              <w:t>50mg, 100mg, 150mg, 200mg and 250mg tablets</w:t>
            </w:r>
          </w:p>
        </w:tc>
        <w:tc>
          <w:tcPr>
            <w:tcW w:w="3573" w:type="pct"/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0843F992" w14:textId="40268318" w:rsidR="00200541" w:rsidRDefault="0017041B" w:rsidP="00304C1B">
            <w:pPr>
              <w:tabs>
                <w:tab w:val="num" w:pos="720"/>
                <w:tab w:val="center" w:pos="3152"/>
              </w:tabs>
              <w:rPr>
                <w:rFonts w:cs="Arial"/>
                <w:szCs w:val="19"/>
                <w:lang w:val="en-US"/>
              </w:rPr>
            </w:pPr>
            <w:r w:rsidRPr="0017041B">
              <w:rPr>
                <w:rFonts w:cs="Arial"/>
                <w:szCs w:val="19"/>
                <w:lang w:val="en-US"/>
              </w:rPr>
              <w:t xml:space="preserve">Management of severe chronic pain in children </w:t>
            </w:r>
            <w:r>
              <w:rPr>
                <w:rFonts w:cs="Arial"/>
                <w:szCs w:val="19"/>
                <w:lang w:val="en-US"/>
              </w:rPr>
              <w:t>&gt;</w:t>
            </w:r>
            <w:r w:rsidRPr="0017041B">
              <w:rPr>
                <w:rFonts w:cs="Arial"/>
                <w:szCs w:val="19"/>
                <w:lang w:val="en-US"/>
              </w:rPr>
              <w:t>6 years and adolescents, which can be adequately managed only with opioid analgesics</w:t>
            </w:r>
            <w:r>
              <w:rPr>
                <w:rFonts w:cs="Arial"/>
                <w:szCs w:val="19"/>
                <w:lang w:val="en-US"/>
              </w:rPr>
              <w:t xml:space="preserve"> </w:t>
            </w:r>
            <w:r w:rsidRPr="0017041B">
              <w:rPr>
                <w:rFonts w:cs="Arial"/>
                <w:sz w:val="16"/>
                <w:szCs w:val="16"/>
                <w:lang w:val="en-US"/>
              </w:rPr>
              <w:t>[new indication]</w:t>
            </w:r>
          </w:p>
        </w:tc>
      </w:tr>
      <w:tr w:rsidR="00304C1B" w14:paraId="6BD97222" w14:textId="77777777" w:rsidTr="003F7448">
        <w:tc>
          <w:tcPr>
            <w:tcW w:w="1427" w:type="pct"/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6E670218" w14:textId="77777777" w:rsidR="00304C1B" w:rsidRDefault="00304C1B" w:rsidP="00304C1B">
            <w:pPr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Tenecteplase (</w:t>
            </w:r>
            <w:proofErr w:type="spellStart"/>
            <w:r>
              <w:rPr>
                <w:rFonts w:cs="Arial"/>
                <w:i/>
                <w:iCs/>
                <w:szCs w:val="19"/>
              </w:rPr>
              <w:t>Metalyse</w:t>
            </w:r>
            <w:proofErr w:type="spellEnd"/>
            <w:r>
              <w:rPr>
                <w:rFonts w:cs="Arial"/>
                <w:szCs w:val="19"/>
              </w:rPr>
              <w:t>)</w:t>
            </w:r>
          </w:p>
          <w:p w14:paraId="41156E31" w14:textId="00C8583F" w:rsidR="00304C1B" w:rsidRDefault="00304C1B" w:rsidP="00304C1B">
            <w:pPr>
              <w:rPr>
                <w:rFonts w:cs="Arial"/>
                <w:szCs w:val="19"/>
              </w:rPr>
            </w:pPr>
            <w:r w:rsidRPr="004705BE">
              <w:rPr>
                <w:rFonts w:cs="Arial"/>
                <w:sz w:val="16"/>
                <w:szCs w:val="16"/>
              </w:rPr>
              <w:t>5,000units (25mg) vial</w:t>
            </w:r>
          </w:p>
        </w:tc>
        <w:tc>
          <w:tcPr>
            <w:tcW w:w="3573" w:type="pct"/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20EE1060" w14:textId="77777777" w:rsidR="00304C1B" w:rsidRDefault="00304C1B" w:rsidP="00304C1B">
            <w:pPr>
              <w:tabs>
                <w:tab w:val="num" w:pos="720"/>
                <w:tab w:val="center" w:pos="3152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Cs w:val="19"/>
                <w:lang w:val="en-US"/>
              </w:rPr>
              <w:t>Use i</w:t>
            </w:r>
            <w:r w:rsidRPr="00AE1197">
              <w:rPr>
                <w:rFonts w:cs="Arial"/>
                <w:szCs w:val="19"/>
                <w:lang w:val="en-US"/>
              </w:rPr>
              <w:t xml:space="preserve">n adults for the thrombolytic treatment of acute </w:t>
            </w:r>
            <w:proofErr w:type="spellStart"/>
            <w:r w:rsidRPr="00AE1197">
              <w:rPr>
                <w:rFonts w:cs="Arial"/>
                <w:szCs w:val="19"/>
                <w:lang w:val="en-US"/>
              </w:rPr>
              <w:t>ischaemic</w:t>
            </w:r>
            <w:proofErr w:type="spellEnd"/>
            <w:r w:rsidRPr="00AE1197">
              <w:rPr>
                <w:rFonts w:cs="Arial"/>
                <w:szCs w:val="19"/>
                <w:lang w:val="en-US"/>
              </w:rPr>
              <w:t xml:space="preserve"> stroke within 4.5 hours from last known well and after exclusion of intracranial </w:t>
            </w:r>
            <w:proofErr w:type="spellStart"/>
            <w:proofErr w:type="gramStart"/>
            <w:r w:rsidRPr="00AE1197">
              <w:rPr>
                <w:rFonts w:cs="Arial"/>
                <w:szCs w:val="19"/>
                <w:lang w:val="en-US"/>
              </w:rPr>
              <w:t>haemorrhage</w:t>
            </w:r>
            <w:proofErr w:type="spellEnd"/>
            <w:proofErr w:type="gramEnd"/>
          </w:p>
          <w:p w14:paraId="6E311402" w14:textId="67F70226" w:rsidR="00304C1B" w:rsidRPr="001176F9" w:rsidRDefault="00304C1B" w:rsidP="00304C1B">
            <w:pPr>
              <w:tabs>
                <w:tab w:val="center" w:pos="3152"/>
              </w:tabs>
              <w:rPr>
                <w:rFonts w:cs="Arial"/>
                <w:szCs w:val="19"/>
                <w:lang w:val="en-US"/>
              </w:rPr>
            </w:pPr>
            <w:r w:rsidRPr="00AE1197">
              <w:rPr>
                <w:rFonts w:cs="Arial"/>
                <w:sz w:val="16"/>
                <w:szCs w:val="16"/>
                <w:lang w:val="en-US"/>
              </w:rPr>
              <w:t>[new 5,000unit vial formulation with new indication]</w:t>
            </w:r>
          </w:p>
        </w:tc>
      </w:tr>
      <w:tr w:rsidR="00304C1B" w14:paraId="19226427" w14:textId="77777777" w:rsidTr="003F7448">
        <w:tc>
          <w:tcPr>
            <w:tcW w:w="1427" w:type="pct"/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32BDA388" w14:textId="77777777" w:rsidR="00304C1B" w:rsidRDefault="00304C1B" w:rsidP="00304C1B">
            <w:pPr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Ustekinumab biosimilar (</w:t>
            </w:r>
            <w:proofErr w:type="spellStart"/>
            <w:r w:rsidRPr="00812244">
              <w:rPr>
                <w:rFonts w:cs="Arial"/>
                <w:i/>
                <w:iCs/>
                <w:szCs w:val="19"/>
              </w:rPr>
              <w:t>Pyzchiva</w:t>
            </w:r>
            <w:proofErr w:type="spellEnd"/>
            <w:r>
              <w:rPr>
                <w:rFonts w:cs="Arial"/>
                <w:szCs w:val="19"/>
              </w:rPr>
              <w:t xml:space="preserve">) </w:t>
            </w:r>
          </w:p>
          <w:p w14:paraId="70B13A76" w14:textId="303776BE" w:rsidR="00304C1B" w:rsidRPr="00A075A3" w:rsidRDefault="00304C1B" w:rsidP="00304C1B">
            <w:pPr>
              <w:rPr>
                <w:rFonts w:cs="Arial"/>
                <w:szCs w:val="19"/>
              </w:rPr>
            </w:pPr>
            <w:r w:rsidRPr="001176F9">
              <w:rPr>
                <w:rFonts w:cs="Arial"/>
                <w:sz w:val="16"/>
                <w:szCs w:val="16"/>
              </w:rPr>
              <w:t>130mg in 26mL vial</w:t>
            </w:r>
          </w:p>
        </w:tc>
        <w:tc>
          <w:tcPr>
            <w:tcW w:w="3573" w:type="pct"/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5A1CACEA" w14:textId="5AD324CC" w:rsidR="00304C1B" w:rsidRPr="00A075A3" w:rsidRDefault="00304C1B" w:rsidP="00304C1B">
            <w:pPr>
              <w:tabs>
                <w:tab w:val="center" w:pos="3152"/>
              </w:tabs>
              <w:rPr>
                <w:rFonts w:cs="Arial"/>
                <w:szCs w:val="19"/>
                <w:lang w:val="en-US"/>
              </w:rPr>
            </w:pPr>
            <w:r w:rsidRPr="001176F9">
              <w:rPr>
                <w:rFonts w:cs="Arial"/>
                <w:szCs w:val="19"/>
                <w:lang w:val="en-US"/>
              </w:rPr>
              <w:t xml:space="preserve">Treatment of adults with moderately to severely active Crohn’s disease who have had an inadequate response </w:t>
            </w:r>
            <w:proofErr w:type="gramStart"/>
            <w:r w:rsidRPr="001176F9">
              <w:rPr>
                <w:rFonts w:cs="Arial"/>
                <w:szCs w:val="19"/>
                <w:lang w:val="en-US"/>
              </w:rPr>
              <w:t>with,</w:t>
            </w:r>
            <w:proofErr w:type="gramEnd"/>
            <w:r w:rsidRPr="001176F9">
              <w:rPr>
                <w:rFonts w:cs="Arial"/>
                <w:szCs w:val="19"/>
                <w:lang w:val="en-US"/>
              </w:rPr>
              <w:t xml:space="preserve"> lost response to, or were intolerant to either conventional therapy or a TNFα antagonist or have medical contraindications to such therapies</w:t>
            </w:r>
          </w:p>
        </w:tc>
      </w:tr>
      <w:tr w:rsidR="00304C1B" w:rsidRPr="00862949" w14:paraId="37D91F45" w14:textId="77777777" w:rsidTr="002772ED">
        <w:tc>
          <w:tcPr>
            <w:tcW w:w="5000" w:type="pct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2DCD4B93" w14:textId="77777777" w:rsidR="00304C1B" w:rsidRPr="00862949" w:rsidRDefault="00304C1B" w:rsidP="00304C1B">
            <w:pPr>
              <w:rPr>
                <w:rFonts w:cs="Arial"/>
                <w:b/>
                <w:noProof/>
                <w:sz w:val="8"/>
                <w:szCs w:val="8"/>
              </w:rPr>
            </w:pPr>
          </w:p>
        </w:tc>
      </w:tr>
      <w:tr w:rsidR="00304C1B" w:rsidRPr="00862949" w14:paraId="26CB42FA" w14:textId="77777777" w:rsidTr="002772ED">
        <w:tc>
          <w:tcPr>
            <w:tcW w:w="5000" w:type="pct"/>
            <w:gridSpan w:val="2"/>
            <w:shd w:val="clear" w:color="auto" w:fill="DAEEF3"/>
            <w:tcMar>
              <w:top w:w="0" w:type="dxa"/>
              <w:bottom w:w="0" w:type="dxa"/>
            </w:tcMar>
          </w:tcPr>
          <w:p w14:paraId="1F915DE1" w14:textId="77777777" w:rsidR="00304C1B" w:rsidRPr="00862949" w:rsidRDefault="00304C1B" w:rsidP="00304C1B">
            <w:pPr>
              <w:rPr>
                <w:rFonts w:cs="Arial"/>
                <w:b/>
                <w:i/>
                <w:noProof/>
                <w:sz w:val="8"/>
                <w:szCs w:val="8"/>
              </w:rPr>
            </w:pPr>
          </w:p>
        </w:tc>
      </w:tr>
    </w:tbl>
    <w:p w14:paraId="5ED53A2C" w14:textId="77777777" w:rsidR="00797F59" w:rsidRDefault="00797F59" w:rsidP="00727945">
      <w:pPr>
        <w:rPr>
          <w:rFonts w:ascii="Latha" w:hAnsi="Latha" w:cs="Latha"/>
          <w:sz w:val="8"/>
          <w:szCs w:val="8"/>
        </w:rPr>
      </w:pPr>
    </w:p>
    <w:p w14:paraId="3525A385" w14:textId="77777777" w:rsidR="0022269C" w:rsidRDefault="0022269C" w:rsidP="00727945">
      <w:pPr>
        <w:rPr>
          <w:rFonts w:ascii="Latha" w:hAnsi="Latha" w:cs="Latha"/>
          <w:sz w:val="8"/>
          <w:szCs w:val="8"/>
        </w:rPr>
      </w:pPr>
    </w:p>
    <w:p w14:paraId="5737858E" w14:textId="3C119BAC" w:rsidR="0022269C" w:rsidRDefault="0022269C" w:rsidP="00727945">
      <w:pPr>
        <w:rPr>
          <w:rFonts w:ascii="Latha" w:hAnsi="Latha" w:cs="Latha"/>
          <w:sz w:val="8"/>
          <w:szCs w:val="8"/>
        </w:rPr>
      </w:pPr>
    </w:p>
    <w:p w14:paraId="642463D5" w14:textId="77777777" w:rsidR="001A42CE" w:rsidRDefault="001A42CE" w:rsidP="00727945">
      <w:pPr>
        <w:rPr>
          <w:rFonts w:ascii="Latha" w:hAnsi="Latha" w:cs="Latha"/>
          <w:sz w:val="8"/>
          <w:szCs w:val="8"/>
        </w:rPr>
      </w:pPr>
    </w:p>
    <w:p w14:paraId="2CE72C7E" w14:textId="77777777" w:rsidR="00617C47" w:rsidRPr="00727945" w:rsidRDefault="00617C47" w:rsidP="00727945">
      <w:pPr>
        <w:rPr>
          <w:rFonts w:ascii="Latha" w:hAnsi="Latha" w:cs="Latha"/>
          <w:sz w:val="8"/>
          <w:szCs w:val="8"/>
        </w:rPr>
        <w:sectPr w:rsidR="00617C47" w:rsidRPr="00727945" w:rsidSect="002772E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 w:code="9"/>
          <w:pgMar w:top="680" w:right="851" w:bottom="680" w:left="851" w:header="567" w:footer="227" w:gutter="0"/>
          <w:cols w:space="708"/>
          <w:docGrid w:linePitch="360"/>
        </w:sectPr>
      </w:pPr>
    </w:p>
    <w:p w14:paraId="3BA2B01F" w14:textId="77777777" w:rsidR="006825BB" w:rsidRDefault="006825BB">
      <w:pPr>
        <w:rPr>
          <w:sz w:val="8"/>
          <w:szCs w:val="16"/>
        </w:rPr>
      </w:pPr>
    </w:p>
    <w:p w14:paraId="08652578" w14:textId="2EDF1AE0" w:rsidR="00A81694" w:rsidRDefault="00A81694" w:rsidP="00EB3E6F">
      <w:pPr>
        <w:tabs>
          <w:tab w:val="left" w:pos="2087"/>
        </w:tabs>
      </w:pPr>
    </w:p>
    <w:tbl>
      <w:tblPr>
        <w:tblW w:w="5170" w:type="pct"/>
        <w:tblInd w:w="-176" w:type="dxa"/>
        <w:tblLayout w:type="fixed"/>
        <w:tblLook w:val="01E0" w:firstRow="1" w:lastRow="1" w:firstColumn="1" w:lastColumn="1" w:noHBand="0" w:noVBand="0"/>
      </w:tblPr>
      <w:tblGrid>
        <w:gridCol w:w="2161"/>
        <w:gridCol w:w="8390"/>
      </w:tblGrid>
      <w:tr w:rsidR="00617C47" w:rsidRPr="00862949" w14:paraId="1E79415E" w14:textId="77777777" w:rsidTr="006A34F2">
        <w:tc>
          <w:tcPr>
            <w:tcW w:w="5000" w:type="pct"/>
            <w:gridSpan w:val="2"/>
            <w:shd w:val="clear" w:color="auto" w:fill="0070C0"/>
            <w:tcMar>
              <w:top w:w="85" w:type="dxa"/>
              <w:bottom w:w="85" w:type="dxa"/>
            </w:tcMar>
            <w:vAlign w:val="bottom"/>
          </w:tcPr>
          <w:p w14:paraId="000A194D" w14:textId="77777777" w:rsidR="00617C47" w:rsidRPr="00862949" w:rsidRDefault="00617C47" w:rsidP="006A34F2">
            <w:pPr>
              <w:rPr>
                <w:rFonts w:cs="Arial"/>
                <w:color w:val="FFFFFF"/>
                <w:sz w:val="15"/>
                <w:szCs w:val="15"/>
              </w:rPr>
            </w:pPr>
            <w:r>
              <w:rPr>
                <w:rFonts w:cs="Arial"/>
                <w:b/>
                <w:bCs/>
                <w:iCs/>
                <w:color w:val="FFFFFF"/>
                <w:sz w:val="28"/>
                <w:szCs w:val="28"/>
                <w:lang w:val="en-US"/>
              </w:rPr>
              <w:t>New product information</w:t>
            </w:r>
            <w:r w:rsidRPr="00862949">
              <w:rPr>
                <w:rFonts w:cs="Arial"/>
                <w:b/>
                <w:bCs/>
                <w:iCs/>
                <w:color w:val="FFFFFF"/>
                <w:sz w:val="28"/>
                <w:szCs w:val="28"/>
                <w:lang w:val="en-US"/>
              </w:rPr>
              <w:tab/>
            </w:r>
          </w:p>
        </w:tc>
      </w:tr>
      <w:tr w:rsidR="00617C47" w:rsidRPr="00862949" w14:paraId="610BEEBB" w14:textId="77777777" w:rsidTr="006A34F2">
        <w:tc>
          <w:tcPr>
            <w:tcW w:w="5000" w:type="pct"/>
            <w:gridSpan w:val="2"/>
            <w:shd w:val="clear" w:color="auto" w:fill="DAEEF3"/>
            <w:tcMar>
              <w:top w:w="0" w:type="dxa"/>
              <w:bottom w:w="0" w:type="dxa"/>
            </w:tcMar>
          </w:tcPr>
          <w:p w14:paraId="2CCD74F0" w14:textId="77777777" w:rsidR="00617C47" w:rsidRPr="00862949" w:rsidRDefault="00617C47" w:rsidP="006A34F2">
            <w:pPr>
              <w:rPr>
                <w:rFonts w:cs="Arial"/>
                <w:b/>
                <w:bCs/>
                <w:i/>
                <w:iCs/>
                <w:color w:val="000000"/>
                <w:sz w:val="8"/>
                <w:szCs w:val="8"/>
                <w:lang w:val="en-US"/>
              </w:rPr>
            </w:pPr>
          </w:p>
        </w:tc>
      </w:tr>
      <w:tr w:rsidR="00617C47" w:rsidRPr="00862949" w14:paraId="203C5B8E" w14:textId="77777777" w:rsidTr="006A34F2">
        <w:tc>
          <w:tcPr>
            <w:tcW w:w="5000" w:type="pct"/>
            <w:gridSpan w:val="2"/>
            <w:shd w:val="clear" w:color="auto" w:fill="00B050"/>
            <w:tcMar>
              <w:top w:w="57" w:type="dxa"/>
              <w:bottom w:w="57" w:type="dxa"/>
            </w:tcMar>
          </w:tcPr>
          <w:p w14:paraId="21D26A15" w14:textId="7A7E269F" w:rsidR="00617C47" w:rsidRPr="00433D3E" w:rsidRDefault="00617C47" w:rsidP="006A34F2">
            <w:pPr>
              <w:rPr>
                <w:rFonts w:cs="Arial"/>
                <w:color w:val="FFFFFF"/>
                <w:sz w:val="20"/>
                <w:szCs w:val="20"/>
              </w:rPr>
            </w:pPr>
            <w:r w:rsidRPr="00433D3E">
              <w:rPr>
                <w:rFonts w:cs="Arial"/>
                <w:b/>
                <w:bCs/>
                <w:i/>
                <w:iCs/>
                <w:color w:val="FFFFFF"/>
                <w:sz w:val="22"/>
                <w:szCs w:val="20"/>
                <w:lang w:val="en-US"/>
              </w:rPr>
              <w:t xml:space="preserve">Launched in the UK (or </w:t>
            </w:r>
            <w:proofErr w:type="spellStart"/>
            <w:r w:rsidRPr="00433D3E">
              <w:rPr>
                <w:rFonts w:cs="Arial"/>
                <w:b/>
                <w:bCs/>
                <w:i/>
                <w:iCs/>
                <w:color w:val="FFFFFF"/>
                <w:sz w:val="22"/>
                <w:szCs w:val="20"/>
                <w:lang w:val="en-US"/>
              </w:rPr>
              <w:t>licence</w:t>
            </w:r>
            <w:proofErr w:type="spellEnd"/>
            <w:r w:rsidRPr="00433D3E">
              <w:rPr>
                <w:rFonts w:cs="Arial"/>
                <w:b/>
                <w:bCs/>
                <w:i/>
                <w:iCs/>
                <w:color w:val="FFFFFF"/>
                <w:sz w:val="22"/>
                <w:szCs w:val="20"/>
                <w:lang w:val="en-US"/>
              </w:rPr>
              <w:t xml:space="preserve"> change for existing products)</w:t>
            </w:r>
            <w:r w:rsidR="003C1F60">
              <w:rPr>
                <w:rFonts w:cs="Arial"/>
                <w:b/>
                <w:bCs/>
                <w:i/>
                <w:iCs/>
                <w:color w:val="FFFFFF"/>
                <w:sz w:val="22"/>
                <w:szCs w:val="20"/>
                <w:lang w:val="en-US"/>
              </w:rPr>
              <w:t xml:space="preserve"> </w:t>
            </w:r>
            <w:r w:rsidR="003C1F60" w:rsidRPr="003C1F60">
              <w:rPr>
                <w:rFonts w:cs="Arial"/>
                <w:b/>
                <w:bCs/>
                <w:color w:val="FFFFFF"/>
                <w:sz w:val="16"/>
                <w:szCs w:val="14"/>
                <w:lang w:val="en-US"/>
              </w:rPr>
              <w:t>(continued)</w:t>
            </w:r>
          </w:p>
        </w:tc>
      </w:tr>
      <w:tr w:rsidR="00617C47" w14:paraId="5AE798F4" w14:textId="77777777" w:rsidTr="002541F1">
        <w:tc>
          <w:tcPr>
            <w:tcW w:w="1024" w:type="pct"/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46912BB4" w14:textId="77777777" w:rsidR="00617C47" w:rsidRDefault="00617C47" w:rsidP="006A34F2">
            <w:pPr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Ustekinumab biosimilar (</w:t>
            </w:r>
            <w:proofErr w:type="spellStart"/>
            <w:r w:rsidRPr="00812244">
              <w:rPr>
                <w:rFonts w:cs="Arial"/>
                <w:i/>
                <w:iCs/>
                <w:szCs w:val="19"/>
              </w:rPr>
              <w:t>Pyzchiva</w:t>
            </w:r>
            <w:proofErr w:type="spellEnd"/>
            <w:r>
              <w:rPr>
                <w:rFonts w:cs="Arial"/>
                <w:szCs w:val="19"/>
              </w:rPr>
              <w:t xml:space="preserve">) </w:t>
            </w:r>
          </w:p>
          <w:p w14:paraId="4A467F6B" w14:textId="77777777" w:rsidR="00617C47" w:rsidRPr="00A546D0" w:rsidRDefault="00617C47" w:rsidP="006A34F2">
            <w:pPr>
              <w:rPr>
                <w:rFonts w:cs="Arial"/>
                <w:szCs w:val="19"/>
              </w:rPr>
            </w:pPr>
            <w:r w:rsidRPr="001176F9">
              <w:rPr>
                <w:rFonts w:cs="Arial"/>
                <w:sz w:val="16"/>
                <w:szCs w:val="16"/>
              </w:rPr>
              <w:t>45mg in 0.5mL and 90mg in 1mL prefilled syringes</w:t>
            </w:r>
          </w:p>
        </w:tc>
        <w:tc>
          <w:tcPr>
            <w:tcW w:w="3976" w:type="pct"/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0D92FC59" w14:textId="4B75BBF1" w:rsidR="00617C47" w:rsidRDefault="00617C47" w:rsidP="006A34F2">
            <w:pPr>
              <w:tabs>
                <w:tab w:val="center" w:pos="3152"/>
              </w:tabs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176F9">
              <w:rPr>
                <w:rFonts w:cs="Arial"/>
                <w:szCs w:val="19"/>
                <w:lang w:val="en-US"/>
              </w:rPr>
              <w:t xml:space="preserve">Treatment of moderate to severe plaque psoriasis in adults who failed to respond to, or who have a contraindication to, or are intolerant to other systemic therapies including </w:t>
            </w:r>
            <w:r w:rsidRPr="00C32455">
              <w:rPr>
                <w:rFonts w:cs="Arial"/>
                <w:szCs w:val="19"/>
                <w:lang w:val="en-US"/>
              </w:rPr>
              <w:t>ciclosporin, methotrexate (MTX) or PUVA (psoralen and ultraviolet A); treatment of moderate to severe plaque psoriasis in children and adolescent patients aged ≥6 years who are inadequately controlled by, or are intolerant to, other systemic therapies or phototherapies; use alone or in combination with MTX for the treatment of active psoriatic arthritis in adults when the response to previous non- biological disease-modifying anti-rheumatic drug therapy has been inadequate; treatment of adults with moderately to severely active Crohn’s disease who have had an inadequate response with, lost response to, or were intolerant to either conventional therapy or a TNFα antagonist or have medical contraindications to such therapies</w:t>
            </w:r>
          </w:p>
        </w:tc>
      </w:tr>
      <w:tr w:rsidR="00617C47" w14:paraId="246F5232" w14:textId="77777777" w:rsidTr="002541F1">
        <w:tc>
          <w:tcPr>
            <w:tcW w:w="1024" w:type="pct"/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01E3B272" w14:textId="77777777" w:rsidR="00617C47" w:rsidRDefault="00617C47" w:rsidP="006A34F2">
            <w:r>
              <w:t>Ustekinumab biosimilar (</w:t>
            </w:r>
            <w:proofErr w:type="spellStart"/>
            <w:r>
              <w:rPr>
                <w:i/>
                <w:iCs/>
              </w:rPr>
              <w:t>Uzpruvo</w:t>
            </w:r>
            <w:proofErr w:type="spellEnd"/>
            <w:r>
              <w:t>)</w:t>
            </w:r>
          </w:p>
          <w:p w14:paraId="17415ED0" w14:textId="77777777" w:rsidR="00617C47" w:rsidRDefault="00617C47" w:rsidP="006A34F2">
            <w:pPr>
              <w:rPr>
                <w:rFonts w:cs="Arial"/>
                <w:szCs w:val="19"/>
              </w:rPr>
            </w:pPr>
            <w:r w:rsidRPr="00144F29">
              <w:rPr>
                <w:sz w:val="16"/>
                <w:szCs w:val="20"/>
              </w:rPr>
              <w:t xml:space="preserve">45mg </w:t>
            </w:r>
            <w:r>
              <w:rPr>
                <w:sz w:val="16"/>
                <w:szCs w:val="20"/>
              </w:rPr>
              <w:t xml:space="preserve">in 0.5mL </w:t>
            </w:r>
            <w:r w:rsidRPr="00144F29">
              <w:rPr>
                <w:sz w:val="16"/>
                <w:szCs w:val="20"/>
              </w:rPr>
              <w:t>and 90mg</w:t>
            </w:r>
            <w:r>
              <w:rPr>
                <w:sz w:val="16"/>
                <w:szCs w:val="20"/>
              </w:rPr>
              <w:t xml:space="preserve"> in 1mL</w:t>
            </w:r>
            <w:r w:rsidRPr="00144F29">
              <w:rPr>
                <w:sz w:val="16"/>
                <w:szCs w:val="20"/>
              </w:rPr>
              <w:t xml:space="preserve"> prefilled syringes</w:t>
            </w:r>
          </w:p>
        </w:tc>
        <w:tc>
          <w:tcPr>
            <w:tcW w:w="3976" w:type="pct"/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41DF0929" w14:textId="77777777" w:rsidR="00617C47" w:rsidRPr="001176F9" w:rsidRDefault="00617C47" w:rsidP="006A34F2">
            <w:pPr>
              <w:tabs>
                <w:tab w:val="center" w:pos="3152"/>
              </w:tabs>
              <w:rPr>
                <w:rFonts w:cs="Arial"/>
                <w:szCs w:val="19"/>
                <w:lang w:val="en-US"/>
              </w:rPr>
            </w:pPr>
            <w:r w:rsidRPr="00691BD7">
              <w:rPr>
                <w:rFonts w:cs="Arial"/>
                <w:szCs w:val="19"/>
                <w:lang w:val="en-US"/>
              </w:rPr>
              <w:t>Treatment of moderate to severe plaque psoriasis in adults who failed to respond to, or who have a contraindication to, or are intolerant to other systemic therapies including ciclosporin, methotrexate (MTX) or PUVA (psoralen and ultraviolet A)</w:t>
            </w:r>
            <w:r>
              <w:rPr>
                <w:rFonts w:cs="Arial"/>
                <w:szCs w:val="19"/>
                <w:lang w:val="en-US"/>
              </w:rPr>
              <w:t>;</w:t>
            </w:r>
            <w:r w:rsidRPr="00691BD7">
              <w:rPr>
                <w:rFonts w:cs="Arial"/>
                <w:szCs w:val="19"/>
                <w:lang w:val="en-US"/>
              </w:rPr>
              <w:t xml:space="preserve"> </w:t>
            </w:r>
            <w:r w:rsidRPr="00376CCD">
              <w:rPr>
                <w:rFonts w:cs="Arial"/>
                <w:szCs w:val="19"/>
                <w:lang w:val="en-US"/>
              </w:rPr>
              <w:t>treatment of moderate to severe plaque psoriasis in children and adolescent patients aged ≥6 years who are inadequately controlled by, or are intolerant to, other systemic therapies or phototherapies; use alone or in combination with MTX for treatment of active psoriatic arthritis in adults when the response to previous non-biological disease-modifying anti-rheumatic drug therapy has been inadequate; and treatment of adults with moderately to severely active Crohn’s disease who have had an inadequate response with, lost response to, or were intolerant to either conventional therapy or a TNFα antagonist or have medical contraindications to such therapies</w:t>
            </w:r>
          </w:p>
        </w:tc>
      </w:tr>
      <w:tr w:rsidR="00617C47" w:rsidRPr="00862949" w14:paraId="6E8C5C61" w14:textId="77777777" w:rsidTr="006A34F2">
        <w:tc>
          <w:tcPr>
            <w:tcW w:w="5000" w:type="pct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5DB11C02" w14:textId="77777777" w:rsidR="00617C47" w:rsidRPr="00862949" w:rsidRDefault="00617C47" w:rsidP="006A34F2">
            <w:pPr>
              <w:rPr>
                <w:rFonts w:cs="Arial"/>
                <w:b/>
                <w:noProof/>
                <w:sz w:val="8"/>
                <w:szCs w:val="8"/>
              </w:rPr>
            </w:pPr>
          </w:p>
        </w:tc>
      </w:tr>
      <w:tr w:rsidR="00617C47" w:rsidRPr="00862949" w14:paraId="182D9D7A" w14:textId="77777777" w:rsidTr="006A34F2">
        <w:tc>
          <w:tcPr>
            <w:tcW w:w="5000" w:type="pct"/>
            <w:gridSpan w:val="2"/>
            <w:shd w:val="clear" w:color="auto" w:fill="DAEEF3"/>
            <w:tcMar>
              <w:top w:w="0" w:type="dxa"/>
              <w:bottom w:w="0" w:type="dxa"/>
            </w:tcMar>
          </w:tcPr>
          <w:p w14:paraId="19C0E569" w14:textId="77777777" w:rsidR="00617C47" w:rsidRPr="00862949" w:rsidRDefault="00617C47" w:rsidP="006A34F2">
            <w:pPr>
              <w:rPr>
                <w:rFonts w:cs="Arial"/>
                <w:b/>
                <w:i/>
                <w:noProof/>
                <w:sz w:val="8"/>
                <w:szCs w:val="8"/>
              </w:rPr>
            </w:pPr>
          </w:p>
        </w:tc>
      </w:tr>
    </w:tbl>
    <w:p w14:paraId="156B0E4B" w14:textId="77777777" w:rsidR="00617C47" w:rsidRDefault="00617C47" w:rsidP="00EB3E6F">
      <w:pPr>
        <w:tabs>
          <w:tab w:val="left" w:pos="2087"/>
        </w:tabs>
      </w:pPr>
    </w:p>
    <w:p w14:paraId="227BBCE3" w14:textId="77777777" w:rsidR="00617C47" w:rsidRDefault="00617C47" w:rsidP="00EB3E6F">
      <w:pPr>
        <w:tabs>
          <w:tab w:val="left" w:pos="2087"/>
        </w:tabs>
      </w:pPr>
    </w:p>
    <w:tbl>
      <w:tblPr>
        <w:tblW w:w="5170" w:type="pct"/>
        <w:tblInd w:w="-176" w:type="dxa"/>
        <w:tblLayout w:type="fixed"/>
        <w:tblLook w:val="01E0" w:firstRow="1" w:lastRow="1" w:firstColumn="1" w:lastColumn="1" w:noHBand="0" w:noVBand="0"/>
      </w:tblPr>
      <w:tblGrid>
        <w:gridCol w:w="2431"/>
        <w:gridCol w:w="154"/>
        <w:gridCol w:w="7966"/>
      </w:tblGrid>
      <w:tr w:rsidR="005A7E09" w:rsidRPr="00862949" w14:paraId="61E18499" w14:textId="77777777" w:rsidTr="005A7E09">
        <w:tc>
          <w:tcPr>
            <w:tcW w:w="5000" w:type="pct"/>
            <w:gridSpan w:val="3"/>
            <w:shd w:val="clear" w:color="auto" w:fill="0070C0"/>
            <w:tcMar>
              <w:top w:w="85" w:type="dxa"/>
              <w:bottom w:w="85" w:type="dxa"/>
            </w:tcMar>
            <w:vAlign w:val="bottom"/>
          </w:tcPr>
          <w:p w14:paraId="2B5B1FD9" w14:textId="77777777" w:rsidR="005A7E09" w:rsidRPr="00862949" w:rsidRDefault="005A7E09" w:rsidP="005A7E09">
            <w:pPr>
              <w:rPr>
                <w:rFonts w:cs="Arial"/>
                <w:color w:val="FFFFFF"/>
                <w:sz w:val="15"/>
                <w:szCs w:val="15"/>
              </w:rPr>
            </w:pPr>
            <w:r w:rsidRPr="00862949">
              <w:rPr>
                <w:rFonts w:cs="Arial"/>
                <w:b/>
                <w:bCs/>
                <w:iCs/>
                <w:color w:val="FFFFFF"/>
                <w:sz w:val="28"/>
                <w:szCs w:val="28"/>
                <w:lang w:val="en-US"/>
              </w:rPr>
              <w:t xml:space="preserve">Regulatory changes in the </w:t>
            </w:r>
            <w:r w:rsidR="00AA1F49">
              <w:rPr>
                <w:rFonts w:cs="Arial"/>
                <w:b/>
                <w:bCs/>
                <w:iCs/>
                <w:color w:val="FFFFFF"/>
                <w:sz w:val="28"/>
                <w:szCs w:val="28"/>
                <w:lang w:val="en-US"/>
              </w:rPr>
              <w:t xml:space="preserve">UK or </w:t>
            </w:r>
            <w:r w:rsidRPr="00862949">
              <w:rPr>
                <w:rFonts w:cs="Arial"/>
                <w:b/>
                <w:bCs/>
                <w:iCs/>
                <w:color w:val="FFFFFF"/>
                <w:sz w:val="28"/>
                <w:szCs w:val="28"/>
                <w:lang w:val="en-US"/>
              </w:rPr>
              <w:t>EU</w:t>
            </w:r>
            <w:r w:rsidRPr="00862949">
              <w:rPr>
                <w:rFonts w:cs="Arial"/>
                <w:b/>
                <w:bCs/>
                <w:iCs/>
                <w:color w:val="FFFFFF"/>
                <w:sz w:val="28"/>
                <w:szCs w:val="28"/>
                <w:lang w:val="en-US"/>
              </w:rPr>
              <w:tab/>
            </w:r>
          </w:p>
        </w:tc>
      </w:tr>
      <w:tr w:rsidR="005A7E09" w:rsidRPr="00862949" w14:paraId="1CF3FB59" w14:textId="77777777" w:rsidTr="005A7E09">
        <w:tc>
          <w:tcPr>
            <w:tcW w:w="5000" w:type="pct"/>
            <w:gridSpan w:val="3"/>
            <w:shd w:val="clear" w:color="auto" w:fill="DAEEF3"/>
            <w:tcMar>
              <w:top w:w="0" w:type="dxa"/>
              <w:bottom w:w="0" w:type="dxa"/>
            </w:tcMar>
          </w:tcPr>
          <w:p w14:paraId="23A8C756" w14:textId="77777777" w:rsidR="005A7E09" w:rsidRPr="00862949" w:rsidRDefault="005A7E09" w:rsidP="005A7E09">
            <w:pPr>
              <w:rPr>
                <w:rFonts w:cs="Arial"/>
                <w:b/>
                <w:bCs/>
                <w:i/>
                <w:iCs/>
                <w:color w:val="000000"/>
                <w:sz w:val="8"/>
                <w:szCs w:val="8"/>
                <w:lang w:val="en-US"/>
              </w:rPr>
            </w:pPr>
          </w:p>
        </w:tc>
      </w:tr>
      <w:tr w:rsidR="005A7E09" w:rsidRPr="00862949" w14:paraId="714F14F2" w14:textId="77777777" w:rsidTr="005A7E09">
        <w:tc>
          <w:tcPr>
            <w:tcW w:w="5000" w:type="pct"/>
            <w:gridSpan w:val="3"/>
            <w:shd w:val="clear" w:color="auto" w:fill="00B050"/>
            <w:tcMar>
              <w:top w:w="57" w:type="dxa"/>
              <w:bottom w:w="57" w:type="dxa"/>
            </w:tcMar>
          </w:tcPr>
          <w:p w14:paraId="56FE3549" w14:textId="77777777" w:rsidR="005A7E09" w:rsidRPr="00433D3E" w:rsidRDefault="005A7E09" w:rsidP="00EB3E6F">
            <w:pPr>
              <w:rPr>
                <w:rFonts w:cs="Arial"/>
                <w:color w:val="FFFFFF"/>
                <w:sz w:val="20"/>
                <w:szCs w:val="20"/>
              </w:rPr>
            </w:pPr>
            <w:r w:rsidRPr="00433D3E">
              <w:rPr>
                <w:rFonts w:cs="Arial"/>
                <w:b/>
                <w:bCs/>
                <w:i/>
                <w:iCs/>
                <w:color w:val="FFFFFF"/>
                <w:sz w:val="22"/>
                <w:szCs w:val="20"/>
                <w:lang w:val="en-US"/>
              </w:rPr>
              <w:t xml:space="preserve">Approved in the </w:t>
            </w:r>
            <w:r w:rsidR="0048777D">
              <w:rPr>
                <w:rFonts w:cs="Arial"/>
                <w:b/>
                <w:bCs/>
                <w:i/>
                <w:iCs/>
                <w:color w:val="FFFFFF"/>
                <w:sz w:val="22"/>
                <w:szCs w:val="20"/>
                <w:lang w:val="en-US"/>
              </w:rPr>
              <w:t>UK</w:t>
            </w:r>
          </w:p>
        </w:tc>
      </w:tr>
      <w:tr w:rsidR="00247547" w14:paraId="209A2E19" w14:textId="77777777" w:rsidTr="002541F1">
        <w:tc>
          <w:tcPr>
            <w:tcW w:w="1225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B8A4254" w14:textId="77777777" w:rsidR="00804389" w:rsidRDefault="00804389" w:rsidP="007D01FD">
            <w:pPr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Adalimumab biosimilar (</w:t>
            </w:r>
            <w:proofErr w:type="spellStart"/>
            <w:r>
              <w:rPr>
                <w:rFonts w:cs="Arial"/>
                <w:i/>
                <w:iCs/>
                <w:szCs w:val="19"/>
              </w:rPr>
              <w:t>Amgevita</w:t>
            </w:r>
            <w:proofErr w:type="spellEnd"/>
            <w:r>
              <w:rPr>
                <w:rFonts w:cs="Arial"/>
                <w:i/>
                <w:iCs/>
                <w:szCs w:val="19"/>
              </w:rPr>
              <w:t xml:space="preserve"> HCF</w:t>
            </w:r>
            <w:r>
              <w:rPr>
                <w:rFonts w:cs="Arial"/>
                <w:szCs w:val="19"/>
              </w:rPr>
              <w:t xml:space="preserve">) </w:t>
            </w:r>
          </w:p>
          <w:p w14:paraId="01E3898B" w14:textId="64494FE0" w:rsidR="00247547" w:rsidRPr="00804389" w:rsidRDefault="00804389" w:rsidP="007D01FD">
            <w:pPr>
              <w:rPr>
                <w:rFonts w:cs="Arial"/>
                <w:szCs w:val="19"/>
              </w:rPr>
            </w:pPr>
            <w:r w:rsidRPr="00804389">
              <w:rPr>
                <w:rFonts w:cs="Arial"/>
                <w:sz w:val="16"/>
                <w:szCs w:val="16"/>
              </w:rPr>
              <w:t>20mg in 0.2mL prefilled syringe, and 40mg in 0.4mL and 80mg in 0.8mL prefilled pen and syringe</w:t>
            </w:r>
          </w:p>
        </w:tc>
        <w:tc>
          <w:tcPr>
            <w:tcW w:w="3775" w:type="pct"/>
            <w:shd w:val="clear" w:color="auto" w:fill="auto"/>
            <w:tcMar>
              <w:top w:w="57" w:type="dxa"/>
              <w:bottom w:w="57" w:type="dxa"/>
            </w:tcMar>
          </w:tcPr>
          <w:p w14:paraId="11205644" w14:textId="6CBEC202" w:rsidR="00247547" w:rsidRPr="00804389" w:rsidRDefault="00804389" w:rsidP="002541F1">
            <w:pPr>
              <w:tabs>
                <w:tab w:val="center" w:pos="3152"/>
              </w:tabs>
              <w:rPr>
                <w:rFonts w:cs="Arial"/>
                <w:i/>
                <w:iCs/>
                <w:szCs w:val="19"/>
                <w:lang w:val="en-US"/>
              </w:rPr>
            </w:pPr>
            <w:r w:rsidRPr="00804389">
              <w:rPr>
                <w:rFonts w:cs="Arial"/>
                <w:szCs w:val="19"/>
                <w:lang w:val="en-US"/>
              </w:rPr>
              <w:t xml:space="preserve">Treatment of rheumatoid arthritis in adults, juvenile idiopathic arthritis in patients aged </w:t>
            </w:r>
            <w:r>
              <w:rPr>
                <w:rFonts w:cs="Arial"/>
                <w:szCs w:val="19"/>
                <w:lang w:val="en-US"/>
              </w:rPr>
              <w:t>≥</w:t>
            </w:r>
            <w:r w:rsidRPr="00804389">
              <w:rPr>
                <w:rFonts w:cs="Arial"/>
                <w:szCs w:val="19"/>
                <w:lang w:val="en-US"/>
              </w:rPr>
              <w:t xml:space="preserve">2 years, psoriatic arthritis in adults, axial </w:t>
            </w:r>
            <w:proofErr w:type="spellStart"/>
            <w:r w:rsidRPr="00804389">
              <w:rPr>
                <w:rFonts w:cs="Arial"/>
                <w:szCs w:val="19"/>
                <w:lang w:val="en-US"/>
              </w:rPr>
              <w:t>spondyloarthritis</w:t>
            </w:r>
            <w:proofErr w:type="spellEnd"/>
            <w:r w:rsidRPr="00804389">
              <w:rPr>
                <w:rFonts w:cs="Arial"/>
                <w:szCs w:val="19"/>
                <w:lang w:val="en-US"/>
              </w:rPr>
              <w:t xml:space="preserve"> in adults, Crohn’s disease in adults and children aged </w:t>
            </w:r>
            <w:r>
              <w:rPr>
                <w:rFonts w:cs="Arial"/>
                <w:szCs w:val="19"/>
                <w:lang w:val="en-US"/>
              </w:rPr>
              <w:t>≥</w:t>
            </w:r>
            <w:r w:rsidRPr="00804389">
              <w:rPr>
                <w:rFonts w:cs="Arial"/>
                <w:szCs w:val="19"/>
                <w:lang w:val="en-US"/>
              </w:rPr>
              <w:t xml:space="preserve">6 years, ulcerative colitis in adults and children aged </w:t>
            </w:r>
            <w:r>
              <w:rPr>
                <w:rFonts w:cs="Arial"/>
                <w:szCs w:val="19"/>
                <w:lang w:val="en-US"/>
              </w:rPr>
              <w:t>≥</w:t>
            </w:r>
            <w:r w:rsidRPr="00804389">
              <w:rPr>
                <w:rFonts w:cs="Arial"/>
                <w:szCs w:val="19"/>
                <w:lang w:val="en-US"/>
              </w:rPr>
              <w:t xml:space="preserve">6 years, plaque psoriasis in adults and children aged </w:t>
            </w:r>
            <w:r>
              <w:rPr>
                <w:rFonts w:cs="Arial"/>
                <w:szCs w:val="19"/>
                <w:lang w:val="en-US"/>
              </w:rPr>
              <w:t>≥</w:t>
            </w:r>
            <w:r w:rsidRPr="00804389">
              <w:rPr>
                <w:rFonts w:cs="Arial"/>
                <w:szCs w:val="19"/>
                <w:lang w:val="en-US"/>
              </w:rPr>
              <w:t xml:space="preserve">4 years, hidradenitis suppurativa in adults and adolescents, and uveitis in adults and children aged </w:t>
            </w:r>
            <w:r>
              <w:rPr>
                <w:rFonts w:cs="Arial"/>
                <w:szCs w:val="19"/>
                <w:lang w:val="en-US"/>
              </w:rPr>
              <w:t>≥</w:t>
            </w:r>
            <w:r w:rsidRPr="00804389">
              <w:rPr>
                <w:rFonts w:cs="Arial"/>
                <w:szCs w:val="19"/>
                <w:lang w:val="en-US"/>
              </w:rPr>
              <w:t>2 years</w:t>
            </w:r>
            <w:r>
              <w:rPr>
                <w:rFonts w:cs="Arial"/>
                <w:szCs w:val="19"/>
                <w:lang w:val="en-US"/>
              </w:rPr>
              <w:t xml:space="preserve"> </w:t>
            </w:r>
            <w:r w:rsidRPr="00804389">
              <w:rPr>
                <w:rFonts w:cs="Arial"/>
                <w:i/>
                <w:iCs/>
                <w:sz w:val="16"/>
                <w:szCs w:val="16"/>
                <w:lang w:val="en-US"/>
              </w:rPr>
              <w:t xml:space="preserve">Note: For full details, see </w:t>
            </w:r>
            <w:hyperlink r:id="rId15" w:history="1">
              <w:r w:rsidRPr="00804389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  <w:lang w:val="en-US"/>
                </w:rPr>
                <w:t>SmPC</w:t>
              </w:r>
            </w:hyperlink>
          </w:p>
        </w:tc>
      </w:tr>
      <w:tr w:rsidR="00064C8E" w14:paraId="2E7916DE" w14:textId="77777777" w:rsidTr="002541F1">
        <w:tc>
          <w:tcPr>
            <w:tcW w:w="1225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7F5398C" w14:textId="77777777" w:rsidR="00064C8E" w:rsidRDefault="00064C8E" w:rsidP="003F5BEA">
            <w:pPr>
              <w:rPr>
                <w:rFonts w:cs="Arial"/>
                <w:szCs w:val="19"/>
              </w:rPr>
            </w:pPr>
            <w:proofErr w:type="spellStart"/>
            <w:r>
              <w:rPr>
                <w:rFonts w:cs="Arial"/>
                <w:szCs w:val="19"/>
              </w:rPr>
              <w:t>Binimetinib</w:t>
            </w:r>
            <w:proofErr w:type="spellEnd"/>
            <w:r>
              <w:rPr>
                <w:rFonts w:cs="Arial"/>
                <w:szCs w:val="19"/>
              </w:rPr>
              <w:t xml:space="preserve"> (</w:t>
            </w:r>
            <w:proofErr w:type="spellStart"/>
            <w:r>
              <w:rPr>
                <w:rFonts w:cs="Arial"/>
                <w:i/>
                <w:iCs/>
                <w:szCs w:val="19"/>
              </w:rPr>
              <w:t>Mektovi</w:t>
            </w:r>
            <w:proofErr w:type="spellEnd"/>
            <w:r>
              <w:rPr>
                <w:rFonts w:cs="Arial"/>
                <w:szCs w:val="19"/>
              </w:rPr>
              <w:t>)</w:t>
            </w:r>
          </w:p>
          <w:p w14:paraId="060DF9F6" w14:textId="0B92D5B3" w:rsidR="00064C8E" w:rsidRPr="00064C8E" w:rsidRDefault="00064C8E" w:rsidP="003F5BEA">
            <w:pPr>
              <w:rPr>
                <w:rFonts w:cs="Arial"/>
                <w:szCs w:val="19"/>
              </w:rPr>
            </w:pPr>
            <w:r w:rsidRPr="00064C8E">
              <w:rPr>
                <w:rFonts w:cs="Arial"/>
                <w:sz w:val="16"/>
                <w:szCs w:val="16"/>
              </w:rPr>
              <w:t>45mg tablet</w:t>
            </w:r>
          </w:p>
        </w:tc>
        <w:tc>
          <w:tcPr>
            <w:tcW w:w="3775" w:type="pct"/>
            <w:shd w:val="clear" w:color="auto" w:fill="auto"/>
            <w:tcMar>
              <w:top w:w="57" w:type="dxa"/>
              <w:bottom w:w="57" w:type="dxa"/>
            </w:tcMar>
          </w:tcPr>
          <w:p w14:paraId="613AF941" w14:textId="1443BE3D" w:rsidR="00064C8E" w:rsidRPr="009919B4" w:rsidRDefault="006F6EC3" w:rsidP="003F5BEA">
            <w:pPr>
              <w:tabs>
                <w:tab w:val="center" w:pos="3152"/>
              </w:tabs>
              <w:rPr>
                <w:rFonts w:cs="Arial"/>
                <w:szCs w:val="19"/>
                <w:lang w:val="en-US"/>
              </w:rPr>
            </w:pPr>
            <w:r w:rsidRPr="006F6EC3">
              <w:rPr>
                <w:rFonts w:cs="Arial"/>
                <w:szCs w:val="19"/>
                <w:lang w:val="en-US"/>
              </w:rPr>
              <w:t xml:space="preserve">Use in combination with </w:t>
            </w:r>
            <w:proofErr w:type="spellStart"/>
            <w:r w:rsidRPr="006F6EC3">
              <w:rPr>
                <w:rFonts w:cs="Arial"/>
                <w:szCs w:val="19"/>
                <w:lang w:val="en-US"/>
              </w:rPr>
              <w:t>encorafenib</w:t>
            </w:r>
            <w:proofErr w:type="spellEnd"/>
            <w:r w:rsidRPr="006F6EC3">
              <w:rPr>
                <w:rFonts w:cs="Arial"/>
                <w:szCs w:val="19"/>
                <w:lang w:val="en-US"/>
              </w:rPr>
              <w:t xml:space="preserve"> for the treatment of adults with unresectable or metastatic melanoma with a BRAF V600 mutation</w:t>
            </w:r>
            <w:r>
              <w:rPr>
                <w:rFonts w:cs="Arial"/>
                <w:szCs w:val="19"/>
                <w:lang w:val="en-US"/>
              </w:rPr>
              <w:t xml:space="preserve"> </w:t>
            </w:r>
            <w:r w:rsidRPr="006F6EC3">
              <w:rPr>
                <w:rFonts w:cs="Arial"/>
                <w:sz w:val="16"/>
                <w:szCs w:val="16"/>
                <w:lang w:val="en-US"/>
              </w:rPr>
              <w:t>[new higher strength formulation]</w:t>
            </w:r>
          </w:p>
        </w:tc>
      </w:tr>
      <w:tr w:rsidR="003F5BEA" w14:paraId="02A4A32D" w14:textId="77777777" w:rsidTr="002541F1">
        <w:tc>
          <w:tcPr>
            <w:tcW w:w="1225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5E732D2" w14:textId="6D35BAA9" w:rsidR="003F5BEA" w:rsidRPr="002B10C1" w:rsidRDefault="003F5BEA" w:rsidP="003F5BEA">
            <w:pPr>
              <w:rPr>
                <w:rFonts w:cs="Arial"/>
                <w:szCs w:val="19"/>
              </w:rPr>
            </w:pPr>
            <w:proofErr w:type="spellStart"/>
            <w:r>
              <w:rPr>
                <w:rFonts w:cs="Arial"/>
                <w:szCs w:val="19"/>
              </w:rPr>
              <w:t>Crovalimab</w:t>
            </w:r>
            <w:proofErr w:type="spellEnd"/>
            <w:r>
              <w:rPr>
                <w:rFonts w:cs="Arial"/>
                <w:szCs w:val="19"/>
              </w:rPr>
              <w:t xml:space="preserve"> (</w:t>
            </w:r>
            <w:proofErr w:type="spellStart"/>
            <w:r>
              <w:rPr>
                <w:rFonts w:cs="Arial"/>
                <w:i/>
                <w:iCs/>
                <w:szCs w:val="19"/>
              </w:rPr>
              <w:t>PiaSky</w:t>
            </w:r>
            <w:proofErr w:type="spellEnd"/>
            <w:r>
              <w:rPr>
                <w:rFonts w:cs="Arial"/>
                <w:szCs w:val="19"/>
              </w:rPr>
              <w:t>)</w:t>
            </w:r>
            <w:r>
              <w:rPr>
                <w:rFonts w:cs="Arial"/>
                <w:szCs w:val="19"/>
              </w:rPr>
              <w:br/>
            </w:r>
            <w:r w:rsidRPr="0074196C">
              <w:rPr>
                <w:rFonts w:cs="Arial"/>
                <w:sz w:val="16"/>
                <w:szCs w:val="16"/>
              </w:rPr>
              <w:t>340mg in 2mL vial</w:t>
            </w:r>
          </w:p>
        </w:tc>
        <w:tc>
          <w:tcPr>
            <w:tcW w:w="3775" w:type="pct"/>
            <w:shd w:val="clear" w:color="auto" w:fill="auto"/>
            <w:tcMar>
              <w:top w:w="57" w:type="dxa"/>
              <w:bottom w:w="57" w:type="dxa"/>
            </w:tcMar>
          </w:tcPr>
          <w:p w14:paraId="219595E8" w14:textId="4146DD0E" w:rsidR="003F5BEA" w:rsidRDefault="003F5BEA" w:rsidP="003F5BEA">
            <w:pPr>
              <w:tabs>
                <w:tab w:val="center" w:pos="3152"/>
              </w:tabs>
              <w:rPr>
                <w:rFonts w:cs="Arial"/>
                <w:sz w:val="18"/>
                <w:szCs w:val="18"/>
                <w:lang w:val="en-US"/>
              </w:rPr>
            </w:pPr>
            <w:r w:rsidRPr="009919B4">
              <w:rPr>
                <w:rFonts w:cs="Arial"/>
                <w:szCs w:val="19"/>
                <w:lang w:val="en-US"/>
              </w:rPr>
              <w:t xml:space="preserve">Use as monotherapy for the treatment of adult and </w:t>
            </w:r>
            <w:proofErr w:type="spellStart"/>
            <w:r w:rsidRPr="009919B4">
              <w:rPr>
                <w:rFonts w:cs="Arial"/>
                <w:szCs w:val="19"/>
                <w:lang w:val="en-US"/>
              </w:rPr>
              <w:t>paediatric</w:t>
            </w:r>
            <w:proofErr w:type="spellEnd"/>
            <w:r w:rsidRPr="009919B4">
              <w:rPr>
                <w:rFonts w:cs="Arial"/>
                <w:szCs w:val="19"/>
                <w:lang w:val="en-US"/>
              </w:rPr>
              <w:t xml:space="preserve"> patients </w:t>
            </w:r>
            <w:r>
              <w:rPr>
                <w:rFonts w:cs="Arial"/>
                <w:szCs w:val="19"/>
                <w:lang w:val="en-US"/>
              </w:rPr>
              <w:t>aged ≥</w:t>
            </w:r>
            <w:r w:rsidRPr="009919B4">
              <w:rPr>
                <w:rFonts w:cs="Arial"/>
                <w:szCs w:val="19"/>
                <w:lang w:val="en-US"/>
              </w:rPr>
              <w:t xml:space="preserve">12 years with a weight </w:t>
            </w:r>
            <w:r>
              <w:rPr>
                <w:rFonts w:cs="Arial"/>
                <w:szCs w:val="19"/>
                <w:lang w:val="en-US"/>
              </w:rPr>
              <w:t>≥</w:t>
            </w:r>
            <w:r w:rsidRPr="009919B4">
              <w:rPr>
                <w:rFonts w:cs="Arial"/>
                <w:szCs w:val="19"/>
                <w:lang w:val="en-US"/>
              </w:rPr>
              <w:t xml:space="preserve">40kg with paroxysmal nocturnal </w:t>
            </w:r>
            <w:proofErr w:type="spellStart"/>
            <w:r w:rsidRPr="009919B4">
              <w:rPr>
                <w:rFonts w:cs="Arial"/>
                <w:szCs w:val="19"/>
                <w:lang w:val="en-US"/>
              </w:rPr>
              <w:t>haemoglobinuria</w:t>
            </w:r>
            <w:proofErr w:type="spellEnd"/>
            <w:r w:rsidRPr="009919B4">
              <w:rPr>
                <w:rFonts w:cs="Arial"/>
                <w:szCs w:val="19"/>
                <w:lang w:val="en-US"/>
              </w:rPr>
              <w:t xml:space="preserve">, in patients with </w:t>
            </w:r>
            <w:proofErr w:type="spellStart"/>
            <w:r w:rsidRPr="009919B4">
              <w:rPr>
                <w:rFonts w:cs="Arial"/>
                <w:szCs w:val="19"/>
                <w:lang w:val="en-US"/>
              </w:rPr>
              <w:t>haemolysis</w:t>
            </w:r>
            <w:proofErr w:type="spellEnd"/>
            <w:r w:rsidRPr="009919B4">
              <w:rPr>
                <w:rFonts w:cs="Arial"/>
                <w:szCs w:val="19"/>
                <w:lang w:val="en-US"/>
              </w:rPr>
              <w:t xml:space="preserve"> with clinical symptom(s) indicative of high disease activity, and in patients who are clinically stable after having been treated with a complement component 5 inhibitor for at least the past 6 months</w:t>
            </w:r>
          </w:p>
        </w:tc>
      </w:tr>
      <w:tr w:rsidR="00B72703" w14:paraId="2DAB57BB" w14:textId="77777777" w:rsidTr="002541F1">
        <w:tc>
          <w:tcPr>
            <w:tcW w:w="1225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2D8C685" w14:textId="77777777" w:rsidR="00B72703" w:rsidRDefault="00B72703" w:rsidP="00B72703">
            <w:pPr>
              <w:rPr>
                <w:rFonts w:cs="Arial"/>
                <w:szCs w:val="19"/>
              </w:rPr>
            </w:pPr>
            <w:proofErr w:type="spellStart"/>
            <w:r w:rsidRPr="00776ED4">
              <w:rPr>
                <w:rFonts w:cs="Arial"/>
                <w:szCs w:val="19"/>
              </w:rPr>
              <w:t>Danicopan</w:t>
            </w:r>
            <w:proofErr w:type="spellEnd"/>
            <w:r>
              <w:rPr>
                <w:rFonts w:cs="Arial"/>
                <w:szCs w:val="19"/>
              </w:rPr>
              <w:t xml:space="preserve"> (</w:t>
            </w:r>
            <w:proofErr w:type="spellStart"/>
            <w:r>
              <w:rPr>
                <w:rFonts w:cs="Arial"/>
                <w:i/>
                <w:iCs/>
                <w:szCs w:val="19"/>
              </w:rPr>
              <w:t>Voydeya</w:t>
            </w:r>
            <w:proofErr w:type="spellEnd"/>
            <w:r>
              <w:rPr>
                <w:rFonts w:cs="Arial"/>
                <w:szCs w:val="19"/>
              </w:rPr>
              <w:t>)</w:t>
            </w:r>
          </w:p>
          <w:p w14:paraId="2E53DFFD" w14:textId="7380F365" w:rsidR="00B72703" w:rsidRDefault="00B72703" w:rsidP="00B72703">
            <w:pPr>
              <w:rPr>
                <w:rFonts w:cs="Arial"/>
                <w:szCs w:val="19"/>
              </w:rPr>
            </w:pPr>
            <w:r w:rsidRPr="00B72703">
              <w:rPr>
                <w:rFonts w:cs="Arial"/>
                <w:sz w:val="16"/>
                <w:szCs w:val="16"/>
              </w:rPr>
              <w:t>50mg and 100mg tablets</w:t>
            </w:r>
          </w:p>
        </w:tc>
        <w:tc>
          <w:tcPr>
            <w:tcW w:w="3775" w:type="pct"/>
            <w:shd w:val="clear" w:color="auto" w:fill="auto"/>
            <w:tcMar>
              <w:top w:w="57" w:type="dxa"/>
              <w:bottom w:w="57" w:type="dxa"/>
            </w:tcMar>
          </w:tcPr>
          <w:p w14:paraId="62C4A99A" w14:textId="190345E8" w:rsidR="00B72703" w:rsidRPr="009919B4" w:rsidRDefault="00B72703" w:rsidP="00B72703">
            <w:pPr>
              <w:tabs>
                <w:tab w:val="center" w:pos="3152"/>
              </w:tabs>
              <w:rPr>
                <w:rFonts w:cs="Arial"/>
                <w:szCs w:val="19"/>
                <w:lang w:val="en-US"/>
              </w:rPr>
            </w:pPr>
            <w:r>
              <w:rPr>
                <w:rFonts w:cs="Arial"/>
                <w:szCs w:val="19"/>
                <w:lang w:val="en-US"/>
              </w:rPr>
              <w:t xml:space="preserve">Use </w:t>
            </w:r>
            <w:r w:rsidRPr="00776ED4">
              <w:rPr>
                <w:rFonts w:cs="Arial"/>
                <w:szCs w:val="19"/>
                <w:lang w:val="en-US"/>
              </w:rPr>
              <w:t xml:space="preserve">as an add-on to </w:t>
            </w:r>
            <w:proofErr w:type="spellStart"/>
            <w:r w:rsidRPr="00776ED4">
              <w:rPr>
                <w:rFonts w:cs="Arial"/>
                <w:szCs w:val="19"/>
                <w:lang w:val="en-US"/>
              </w:rPr>
              <w:t>ravulizumab</w:t>
            </w:r>
            <w:proofErr w:type="spellEnd"/>
            <w:r w:rsidRPr="00776ED4">
              <w:rPr>
                <w:rFonts w:cs="Arial"/>
                <w:szCs w:val="19"/>
                <w:lang w:val="en-US"/>
              </w:rPr>
              <w:t xml:space="preserve"> or eculizumab for the treatment of adults with paroxysmal nocturnal </w:t>
            </w:r>
            <w:proofErr w:type="spellStart"/>
            <w:r w:rsidRPr="00776ED4">
              <w:rPr>
                <w:rFonts w:cs="Arial"/>
                <w:szCs w:val="19"/>
                <w:lang w:val="en-US"/>
              </w:rPr>
              <w:t>haemoglobinuria</w:t>
            </w:r>
            <w:proofErr w:type="spellEnd"/>
            <w:r w:rsidRPr="00776ED4">
              <w:rPr>
                <w:rFonts w:cs="Arial"/>
                <w:szCs w:val="19"/>
                <w:lang w:val="en-US"/>
              </w:rPr>
              <w:t xml:space="preserve"> who have residual </w:t>
            </w:r>
            <w:proofErr w:type="spellStart"/>
            <w:r w:rsidRPr="00776ED4">
              <w:rPr>
                <w:rFonts w:cs="Arial"/>
                <w:szCs w:val="19"/>
                <w:lang w:val="en-US"/>
              </w:rPr>
              <w:t>haemolytic</w:t>
            </w:r>
            <w:proofErr w:type="spellEnd"/>
            <w:r w:rsidRPr="00776ED4">
              <w:rPr>
                <w:rFonts w:cs="Arial"/>
                <w:szCs w:val="19"/>
                <w:lang w:val="en-US"/>
              </w:rPr>
              <w:t xml:space="preserve"> </w:t>
            </w:r>
            <w:proofErr w:type="spellStart"/>
            <w:r w:rsidRPr="00776ED4">
              <w:rPr>
                <w:rFonts w:cs="Arial"/>
                <w:szCs w:val="19"/>
                <w:lang w:val="en-US"/>
              </w:rPr>
              <w:t>anaemia</w:t>
            </w:r>
            <w:proofErr w:type="spellEnd"/>
          </w:p>
        </w:tc>
      </w:tr>
      <w:tr w:rsidR="00E32FCC" w14:paraId="39C7BBE4" w14:textId="77777777" w:rsidTr="002541F1">
        <w:tc>
          <w:tcPr>
            <w:tcW w:w="1225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6D0B95F" w14:textId="77777777" w:rsidR="00E32FCC" w:rsidRDefault="00E32FCC" w:rsidP="00E32FCC">
            <w:pPr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Dantrolene (</w:t>
            </w:r>
            <w:proofErr w:type="spellStart"/>
            <w:r>
              <w:rPr>
                <w:rFonts w:cs="Arial"/>
                <w:i/>
                <w:iCs/>
                <w:szCs w:val="19"/>
              </w:rPr>
              <w:t>Agilus</w:t>
            </w:r>
            <w:proofErr w:type="spellEnd"/>
            <w:r>
              <w:rPr>
                <w:rFonts w:cs="Arial"/>
                <w:szCs w:val="19"/>
              </w:rPr>
              <w:t>)</w:t>
            </w:r>
          </w:p>
          <w:p w14:paraId="6DCD7DA4" w14:textId="2FC0C10A" w:rsidR="00E32FCC" w:rsidRPr="008F4372" w:rsidRDefault="00E32FCC" w:rsidP="00E32FCC">
            <w:pPr>
              <w:rPr>
                <w:rFonts w:cs="Arial"/>
                <w:szCs w:val="19"/>
              </w:rPr>
            </w:pPr>
            <w:r w:rsidRPr="00E32FCC">
              <w:rPr>
                <w:rFonts w:cs="Arial"/>
                <w:sz w:val="16"/>
                <w:szCs w:val="16"/>
              </w:rPr>
              <w:t>120mg vial</w:t>
            </w:r>
          </w:p>
        </w:tc>
        <w:tc>
          <w:tcPr>
            <w:tcW w:w="3775" w:type="pct"/>
            <w:shd w:val="clear" w:color="auto" w:fill="auto"/>
            <w:tcMar>
              <w:top w:w="57" w:type="dxa"/>
              <w:bottom w:w="57" w:type="dxa"/>
            </w:tcMar>
          </w:tcPr>
          <w:p w14:paraId="7F59F98E" w14:textId="531A3CFF" w:rsidR="00E32FCC" w:rsidRDefault="00E32FCC" w:rsidP="00E32FCC">
            <w:pPr>
              <w:tabs>
                <w:tab w:val="center" w:pos="3152"/>
              </w:tabs>
              <w:rPr>
                <w:rFonts w:cs="Arial"/>
                <w:szCs w:val="19"/>
                <w:lang w:val="en-US"/>
              </w:rPr>
            </w:pPr>
            <w:r>
              <w:rPr>
                <w:rFonts w:cs="Arial"/>
                <w:szCs w:val="19"/>
                <w:lang w:val="en-US"/>
              </w:rPr>
              <w:t>Use i</w:t>
            </w:r>
            <w:r w:rsidRPr="005C77FD">
              <w:rPr>
                <w:rFonts w:cs="Arial"/>
                <w:szCs w:val="19"/>
                <w:lang w:val="en-US"/>
              </w:rPr>
              <w:t>n combination with adequate support measures for the treatment of malignant hyperthermia in adults and children of all ages</w:t>
            </w:r>
            <w:r>
              <w:rPr>
                <w:rFonts w:cs="Arial"/>
                <w:szCs w:val="19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>[new formulation]</w:t>
            </w:r>
          </w:p>
        </w:tc>
      </w:tr>
      <w:tr w:rsidR="00E32FCC" w14:paraId="45116A92" w14:textId="77777777" w:rsidTr="002541F1">
        <w:tc>
          <w:tcPr>
            <w:tcW w:w="1225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69B3F12" w14:textId="77777777" w:rsidR="00E32FCC" w:rsidRDefault="00E32FCC" w:rsidP="00E32FCC">
            <w:pPr>
              <w:rPr>
                <w:rFonts w:cs="Arial"/>
                <w:szCs w:val="19"/>
              </w:rPr>
            </w:pPr>
            <w:proofErr w:type="spellStart"/>
            <w:r w:rsidRPr="008F4372">
              <w:rPr>
                <w:rFonts w:cs="Arial"/>
                <w:szCs w:val="19"/>
              </w:rPr>
              <w:t>Iptacopan</w:t>
            </w:r>
            <w:proofErr w:type="spellEnd"/>
            <w:r>
              <w:rPr>
                <w:rFonts w:cs="Arial"/>
                <w:szCs w:val="19"/>
              </w:rPr>
              <w:t xml:space="preserve"> (</w:t>
            </w:r>
            <w:proofErr w:type="spellStart"/>
            <w:r>
              <w:rPr>
                <w:rFonts w:cs="Arial"/>
                <w:i/>
                <w:iCs/>
                <w:szCs w:val="19"/>
              </w:rPr>
              <w:t>Fabhalta</w:t>
            </w:r>
            <w:proofErr w:type="spellEnd"/>
            <w:r>
              <w:rPr>
                <w:rFonts w:cs="Arial"/>
                <w:szCs w:val="19"/>
              </w:rPr>
              <w:t>)</w:t>
            </w:r>
          </w:p>
          <w:p w14:paraId="0114AA2D" w14:textId="1CCF7F57" w:rsidR="00E32FCC" w:rsidRPr="002F73AD" w:rsidRDefault="00E32FCC" w:rsidP="00E32FCC">
            <w:pPr>
              <w:rPr>
                <w:rFonts w:cs="Arial"/>
                <w:szCs w:val="19"/>
              </w:rPr>
            </w:pPr>
            <w:r w:rsidRPr="00855DFD">
              <w:rPr>
                <w:rFonts w:cs="Arial"/>
                <w:sz w:val="16"/>
                <w:szCs w:val="16"/>
              </w:rPr>
              <w:t>200mg capsule</w:t>
            </w:r>
          </w:p>
        </w:tc>
        <w:tc>
          <w:tcPr>
            <w:tcW w:w="3775" w:type="pct"/>
            <w:shd w:val="clear" w:color="auto" w:fill="auto"/>
            <w:tcMar>
              <w:top w:w="57" w:type="dxa"/>
              <w:bottom w:w="57" w:type="dxa"/>
            </w:tcMar>
          </w:tcPr>
          <w:p w14:paraId="10D13600" w14:textId="5F54F25D" w:rsidR="00E32FCC" w:rsidRPr="00A075A3" w:rsidRDefault="00E32FCC" w:rsidP="00E32FCC">
            <w:pPr>
              <w:tabs>
                <w:tab w:val="center" w:pos="3152"/>
              </w:tabs>
              <w:rPr>
                <w:rFonts w:cs="Arial"/>
                <w:szCs w:val="19"/>
                <w:lang w:val="en-US"/>
              </w:rPr>
            </w:pPr>
            <w:r>
              <w:rPr>
                <w:rFonts w:cs="Arial"/>
                <w:szCs w:val="19"/>
                <w:lang w:val="en-US"/>
              </w:rPr>
              <w:t>Use as m</w:t>
            </w:r>
            <w:r w:rsidRPr="008F4372">
              <w:rPr>
                <w:rFonts w:cs="Arial"/>
                <w:szCs w:val="19"/>
                <w:lang w:val="en-US"/>
              </w:rPr>
              <w:t xml:space="preserve">onotherapy in the treatment of adults with paroxysmal nocturnal </w:t>
            </w:r>
            <w:proofErr w:type="spellStart"/>
            <w:r w:rsidRPr="008F4372">
              <w:rPr>
                <w:rFonts w:cs="Arial"/>
                <w:szCs w:val="19"/>
                <w:lang w:val="en-US"/>
              </w:rPr>
              <w:t>haemoglobinuria</w:t>
            </w:r>
            <w:proofErr w:type="spellEnd"/>
            <w:r w:rsidRPr="008F4372">
              <w:rPr>
                <w:rFonts w:cs="Arial"/>
                <w:szCs w:val="19"/>
                <w:lang w:val="en-US"/>
              </w:rPr>
              <w:t xml:space="preserve"> who have </w:t>
            </w:r>
            <w:proofErr w:type="spellStart"/>
            <w:r w:rsidRPr="008F4372">
              <w:rPr>
                <w:rFonts w:cs="Arial"/>
                <w:szCs w:val="19"/>
                <w:lang w:val="en-US"/>
              </w:rPr>
              <w:t>haemolytic</w:t>
            </w:r>
            <w:proofErr w:type="spellEnd"/>
            <w:r w:rsidRPr="008F4372">
              <w:rPr>
                <w:rFonts w:cs="Arial"/>
                <w:szCs w:val="19"/>
                <w:lang w:val="en-US"/>
              </w:rPr>
              <w:t xml:space="preserve"> </w:t>
            </w:r>
            <w:proofErr w:type="spellStart"/>
            <w:r w:rsidRPr="008F4372">
              <w:rPr>
                <w:rFonts w:cs="Arial"/>
                <w:szCs w:val="19"/>
                <w:lang w:val="en-US"/>
              </w:rPr>
              <w:t>anaemia</w:t>
            </w:r>
            <w:proofErr w:type="spellEnd"/>
          </w:p>
        </w:tc>
      </w:tr>
      <w:tr w:rsidR="00E32FCC" w14:paraId="670DF244" w14:textId="77777777" w:rsidTr="002541F1">
        <w:tc>
          <w:tcPr>
            <w:tcW w:w="1225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95A6245" w14:textId="77777777" w:rsidR="00E32FCC" w:rsidRDefault="00E32FCC" w:rsidP="00E32FCC">
            <w:pPr>
              <w:rPr>
                <w:rFonts w:cs="Arial"/>
                <w:szCs w:val="19"/>
              </w:rPr>
            </w:pPr>
            <w:proofErr w:type="spellStart"/>
            <w:r>
              <w:rPr>
                <w:rFonts w:cs="Arial"/>
                <w:szCs w:val="19"/>
              </w:rPr>
              <w:t>Lecanemab</w:t>
            </w:r>
            <w:proofErr w:type="spellEnd"/>
            <w:r>
              <w:rPr>
                <w:rFonts w:cs="Arial"/>
                <w:szCs w:val="19"/>
              </w:rPr>
              <w:t xml:space="preserve"> (</w:t>
            </w:r>
            <w:proofErr w:type="spellStart"/>
            <w:r>
              <w:rPr>
                <w:rFonts w:cs="Arial"/>
                <w:i/>
                <w:iCs/>
                <w:szCs w:val="19"/>
              </w:rPr>
              <w:t>Leqembi</w:t>
            </w:r>
            <w:proofErr w:type="spellEnd"/>
            <w:r>
              <w:rPr>
                <w:rFonts w:cs="Arial"/>
                <w:szCs w:val="19"/>
              </w:rPr>
              <w:t>)</w:t>
            </w:r>
          </w:p>
          <w:p w14:paraId="4832422E" w14:textId="0341F7DF" w:rsidR="00D71585" w:rsidRPr="003F5BEA" w:rsidRDefault="00D71585" w:rsidP="00E32FCC">
            <w:pPr>
              <w:rPr>
                <w:rFonts w:cs="Arial"/>
                <w:szCs w:val="19"/>
              </w:rPr>
            </w:pPr>
            <w:r w:rsidRPr="00D71585">
              <w:rPr>
                <w:rFonts w:cs="Arial"/>
                <w:sz w:val="16"/>
                <w:szCs w:val="16"/>
              </w:rPr>
              <w:t>500mg in 5mL and 200mg in 2mL vials</w:t>
            </w:r>
          </w:p>
        </w:tc>
        <w:tc>
          <w:tcPr>
            <w:tcW w:w="3775" w:type="pct"/>
            <w:shd w:val="clear" w:color="auto" w:fill="auto"/>
            <w:tcMar>
              <w:top w:w="57" w:type="dxa"/>
              <w:bottom w:w="57" w:type="dxa"/>
            </w:tcMar>
          </w:tcPr>
          <w:p w14:paraId="4B21B447" w14:textId="67C7A473" w:rsidR="00E32FCC" w:rsidRPr="00A075A3" w:rsidRDefault="00E32FCC" w:rsidP="00E32FCC">
            <w:pPr>
              <w:tabs>
                <w:tab w:val="num" w:pos="720"/>
                <w:tab w:val="center" w:pos="3152"/>
              </w:tabs>
              <w:rPr>
                <w:rFonts w:cs="Arial"/>
                <w:szCs w:val="19"/>
                <w:lang w:val="en-US"/>
              </w:rPr>
            </w:pPr>
            <w:r w:rsidRPr="003F7448">
              <w:rPr>
                <w:rFonts w:cs="Arial"/>
                <w:color w:val="000000" w:themeColor="text1"/>
                <w:szCs w:val="19"/>
                <w:lang w:val="en-US"/>
              </w:rPr>
              <w:t>Treatment of mild cognitive impairment and mild dementia due to Alzheimer’s disease in adults that are apolipoprotein E ε4 heterozygotes or non-carriers</w:t>
            </w:r>
          </w:p>
        </w:tc>
      </w:tr>
      <w:tr w:rsidR="002541F1" w14:paraId="7950FC85" w14:textId="77777777" w:rsidTr="002541F1">
        <w:tc>
          <w:tcPr>
            <w:tcW w:w="1225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1A9B93B" w14:textId="77777777" w:rsidR="002541F1" w:rsidRDefault="002541F1" w:rsidP="002541F1">
            <w:pPr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Omalizumab (</w:t>
            </w:r>
            <w:r>
              <w:rPr>
                <w:rFonts w:cs="Arial"/>
                <w:i/>
                <w:iCs/>
                <w:szCs w:val="19"/>
              </w:rPr>
              <w:t>Xolair</w:t>
            </w:r>
            <w:r>
              <w:rPr>
                <w:rFonts w:cs="Arial"/>
                <w:szCs w:val="19"/>
              </w:rPr>
              <w:t>)</w:t>
            </w:r>
          </w:p>
          <w:p w14:paraId="5F43D873" w14:textId="4733EC91" w:rsidR="002541F1" w:rsidRDefault="002541F1" w:rsidP="002541F1">
            <w:pPr>
              <w:rPr>
                <w:rFonts w:cs="Arial"/>
                <w:szCs w:val="19"/>
              </w:rPr>
            </w:pPr>
            <w:r w:rsidRPr="009A4F19">
              <w:rPr>
                <w:rFonts w:cs="Arial"/>
                <w:sz w:val="16"/>
                <w:szCs w:val="16"/>
              </w:rPr>
              <w:t>150mg in 1mL and 300mg in 2mL prefilled pens</w:t>
            </w:r>
          </w:p>
        </w:tc>
        <w:tc>
          <w:tcPr>
            <w:tcW w:w="3775" w:type="pct"/>
            <w:shd w:val="clear" w:color="auto" w:fill="auto"/>
            <w:tcMar>
              <w:top w:w="57" w:type="dxa"/>
              <w:bottom w:w="57" w:type="dxa"/>
            </w:tcMar>
          </w:tcPr>
          <w:p w14:paraId="48D39D93" w14:textId="1933E442" w:rsidR="002541F1" w:rsidRPr="003F7448" w:rsidRDefault="002541F1" w:rsidP="002541F1">
            <w:pPr>
              <w:tabs>
                <w:tab w:val="num" w:pos="720"/>
                <w:tab w:val="center" w:pos="3152"/>
              </w:tabs>
              <w:rPr>
                <w:rFonts w:cs="Arial"/>
                <w:color w:val="000000" w:themeColor="text1"/>
                <w:szCs w:val="19"/>
                <w:lang w:val="en-US"/>
              </w:rPr>
            </w:pPr>
            <w:r>
              <w:rPr>
                <w:rFonts w:cs="Arial"/>
                <w:szCs w:val="19"/>
                <w:lang w:val="en-US"/>
              </w:rPr>
              <w:t>T</w:t>
            </w:r>
            <w:r w:rsidRPr="009A4F19">
              <w:rPr>
                <w:rFonts w:cs="Arial"/>
                <w:szCs w:val="19"/>
                <w:lang w:val="en-US"/>
              </w:rPr>
              <w:t xml:space="preserve">reatment of allergic asthma in adults, adolescents and children </w:t>
            </w:r>
            <w:r>
              <w:rPr>
                <w:rFonts w:cs="Arial"/>
                <w:szCs w:val="19"/>
                <w:lang w:val="en-US"/>
              </w:rPr>
              <w:t xml:space="preserve">aged </w:t>
            </w:r>
            <w:r w:rsidRPr="009A4F19">
              <w:rPr>
                <w:rFonts w:cs="Arial"/>
                <w:szCs w:val="19"/>
                <w:lang w:val="en-US"/>
              </w:rPr>
              <w:t xml:space="preserve">6 to </w:t>
            </w:r>
            <w:r>
              <w:rPr>
                <w:rFonts w:cs="Arial"/>
                <w:szCs w:val="19"/>
                <w:lang w:val="en-US"/>
              </w:rPr>
              <w:t>11</w:t>
            </w:r>
            <w:r w:rsidRPr="009A4F19">
              <w:rPr>
                <w:rFonts w:cs="Arial"/>
                <w:szCs w:val="19"/>
                <w:lang w:val="en-US"/>
              </w:rPr>
              <w:t xml:space="preserve"> years, chronic rhinosinusitis with nasal polyps in adults and chronic spontaneous urticaria in adults</w:t>
            </w:r>
            <w:r>
              <w:rPr>
                <w:rFonts w:cs="Arial"/>
                <w:szCs w:val="19"/>
                <w:lang w:val="en-US"/>
              </w:rPr>
              <w:t xml:space="preserve"> [new prefilled pen formulations] </w:t>
            </w:r>
            <w:r w:rsidRPr="00804389">
              <w:rPr>
                <w:rFonts w:cs="Arial"/>
                <w:i/>
                <w:iCs/>
                <w:sz w:val="16"/>
                <w:szCs w:val="16"/>
                <w:lang w:val="en-US"/>
              </w:rPr>
              <w:t xml:space="preserve">Note: For full details, see </w:t>
            </w:r>
            <w:hyperlink r:id="rId16" w:history="1">
              <w:r w:rsidRPr="00804389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  <w:lang w:val="en-US"/>
                </w:rPr>
                <w:t>SmPC</w:t>
              </w:r>
            </w:hyperlink>
          </w:p>
        </w:tc>
      </w:tr>
      <w:tr w:rsidR="002541F1" w:rsidRPr="00862949" w14:paraId="732FC416" w14:textId="77777777" w:rsidTr="005A7E09">
        <w:tc>
          <w:tcPr>
            <w:tcW w:w="5000" w:type="pct"/>
            <w:gridSpan w:val="3"/>
            <w:shd w:val="clear" w:color="auto" w:fill="auto"/>
            <w:tcMar>
              <w:top w:w="0" w:type="dxa"/>
              <w:bottom w:w="0" w:type="dxa"/>
            </w:tcMar>
          </w:tcPr>
          <w:p w14:paraId="133BAB85" w14:textId="77777777" w:rsidR="002541F1" w:rsidRPr="00862949" w:rsidRDefault="002541F1" w:rsidP="002541F1">
            <w:pPr>
              <w:jc w:val="center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2541F1" w:rsidRPr="000F19E1" w14:paraId="612F203A" w14:textId="77777777" w:rsidTr="00155BD9">
        <w:tc>
          <w:tcPr>
            <w:tcW w:w="1152" w:type="pct"/>
            <w:shd w:val="clear" w:color="auto" w:fill="DAEEF3"/>
            <w:tcMar>
              <w:top w:w="0" w:type="dxa"/>
              <w:bottom w:w="0" w:type="dxa"/>
            </w:tcMar>
          </w:tcPr>
          <w:p w14:paraId="0A8277BB" w14:textId="77777777" w:rsidR="002541F1" w:rsidRPr="000F19E1" w:rsidRDefault="002541F1" w:rsidP="002541F1">
            <w:pPr>
              <w:rPr>
                <w:rFonts w:cs="Arial"/>
                <w:bCs/>
                <w:sz w:val="8"/>
                <w:szCs w:val="8"/>
              </w:rPr>
            </w:pPr>
          </w:p>
        </w:tc>
        <w:tc>
          <w:tcPr>
            <w:tcW w:w="3848" w:type="pct"/>
            <w:gridSpan w:val="2"/>
            <w:shd w:val="clear" w:color="auto" w:fill="DAEEF3"/>
            <w:tcMar>
              <w:top w:w="0" w:type="dxa"/>
              <w:bottom w:w="0" w:type="dxa"/>
            </w:tcMar>
          </w:tcPr>
          <w:p w14:paraId="4A37FE99" w14:textId="77777777" w:rsidR="002541F1" w:rsidRPr="000F19E1" w:rsidRDefault="002541F1" w:rsidP="002541F1">
            <w:pPr>
              <w:tabs>
                <w:tab w:val="center" w:pos="3152"/>
              </w:tabs>
              <w:rPr>
                <w:rFonts w:cs="Arial"/>
                <w:sz w:val="8"/>
                <w:szCs w:val="8"/>
                <w:lang w:val="en-US"/>
              </w:rPr>
            </w:pPr>
          </w:p>
        </w:tc>
      </w:tr>
    </w:tbl>
    <w:p w14:paraId="42648E0E" w14:textId="3138BACE" w:rsidR="0048777D" w:rsidRDefault="0048777D"/>
    <w:tbl>
      <w:tblPr>
        <w:tblW w:w="5170" w:type="pct"/>
        <w:tblInd w:w="-176" w:type="dxa"/>
        <w:tblLayout w:type="fixed"/>
        <w:tblLook w:val="01E0" w:firstRow="1" w:lastRow="1" w:firstColumn="1" w:lastColumn="1" w:noHBand="0" w:noVBand="0"/>
      </w:tblPr>
      <w:tblGrid>
        <w:gridCol w:w="2302"/>
        <w:gridCol w:w="129"/>
        <w:gridCol w:w="580"/>
        <w:gridCol w:w="7540"/>
      </w:tblGrid>
      <w:tr w:rsidR="00987A64" w:rsidRPr="00862949" w14:paraId="2EAFAD34" w14:textId="77777777" w:rsidTr="006A34F2">
        <w:tc>
          <w:tcPr>
            <w:tcW w:w="5000" w:type="pct"/>
            <w:gridSpan w:val="4"/>
            <w:shd w:val="clear" w:color="auto" w:fill="0070C0"/>
            <w:tcMar>
              <w:top w:w="85" w:type="dxa"/>
              <w:bottom w:w="85" w:type="dxa"/>
            </w:tcMar>
            <w:vAlign w:val="bottom"/>
          </w:tcPr>
          <w:p w14:paraId="46F135F4" w14:textId="77777777" w:rsidR="00987A64" w:rsidRPr="00862949" w:rsidRDefault="00987A64" w:rsidP="006A34F2">
            <w:pPr>
              <w:rPr>
                <w:rFonts w:cs="Arial"/>
                <w:color w:val="FFFFFF"/>
                <w:sz w:val="15"/>
                <w:szCs w:val="15"/>
              </w:rPr>
            </w:pPr>
            <w:r w:rsidRPr="00862949">
              <w:rPr>
                <w:rFonts w:cs="Arial"/>
                <w:b/>
                <w:bCs/>
                <w:iCs/>
                <w:color w:val="FFFFFF"/>
                <w:sz w:val="28"/>
                <w:szCs w:val="28"/>
                <w:lang w:val="en-US"/>
              </w:rPr>
              <w:t xml:space="preserve">Regulatory changes in the </w:t>
            </w:r>
            <w:r>
              <w:rPr>
                <w:rFonts w:cs="Arial"/>
                <w:b/>
                <w:bCs/>
                <w:iCs/>
                <w:color w:val="FFFFFF"/>
                <w:sz w:val="28"/>
                <w:szCs w:val="28"/>
                <w:lang w:val="en-US"/>
              </w:rPr>
              <w:t xml:space="preserve">UK or </w:t>
            </w:r>
            <w:r w:rsidRPr="00862949">
              <w:rPr>
                <w:rFonts w:cs="Arial"/>
                <w:b/>
                <w:bCs/>
                <w:iCs/>
                <w:color w:val="FFFFFF"/>
                <w:sz w:val="28"/>
                <w:szCs w:val="28"/>
                <w:lang w:val="en-US"/>
              </w:rPr>
              <w:t>EU</w:t>
            </w:r>
            <w:r w:rsidRPr="00862949">
              <w:rPr>
                <w:rFonts w:cs="Arial"/>
                <w:b/>
                <w:bCs/>
                <w:iCs/>
                <w:color w:val="FFFFFF"/>
                <w:sz w:val="28"/>
                <w:szCs w:val="28"/>
                <w:lang w:val="en-US"/>
              </w:rPr>
              <w:tab/>
            </w:r>
          </w:p>
        </w:tc>
      </w:tr>
      <w:tr w:rsidR="00987A64" w:rsidRPr="00862949" w14:paraId="6F7482EE" w14:textId="77777777" w:rsidTr="006A34F2">
        <w:tc>
          <w:tcPr>
            <w:tcW w:w="5000" w:type="pct"/>
            <w:gridSpan w:val="4"/>
            <w:shd w:val="clear" w:color="auto" w:fill="DAEEF3"/>
            <w:tcMar>
              <w:top w:w="0" w:type="dxa"/>
              <w:bottom w:w="0" w:type="dxa"/>
            </w:tcMar>
          </w:tcPr>
          <w:p w14:paraId="24947C62" w14:textId="77777777" w:rsidR="00987A64" w:rsidRPr="00862949" w:rsidRDefault="00987A64" w:rsidP="006A34F2">
            <w:pPr>
              <w:rPr>
                <w:rFonts w:cs="Arial"/>
                <w:b/>
                <w:bCs/>
                <w:i/>
                <w:iCs/>
                <w:color w:val="000000"/>
                <w:sz w:val="8"/>
                <w:szCs w:val="8"/>
                <w:lang w:val="en-US"/>
              </w:rPr>
            </w:pPr>
          </w:p>
        </w:tc>
      </w:tr>
      <w:tr w:rsidR="00987A64" w:rsidRPr="00862949" w14:paraId="391124AE" w14:textId="77777777" w:rsidTr="006A34F2">
        <w:tc>
          <w:tcPr>
            <w:tcW w:w="5000" w:type="pct"/>
            <w:gridSpan w:val="4"/>
            <w:shd w:val="clear" w:color="auto" w:fill="00B050"/>
            <w:tcMar>
              <w:top w:w="57" w:type="dxa"/>
              <w:bottom w:w="57" w:type="dxa"/>
            </w:tcMar>
          </w:tcPr>
          <w:p w14:paraId="63CFE1AA" w14:textId="481F6540" w:rsidR="00987A64" w:rsidRPr="00433D3E" w:rsidRDefault="00987A64" w:rsidP="006A34F2">
            <w:pPr>
              <w:rPr>
                <w:rFonts w:cs="Arial"/>
                <w:color w:val="FFFFFF"/>
                <w:sz w:val="20"/>
                <w:szCs w:val="20"/>
              </w:rPr>
            </w:pPr>
            <w:r w:rsidRPr="00433D3E">
              <w:rPr>
                <w:rFonts w:cs="Arial"/>
                <w:b/>
                <w:bCs/>
                <w:i/>
                <w:iCs/>
                <w:color w:val="FFFFFF"/>
                <w:sz w:val="22"/>
                <w:szCs w:val="20"/>
                <w:lang w:val="en-US"/>
              </w:rPr>
              <w:t xml:space="preserve">Approved in the </w:t>
            </w:r>
            <w:r>
              <w:rPr>
                <w:rFonts w:cs="Arial"/>
                <w:b/>
                <w:bCs/>
                <w:i/>
                <w:iCs/>
                <w:color w:val="FFFFFF"/>
                <w:sz w:val="22"/>
                <w:szCs w:val="20"/>
                <w:lang w:val="en-US"/>
              </w:rPr>
              <w:t>UK</w:t>
            </w:r>
            <w:r w:rsidR="003C1F60">
              <w:rPr>
                <w:rFonts w:cs="Arial"/>
                <w:b/>
                <w:bCs/>
                <w:i/>
                <w:iCs/>
                <w:color w:val="FFFFFF"/>
                <w:sz w:val="22"/>
                <w:szCs w:val="20"/>
                <w:lang w:val="en-US"/>
              </w:rPr>
              <w:t xml:space="preserve"> </w:t>
            </w:r>
            <w:r w:rsidR="003C1F60" w:rsidRPr="003C1F60">
              <w:rPr>
                <w:rFonts w:cs="Arial"/>
                <w:b/>
                <w:bCs/>
                <w:color w:val="FFFFFF"/>
                <w:sz w:val="16"/>
                <w:szCs w:val="14"/>
                <w:lang w:val="en-US"/>
              </w:rPr>
              <w:t>(continued)</w:t>
            </w:r>
          </w:p>
        </w:tc>
      </w:tr>
      <w:tr w:rsidR="00987A64" w14:paraId="677087F1" w14:textId="77777777" w:rsidTr="00515C7D">
        <w:tc>
          <w:tcPr>
            <w:tcW w:w="1091" w:type="pct"/>
            <w:shd w:val="clear" w:color="auto" w:fill="auto"/>
            <w:tcMar>
              <w:top w:w="57" w:type="dxa"/>
              <w:bottom w:w="57" w:type="dxa"/>
            </w:tcMar>
          </w:tcPr>
          <w:p w14:paraId="0BBD760E" w14:textId="77777777" w:rsidR="00987A64" w:rsidRPr="009A4F19" w:rsidRDefault="00987A64" w:rsidP="006A34F2">
            <w:pPr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Omalizumab (</w:t>
            </w:r>
            <w:r>
              <w:rPr>
                <w:rFonts w:cs="Arial"/>
                <w:i/>
                <w:iCs/>
                <w:szCs w:val="19"/>
              </w:rPr>
              <w:t>Xolair</w:t>
            </w:r>
            <w:r>
              <w:rPr>
                <w:rFonts w:cs="Arial"/>
                <w:szCs w:val="19"/>
              </w:rPr>
              <w:t>)</w:t>
            </w:r>
            <w:r>
              <w:rPr>
                <w:rFonts w:cs="Arial"/>
                <w:szCs w:val="19"/>
              </w:rPr>
              <w:br/>
            </w:r>
            <w:r w:rsidRPr="009A4F19">
              <w:rPr>
                <w:rFonts w:cs="Arial"/>
                <w:sz w:val="16"/>
                <w:szCs w:val="16"/>
              </w:rPr>
              <w:t>75mg in 0.5mL prefilled pen</w:t>
            </w:r>
          </w:p>
        </w:tc>
        <w:tc>
          <w:tcPr>
            <w:tcW w:w="3909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E66BF2A" w14:textId="77777777" w:rsidR="00987A64" w:rsidRDefault="00987A64" w:rsidP="006A34F2">
            <w:pPr>
              <w:tabs>
                <w:tab w:val="center" w:pos="3152"/>
              </w:tabs>
              <w:rPr>
                <w:rFonts w:cs="Arial"/>
                <w:szCs w:val="19"/>
                <w:lang w:val="en-US"/>
              </w:rPr>
            </w:pPr>
            <w:r w:rsidRPr="009A4F19">
              <w:rPr>
                <w:rFonts w:cs="Arial"/>
                <w:szCs w:val="19"/>
                <w:lang w:val="en-US"/>
              </w:rPr>
              <w:t>Treatment of allergic asthma in adults, adolescents and children</w:t>
            </w:r>
            <w:r>
              <w:rPr>
                <w:rFonts w:cs="Arial"/>
                <w:szCs w:val="19"/>
                <w:lang w:val="en-US"/>
              </w:rPr>
              <w:t xml:space="preserve"> aged </w:t>
            </w:r>
            <w:r w:rsidRPr="009A4F19">
              <w:rPr>
                <w:rFonts w:cs="Arial"/>
                <w:szCs w:val="19"/>
                <w:lang w:val="en-US"/>
              </w:rPr>
              <w:t xml:space="preserve">6 to </w:t>
            </w:r>
            <w:r>
              <w:rPr>
                <w:rFonts w:cs="Arial"/>
                <w:szCs w:val="19"/>
                <w:lang w:val="en-US"/>
              </w:rPr>
              <w:t>11</w:t>
            </w:r>
            <w:r w:rsidRPr="009A4F19">
              <w:rPr>
                <w:rFonts w:cs="Arial"/>
                <w:szCs w:val="19"/>
                <w:lang w:val="en-US"/>
              </w:rPr>
              <w:t xml:space="preserve"> years</w:t>
            </w:r>
            <w:r>
              <w:rPr>
                <w:rFonts w:cs="Arial"/>
                <w:szCs w:val="19"/>
                <w:lang w:val="en-US"/>
              </w:rPr>
              <w:t xml:space="preserve"> and </w:t>
            </w:r>
            <w:r w:rsidRPr="009A4F19">
              <w:rPr>
                <w:rFonts w:cs="Arial"/>
                <w:szCs w:val="19"/>
                <w:lang w:val="en-US"/>
              </w:rPr>
              <w:t xml:space="preserve">chronic rhinosinusitis with nasal polyps in adults </w:t>
            </w:r>
            <w:r>
              <w:rPr>
                <w:rFonts w:cs="Arial"/>
                <w:szCs w:val="19"/>
                <w:lang w:val="en-US"/>
              </w:rPr>
              <w:t>[new prefilled pen formulation]</w:t>
            </w:r>
          </w:p>
          <w:p w14:paraId="46C0A46B" w14:textId="51D86D11" w:rsidR="00987A64" w:rsidRPr="00A075A3" w:rsidRDefault="00987A64" w:rsidP="006A34F2">
            <w:pPr>
              <w:tabs>
                <w:tab w:val="center" w:pos="3152"/>
              </w:tabs>
              <w:rPr>
                <w:rFonts w:cs="Arial"/>
                <w:szCs w:val="19"/>
                <w:lang w:val="en-US"/>
              </w:rPr>
            </w:pPr>
            <w:r w:rsidRPr="00804389">
              <w:rPr>
                <w:rFonts w:cs="Arial"/>
                <w:i/>
                <w:iCs/>
                <w:sz w:val="16"/>
                <w:szCs w:val="16"/>
                <w:lang w:val="en-US"/>
              </w:rPr>
              <w:t xml:space="preserve">Note: For full details, see </w:t>
            </w:r>
            <w:hyperlink r:id="rId17" w:history="1">
              <w:r w:rsidRPr="00804389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  <w:lang w:val="en-US"/>
                </w:rPr>
                <w:t>SmPC</w:t>
              </w:r>
            </w:hyperlink>
          </w:p>
        </w:tc>
      </w:tr>
      <w:tr w:rsidR="00987A64" w14:paraId="0929F228" w14:textId="77777777" w:rsidTr="00515C7D">
        <w:tc>
          <w:tcPr>
            <w:tcW w:w="1091" w:type="pct"/>
            <w:shd w:val="clear" w:color="auto" w:fill="auto"/>
            <w:tcMar>
              <w:top w:w="57" w:type="dxa"/>
              <w:bottom w:w="57" w:type="dxa"/>
            </w:tcMar>
          </w:tcPr>
          <w:p w14:paraId="631C180B" w14:textId="77777777" w:rsidR="00987A64" w:rsidRDefault="00987A64" w:rsidP="006A34F2">
            <w:pPr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Risankizumab (</w:t>
            </w:r>
            <w:proofErr w:type="spellStart"/>
            <w:r>
              <w:rPr>
                <w:rFonts w:cs="Arial"/>
                <w:i/>
                <w:iCs/>
                <w:szCs w:val="19"/>
              </w:rPr>
              <w:t>Skyrizi</w:t>
            </w:r>
            <w:proofErr w:type="spellEnd"/>
            <w:r>
              <w:rPr>
                <w:rFonts w:cs="Arial"/>
                <w:szCs w:val="19"/>
              </w:rPr>
              <w:t>)</w:t>
            </w:r>
          </w:p>
          <w:p w14:paraId="47D342A0" w14:textId="77777777" w:rsidR="00987A64" w:rsidRPr="00BD5C01" w:rsidRDefault="00987A64" w:rsidP="006A34F2">
            <w:pPr>
              <w:rPr>
                <w:rFonts w:cs="Arial"/>
                <w:szCs w:val="19"/>
              </w:rPr>
            </w:pPr>
            <w:r w:rsidRPr="003F7448">
              <w:rPr>
                <w:rFonts w:cs="Arial"/>
                <w:sz w:val="16"/>
                <w:szCs w:val="16"/>
              </w:rPr>
              <w:t>180mg in 1.2mL cartridge with on-body injector</w:t>
            </w:r>
          </w:p>
        </w:tc>
        <w:tc>
          <w:tcPr>
            <w:tcW w:w="3909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18B900B" w14:textId="77777777" w:rsidR="00515C7D" w:rsidRDefault="00515C7D" w:rsidP="00515C7D">
            <w:pPr>
              <w:tabs>
                <w:tab w:val="center" w:pos="3152"/>
              </w:tabs>
              <w:rPr>
                <w:rFonts w:cs="Arial"/>
                <w:sz w:val="16"/>
                <w:szCs w:val="16"/>
                <w:lang w:val="en-US"/>
              </w:rPr>
            </w:pPr>
            <w:r w:rsidRPr="00515C7D">
              <w:rPr>
                <w:rFonts w:cs="Arial"/>
                <w:szCs w:val="19"/>
                <w:lang w:val="en-US"/>
              </w:rPr>
              <w:t>T</w:t>
            </w:r>
            <w:r w:rsidRPr="00515C7D">
              <w:rPr>
                <w:rFonts w:cs="Arial"/>
                <w:szCs w:val="19"/>
                <w:lang w:val="en-US"/>
              </w:rPr>
              <w:t xml:space="preserve">reatment of patients </w:t>
            </w:r>
            <w:r>
              <w:rPr>
                <w:rFonts w:cs="Arial"/>
                <w:szCs w:val="19"/>
                <w:lang w:val="en-US"/>
              </w:rPr>
              <w:t>aged ≥</w:t>
            </w:r>
            <w:r w:rsidRPr="00515C7D">
              <w:rPr>
                <w:rFonts w:cs="Arial"/>
                <w:szCs w:val="19"/>
                <w:lang w:val="en-US"/>
              </w:rPr>
              <w:t>16 years with moderately to severely active Crohn's disease who have had an inadequate response to, lost response to, or were intolerant to conventional therapy or a biologic therapy, or if such therapies are not advisable</w:t>
            </w:r>
            <w:r>
              <w:rPr>
                <w:rFonts w:cs="Arial"/>
                <w:szCs w:val="19"/>
                <w:lang w:val="en-US"/>
              </w:rPr>
              <w:t>, and tr</w:t>
            </w:r>
            <w:r w:rsidR="00987A64" w:rsidRPr="003D7028">
              <w:rPr>
                <w:rFonts w:cs="Arial"/>
                <w:szCs w:val="19"/>
                <w:lang w:val="en-US"/>
              </w:rPr>
              <w:t xml:space="preserve">eatment of adults with moderately to severely active ulcerative colitis </w:t>
            </w:r>
            <w:r>
              <w:rPr>
                <w:rFonts w:cs="Arial"/>
                <w:szCs w:val="19"/>
                <w:lang w:val="en-US"/>
              </w:rPr>
              <w:t xml:space="preserve">(UC) </w:t>
            </w:r>
            <w:r w:rsidR="00987A64" w:rsidRPr="003D7028">
              <w:rPr>
                <w:rFonts w:cs="Arial"/>
                <w:szCs w:val="19"/>
                <w:lang w:val="en-US"/>
              </w:rPr>
              <w:t>who have had an inadequate response to, lost response to, or were intolerant to conventional therapy or a biologic therapy</w:t>
            </w:r>
            <w:r w:rsidR="00987A64" w:rsidRPr="00A806C6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0EAFCBCB" w14:textId="756151C9" w:rsidR="00987A64" w:rsidRDefault="00987A64" w:rsidP="00515C7D">
            <w:pPr>
              <w:tabs>
                <w:tab w:val="center" w:pos="3152"/>
              </w:tabs>
              <w:rPr>
                <w:rFonts w:cs="Arial"/>
                <w:szCs w:val="19"/>
                <w:lang w:val="en-US"/>
              </w:rPr>
            </w:pPr>
            <w:r w:rsidRPr="00A806C6">
              <w:rPr>
                <w:rFonts w:cs="Arial"/>
                <w:sz w:val="16"/>
                <w:szCs w:val="16"/>
                <w:lang w:val="en-US"/>
              </w:rPr>
              <w:t xml:space="preserve">[new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subcutaneous formulation </w:t>
            </w:r>
            <w:r w:rsidR="00515C7D">
              <w:rPr>
                <w:rFonts w:cs="Arial"/>
                <w:sz w:val="16"/>
                <w:szCs w:val="16"/>
                <w:lang w:val="en-US"/>
              </w:rPr>
              <w:t xml:space="preserve">including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with new </w:t>
            </w:r>
            <w:r w:rsidR="00515C7D">
              <w:rPr>
                <w:rFonts w:cs="Arial"/>
                <w:sz w:val="16"/>
                <w:szCs w:val="16"/>
                <w:lang w:val="en-US"/>
              </w:rPr>
              <w:t xml:space="preserve">UC </w:t>
            </w:r>
            <w:r>
              <w:rPr>
                <w:rFonts w:cs="Arial"/>
                <w:sz w:val="16"/>
                <w:szCs w:val="16"/>
                <w:lang w:val="en-US"/>
              </w:rPr>
              <w:t>indi</w:t>
            </w:r>
            <w:r w:rsidRPr="00A806C6">
              <w:rPr>
                <w:rFonts w:cs="Arial"/>
                <w:sz w:val="16"/>
                <w:szCs w:val="16"/>
                <w:lang w:val="en-US"/>
              </w:rPr>
              <w:t>cation]</w:t>
            </w:r>
          </w:p>
        </w:tc>
      </w:tr>
      <w:tr w:rsidR="00987A64" w14:paraId="12AB728A" w14:textId="77777777" w:rsidTr="00515C7D">
        <w:tc>
          <w:tcPr>
            <w:tcW w:w="1091" w:type="pct"/>
            <w:shd w:val="clear" w:color="auto" w:fill="auto"/>
            <w:tcMar>
              <w:top w:w="57" w:type="dxa"/>
              <w:bottom w:w="57" w:type="dxa"/>
            </w:tcMar>
          </w:tcPr>
          <w:p w14:paraId="293B9FFB" w14:textId="77777777" w:rsidR="00987A64" w:rsidRDefault="00987A64" w:rsidP="006A34F2">
            <w:pPr>
              <w:rPr>
                <w:rFonts w:cs="Arial"/>
                <w:szCs w:val="19"/>
              </w:rPr>
            </w:pPr>
            <w:proofErr w:type="spellStart"/>
            <w:r w:rsidRPr="00BD5C01">
              <w:rPr>
                <w:rFonts w:cs="Arial"/>
                <w:szCs w:val="19"/>
              </w:rPr>
              <w:t>Zolbetuximab</w:t>
            </w:r>
            <w:proofErr w:type="spellEnd"/>
            <w:r>
              <w:rPr>
                <w:rFonts w:cs="Arial"/>
                <w:szCs w:val="19"/>
              </w:rPr>
              <w:t xml:space="preserve"> (</w:t>
            </w:r>
            <w:proofErr w:type="spellStart"/>
            <w:r>
              <w:rPr>
                <w:rFonts w:cs="Arial"/>
                <w:i/>
                <w:iCs/>
                <w:szCs w:val="19"/>
              </w:rPr>
              <w:t>Vyloy</w:t>
            </w:r>
            <w:proofErr w:type="spellEnd"/>
            <w:r>
              <w:rPr>
                <w:rFonts w:cs="Arial"/>
                <w:szCs w:val="19"/>
              </w:rPr>
              <w:t>)</w:t>
            </w:r>
          </w:p>
          <w:p w14:paraId="6F75238B" w14:textId="77777777" w:rsidR="00987A64" w:rsidRPr="002A6DA7" w:rsidRDefault="00987A64" w:rsidP="006A34F2">
            <w:pPr>
              <w:rPr>
                <w:rFonts w:cs="Arial"/>
                <w:szCs w:val="19"/>
              </w:rPr>
            </w:pPr>
            <w:r w:rsidRPr="0074196C">
              <w:rPr>
                <w:rFonts w:cs="Arial"/>
                <w:sz w:val="16"/>
                <w:szCs w:val="16"/>
              </w:rPr>
              <w:t>100mg vial</w:t>
            </w:r>
          </w:p>
        </w:tc>
        <w:tc>
          <w:tcPr>
            <w:tcW w:w="3909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BE170A5" w14:textId="77777777" w:rsidR="00987A64" w:rsidRPr="00A075A3" w:rsidRDefault="00987A64" w:rsidP="006A34F2">
            <w:pPr>
              <w:tabs>
                <w:tab w:val="center" w:pos="3152"/>
              </w:tabs>
              <w:rPr>
                <w:rFonts w:cs="Arial"/>
                <w:szCs w:val="19"/>
                <w:lang w:val="en-US"/>
              </w:rPr>
            </w:pPr>
            <w:r>
              <w:rPr>
                <w:rFonts w:cs="Arial"/>
                <w:szCs w:val="19"/>
                <w:lang w:val="en-US"/>
              </w:rPr>
              <w:t xml:space="preserve">Use </w:t>
            </w:r>
            <w:r w:rsidRPr="00BD5C01">
              <w:rPr>
                <w:rFonts w:cs="Arial"/>
                <w:szCs w:val="19"/>
                <w:lang w:val="en-US"/>
              </w:rPr>
              <w:t>in combination with fluoropyrimidine- and platinum-containing chemotherapy, for the first-line treatment of adults with locally advanced unresectable or metastatic HER2</w:t>
            </w:r>
            <w:r w:rsidRPr="00BD5C01">
              <w:rPr>
                <w:rFonts w:ascii="Cambria Math" w:hAnsi="Cambria Math" w:cs="Cambria Math"/>
                <w:szCs w:val="19"/>
                <w:lang w:val="en-US"/>
              </w:rPr>
              <w:t>‑</w:t>
            </w:r>
            <w:r w:rsidRPr="00BD5C01">
              <w:rPr>
                <w:rFonts w:cs="Arial"/>
                <w:szCs w:val="19"/>
                <w:lang w:val="en-US"/>
              </w:rPr>
              <w:t>negative gastric or gastro-</w:t>
            </w:r>
            <w:proofErr w:type="spellStart"/>
            <w:r w:rsidRPr="00BD5C01">
              <w:rPr>
                <w:rFonts w:cs="Arial"/>
                <w:szCs w:val="19"/>
                <w:lang w:val="en-US"/>
              </w:rPr>
              <w:t>oesophageal</w:t>
            </w:r>
            <w:proofErr w:type="spellEnd"/>
            <w:r w:rsidRPr="00BD5C01">
              <w:rPr>
                <w:rFonts w:cs="Arial"/>
                <w:szCs w:val="19"/>
                <w:lang w:val="en-US"/>
              </w:rPr>
              <w:t xml:space="preserve"> junction adenocarcinoma whose </w:t>
            </w:r>
            <w:proofErr w:type="spellStart"/>
            <w:r w:rsidRPr="00BD5C01">
              <w:rPr>
                <w:rFonts w:cs="Arial"/>
                <w:szCs w:val="19"/>
                <w:lang w:val="en-US"/>
              </w:rPr>
              <w:t>tumours</w:t>
            </w:r>
            <w:proofErr w:type="spellEnd"/>
            <w:r w:rsidRPr="00BD5C01">
              <w:rPr>
                <w:rFonts w:cs="Arial"/>
                <w:szCs w:val="19"/>
                <w:lang w:val="en-US"/>
              </w:rPr>
              <w:t xml:space="preserve"> are Claudin 18.2 positive</w:t>
            </w:r>
          </w:p>
        </w:tc>
      </w:tr>
      <w:tr w:rsidR="00987A64" w:rsidRPr="00862949" w14:paraId="3534688D" w14:textId="77777777" w:rsidTr="006A34F2">
        <w:tc>
          <w:tcPr>
            <w:tcW w:w="5000" w:type="pct"/>
            <w:gridSpan w:val="4"/>
            <w:shd w:val="clear" w:color="auto" w:fill="auto"/>
            <w:tcMar>
              <w:top w:w="0" w:type="dxa"/>
              <w:bottom w:w="0" w:type="dxa"/>
            </w:tcMar>
          </w:tcPr>
          <w:p w14:paraId="5655D0B4" w14:textId="77777777" w:rsidR="00987A64" w:rsidRPr="00862949" w:rsidRDefault="00987A64" w:rsidP="006A34F2">
            <w:pPr>
              <w:jc w:val="center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987A64" w:rsidRPr="000F19E1" w14:paraId="45848226" w14:textId="77777777" w:rsidTr="006A34F2">
        <w:tc>
          <w:tcPr>
            <w:tcW w:w="1152" w:type="pct"/>
            <w:gridSpan w:val="2"/>
            <w:shd w:val="clear" w:color="auto" w:fill="DAEEF3"/>
            <w:tcMar>
              <w:top w:w="0" w:type="dxa"/>
              <w:bottom w:w="0" w:type="dxa"/>
            </w:tcMar>
          </w:tcPr>
          <w:p w14:paraId="369BB6ED" w14:textId="0C3465D4" w:rsidR="00987A64" w:rsidRPr="000F19E1" w:rsidRDefault="00515C7D" w:rsidP="006A34F2">
            <w:pPr>
              <w:rPr>
                <w:rFonts w:cs="Arial"/>
                <w:bCs/>
                <w:sz w:val="8"/>
                <w:szCs w:val="8"/>
              </w:rPr>
            </w:pPr>
            <w:r>
              <w:br w:type="page"/>
            </w:r>
          </w:p>
        </w:tc>
        <w:tc>
          <w:tcPr>
            <w:tcW w:w="3848" w:type="pct"/>
            <w:gridSpan w:val="2"/>
            <w:shd w:val="clear" w:color="auto" w:fill="DAEEF3"/>
            <w:tcMar>
              <w:top w:w="0" w:type="dxa"/>
              <w:bottom w:w="0" w:type="dxa"/>
            </w:tcMar>
          </w:tcPr>
          <w:p w14:paraId="0EC56370" w14:textId="77777777" w:rsidR="00987A64" w:rsidRPr="000F19E1" w:rsidRDefault="00987A64" w:rsidP="006A34F2">
            <w:pPr>
              <w:tabs>
                <w:tab w:val="center" w:pos="3152"/>
              </w:tabs>
              <w:rPr>
                <w:rFonts w:cs="Arial"/>
                <w:sz w:val="8"/>
                <w:szCs w:val="8"/>
                <w:lang w:val="en-US"/>
              </w:rPr>
            </w:pPr>
          </w:p>
        </w:tc>
      </w:tr>
      <w:tr w:rsidR="00A81694" w:rsidRPr="00433D3E" w14:paraId="6B081518" w14:textId="77777777" w:rsidTr="00155BD9">
        <w:tc>
          <w:tcPr>
            <w:tcW w:w="5000" w:type="pct"/>
            <w:gridSpan w:val="4"/>
            <w:shd w:val="clear" w:color="auto" w:fill="00B050"/>
            <w:tcMar>
              <w:top w:w="57" w:type="dxa"/>
              <w:bottom w:w="57" w:type="dxa"/>
            </w:tcMar>
          </w:tcPr>
          <w:p w14:paraId="73E67449" w14:textId="77777777" w:rsidR="00A81694" w:rsidRPr="00433D3E" w:rsidRDefault="00A81694" w:rsidP="00B94311">
            <w:pPr>
              <w:rPr>
                <w:rFonts w:cs="Arial"/>
                <w:noProof/>
                <w:color w:val="FFFFFF"/>
                <w:sz w:val="16"/>
                <w:szCs w:val="16"/>
              </w:rPr>
            </w:pPr>
            <w:r w:rsidRPr="00433D3E">
              <w:rPr>
                <w:rFonts w:cs="Arial"/>
                <w:b/>
                <w:bCs/>
                <w:i/>
                <w:iCs/>
                <w:color w:val="FFFFFF"/>
                <w:sz w:val="22"/>
                <w:szCs w:val="20"/>
                <w:lang w:val="en-US"/>
              </w:rPr>
              <w:t xml:space="preserve">Filed for approval in the </w:t>
            </w:r>
            <w:r w:rsidR="0048777D">
              <w:rPr>
                <w:rFonts w:cs="Arial"/>
                <w:b/>
                <w:bCs/>
                <w:i/>
                <w:iCs/>
                <w:color w:val="FFFFFF"/>
                <w:sz w:val="22"/>
                <w:szCs w:val="20"/>
                <w:lang w:val="en-US"/>
              </w:rPr>
              <w:t>UK</w:t>
            </w:r>
            <w:r w:rsidR="00B94311">
              <w:rPr>
                <w:rFonts w:cs="Arial"/>
                <w:b/>
                <w:bCs/>
                <w:i/>
                <w:iCs/>
                <w:color w:val="FFFFFF"/>
                <w:sz w:val="22"/>
                <w:szCs w:val="20"/>
                <w:lang w:val="en-US"/>
              </w:rPr>
              <w:t xml:space="preserve"> or </w:t>
            </w:r>
            <w:r w:rsidRPr="00433D3E">
              <w:rPr>
                <w:rFonts w:cs="Arial"/>
                <w:b/>
                <w:bCs/>
                <w:i/>
                <w:iCs/>
                <w:color w:val="FFFFFF"/>
                <w:sz w:val="22"/>
                <w:szCs w:val="20"/>
                <w:lang w:val="en-US"/>
              </w:rPr>
              <w:t>EU</w:t>
            </w:r>
          </w:p>
        </w:tc>
      </w:tr>
      <w:tr w:rsidR="00A81694" w:rsidRPr="00A075A3" w14:paraId="5B6BF64F" w14:textId="77777777" w:rsidTr="00515C7D">
        <w:tc>
          <w:tcPr>
            <w:tcW w:w="1427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47150719" w14:textId="77777777" w:rsidR="00AC711A" w:rsidRDefault="00AC711A" w:rsidP="0042465E">
            <w:pPr>
              <w:rPr>
                <w:rFonts w:cs="Arial"/>
                <w:szCs w:val="19"/>
              </w:rPr>
            </w:pPr>
            <w:proofErr w:type="spellStart"/>
            <w:r w:rsidRPr="00AC711A">
              <w:rPr>
                <w:rFonts w:cs="Arial"/>
                <w:szCs w:val="19"/>
              </w:rPr>
              <w:t>Delandistrogene</w:t>
            </w:r>
            <w:proofErr w:type="spellEnd"/>
            <w:r w:rsidRPr="00AC711A">
              <w:rPr>
                <w:rFonts w:cs="Arial"/>
                <w:szCs w:val="19"/>
              </w:rPr>
              <w:t xml:space="preserve"> </w:t>
            </w:r>
            <w:proofErr w:type="spellStart"/>
            <w:r w:rsidRPr="00AC711A">
              <w:rPr>
                <w:rFonts w:cs="Arial"/>
                <w:szCs w:val="19"/>
              </w:rPr>
              <w:t>moxeparvovec</w:t>
            </w:r>
            <w:proofErr w:type="spellEnd"/>
            <w:r w:rsidRPr="00AC711A">
              <w:rPr>
                <w:rFonts w:cs="Arial"/>
                <w:szCs w:val="19"/>
              </w:rPr>
              <w:t> </w:t>
            </w:r>
          </w:p>
          <w:p w14:paraId="5D339B1A" w14:textId="48B79D29" w:rsidR="00A81694" w:rsidRPr="00AC711A" w:rsidRDefault="00AC711A" w:rsidP="0042465E">
            <w:pPr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(</w:t>
            </w:r>
            <w:proofErr w:type="spellStart"/>
            <w:r>
              <w:rPr>
                <w:rFonts w:cs="Arial"/>
                <w:i/>
                <w:iCs/>
                <w:szCs w:val="19"/>
              </w:rPr>
              <w:t>Elevidys</w:t>
            </w:r>
            <w:proofErr w:type="spellEnd"/>
            <w:r>
              <w:rPr>
                <w:rFonts w:cs="Arial"/>
                <w:szCs w:val="19"/>
              </w:rPr>
              <w:t>)</w:t>
            </w:r>
          </w:p>
        </w:tc>
        <w:tc>
          <w:tcPr>
            <w:tcW w:w="3573" w:type="pct"/>
            <w:shd w:val="clear" w:color="auto" w:fill="auto"/>
            <w:tcMar>
              <w:top w:w="57" w:type="dxa"/>
              <w:bottom w:w="57" w:type="dxa"/>
            </w:tcMar>
          </w:tcPr>
          <w:p w14:paraId="1FD221EB" w14:textId="0BA21D9F" w:rsidR="00A81694" w:rsidRPr="00A075A3" w:rsidRDefault="00AC711A" w:rsidP="0042465E">
            <w:pPr>
              <w:tabs>
                <w:tab w:val="center" w:pos="3152"/>
              </w:tabs>
              <w:rPr>
                <w:rFonts w:cs="Arial"/>
                <w:szCs w:val="19"/>
                <w:lang w:val="en-US"/>
              </w:rPr>
            </w:pPr>
            <w:r>
              <w:rPr>
                <w:rFonts w:cs="Arial"/>
                <w:szCs w:val="19"/>
                <w:lang w:val="en-US"/>
              </w:rPr>
              <w:t>Treatment of Duchenne muscular dystrophy in children aged 4 to 7 years</w:t>
            </w:r>
            <w:r w:rsidR="00644CF6">
              <w:rPr>
                <w:rFonts w:cs="Arial"/>
                <w:szCs w:val="19"/>
                <w:lang w:val="en-US"/>
              </w:rPr>
              <w:t xml:space="preserve"> </w:t>
            </w:r>
            <w:r w:rsidR="00644CF6" w:rsidRPr="00644CF6">
              <w:rPr>
                <w:rFonts w:cs="Arial"/>
                <w:sz w:val="16"/>
                <w:szCs w:val="16"/>
                <w:lang w:val="en-US"/>
              </w:rPr>
              <w:t>[EU]</w:t>
            </w:r>
          </w:p>
        </w:tc>
      </w:tr>
      <w:tr w:rsidR="00B05E18" w:rsidRPr="00A075A3" w14:paraId="2CCDC1F9" w14:textId="77777777" w:rsidTr="00515C7D">
        <w:tc>
          <w:tcPr>
            <w:tcW w:w="1427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57D5088B" w14:textId="48FFF339" w:rsidR="00B05E18" w:rsidRPr="004910AC" w:rsidRDefault="00B05E18" w:rsidP="00B05E18">
            <w:pPr>
              <w:rPr>
                <w:rFonts w:cs="Arial"/>
                <w:szCs w:val="19"/>
              </w:rPr>
            </w:pPr>
            <w:proofErr w:type="spellStart"/>
            <w:r>
              <w:rPr>
                <w:rFonts w:cs="Arial"/>
                <w:szCs w:val="19"/>
              </w:rPr>
              <w:t>Iptacopan</w:t>
            </w:r>
            <w:proofErr w:type="spellEnd"/>
            <w:r>
              <w:rPr>
                <w:rFonts w:cs="Arial"/>
                <w:szCs w:val="19"/>
              </w:rPr>
              <w:t xml:space="preserve"> (</w:t>
            </w:r>
            <w:proofErr w:type="spellStart"/>
            <w:r>
              <w:rPr>
                <w:rFonts w:cs="Arial"/>
                <w:i/>
                <w:iCs/>
                <w:szCs w:val="19"/>
              </w:rPr>
              <w:t>Fabhalta</w:t>
            </w:r>
            <w:proofErr w:type="spellEnd"/>
            <w:r>
              <w:rPr>
                <w:rFonts w:cs="Arial"/>
                <w:szCs w:val="19"/>
              </w:rPr>
              <w:t>)</w:t>
            </w:r>
          </w:p>
        </w:tc>
        <w:tc>
          <w:tcPr>
            <w:tcW w:w="3573" w:type="pct"/>
            <w:shd w:val="clear" w:color="auto" w:fill="auto"/>
            <w:tcMar>
              <w:top w:w="57" w:type="dxa"/>
              <w:bottom w:w="57" w:type="dxa"/>
            </w:tcMar>
          </w:tcPr>
          <w:p w14:paraId="22B5A027" w14:textId="1E22B540" w:rsidR="00B05E18" w:rsidRPr="00460B68" w:rsidRDefault="00B05E18" w:rsidP="00B05E18">
            <w:pPr>
              <w:tabs>
                <w:tab w:val="center" w:pos="3152"/>
              </w:tabs>
              <w:rPr>
                <w:rFonts w:cs="Arial"/>
                <w:szCs w:val="19"/>
                <w:lang w:val="en-US"/>
              </w:rPr>
            </w:pPr>
            <w:r>
              <w:rPr>
                <w:rFonts w:cs="Arial"/>
                <w:szCs w:val="19"/>
                <w:lang w:val="en-US"/>
              </w:rPr>
              <w:t xml:space="preserve">Use </w:t>
            </w:r>
            <w:r w:rsidRPr="00B77D7C">
              <w:rPr>
                <w:rFonts w:cs="Arial"/>
                <w:szCs w:val="19"/>
                <w:lang w:val="en-US"/>
              </w:rPr>
              <w:t xml:space="preserve">in combination with a renin -angiotensin system inhibitor, </w:t>
            </w:r>
            <w:r>
              <w:rPr>
                <w:rFonts w:cs="Arial"/>
                <w:szCs w:val="19"/>
                <w:lang w:val="en-US"/>
              </w:rPr>
              <w:t xml:space="preserve">for </w:t>
            </w:r>
            <w:r w:rsidRPr="00B77D7C">
              <w:rPr>
                <w:rFonts w:cs="Arial"/>
                <w:szCs w:val="19"/>
                <w:lang w:val="en-US"/>
              </w:rPr>
              <w:t>the treatment of adults with complement 3 glomerulopathy</w:t>
            </w:r>
            <w:r>
              <w:rPr>
                <w:rFonts w:cs="Arial"/>
                <w:szCs w:val="19"/>
                <w:lang w:val="en-US"/>
              </w:rPr>
              <w:t xml:space="preserve"> </w:t>
            </w:r>
            <w:r w:rsidRPr="00B77D7C">
              <w:rPr>
                <w:rFonts w:cs="Arial"/>
                <w:sz w:val="16"/>
                <w:szCs w:val="16"/>
                <w:lang w:val="en-US"/>
              </w:rPr>
              <w:t>[EU] [new indication]</w:t>
            </w:r>
          </w:p>
        </w:tc>
      </w:tr>
      <w:tr w:rsidR="00B05E18" w:rsidRPr="00A075A3" w14:paraId="701EDA52" w14:textId="77777777" w:rsidTr="00515C7D">
        <w:tc>
          <w:tcPr>
            <w:tcW w:w="1427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3E55286" w14:textId="77777777" w:rsidR="00B05E18" w:rsidRDefault="00B05E18" w:rsidP="00B05E18">
            <w:pPr>
              <w:rPr>
                <w:rFonts w:cs="Arial"/>
                <w:szCs w:val="19"/>
              </w:rPr>
            </w:pPr>
            <w:proofErr w:type="spellStart"/>
            <w:r w:rsidRPr="00B05E18">
              <w:rPr>
                <w:rFonts w:cs="Arial"/>
                <w:szCs w:val="19"/>
              </w:rPr>
              <w:t>Lisocabtagene</w:t>
            </w:r>
            <w:proofErr w:type="spellEnd"/>
            <w:r w:rsidRPr="00B05E18">
              <w:rPr>
                <w:rFonts w:cs="Arial"/>
                <w:szCs w:val="19"/>
              </w:rPr>
              <w:t xml:space="preserve"> </w:t>
            </w:r>
            <w:proofErr w:type="spellStart"/>
            <w:r w:rsidRPr="00B05E18">
              <w:rPr>
                <w:rFonts w:cs="Arial"/>
                <w:szCs w:val="19"/>
              </w:rPr>
              <w:t>maraleucel</w:t>
            </w:r>
            <w:proofErr w:type="spellEnd"/>
            <w:r w:rsidRPr="00B05E18">
              <w:rPr>
                <w:rFonts w:cs="Arial"/>
                <w:szCs w:val="19"/>
              </w:rPr>
              <w:t> </w:t>
            </w:r>
          </w:p>
          <w:p w14:paraId="6C974412" w14:textId="4FA83AD1" w:rsidR="00B05E18" w:rsidRPr="00B05E18" w:rsidRDefault="00B05E18" w:rsidP="00B05E18">
            <w:pPr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(</w:t>
            </w:r>
            <w:proofErr w:type="spellStart"/>
            <w:r>
              <w:rPr>
                <w:rFonts w:cs="Arial"/>
                <w:i/>
                <w:iCs/>
                <w:szCs w:val="19"/>
              </w:rPr>
              <w:t>Breyanzi</w:t>
            </w:r>
            <w:proofErr w:type="spellEnd"/>
            <w:r>
              <w:rPr>
                <w:rFonts w:cs="Arial"/>
                <w:szCs w:val="19"/>
              </w:rPr>
              <w:t>)</w:t>
            </w:r>
          </w:p>
        </w:tc>
        <w:tc>
          <w:tcPr>
            <w:tcW w:w="3573" w:type="pct"/>
            <w:shd w:val="clear" w:color="auto" w:fill="auto"/>
            <w:tcMar>
              <w:top w:w="57" w:type="dxa"/>
              <w:bottom w:w="57" w:type="dxa"/>
            </w:tcMar>
          </w:tcPr>
          <w:p w14:paraId="021B65D9" w14:textId="56469EF0" w:rsidR="00B05E18" w:rsidRPr="00460B68" w:rsidRDefault="00B05E18" w:rsidP="00B05E18">
            <w:pPr>
              <w:tabs>
                <w:tab w:val="center" w:pos="3152"/>
              </w:tabs>
              <w:rPr>
                <w:rFonts w:cs="Arial"/>
                <w:szCs w:val="19"/>
                <w:lang w:val="en-US"/>
              </w:rPr>
            </w:pPr>
            <w:r w:rsidRPr="00B05E18">
              <w:rPr>
                <w:rFonts w:cs="Arial"/>
                <w:szCs w:val="19"/>
                <w:lang w:val="en-US"/>
              </w:rPr>
              <w:t>Treatment of adults with relapsed or refractory follicular lymphoma who have received two or more prior lines of systemic therapy</w:t>
            </w:r>
            <w:r>
              <w:rPr>
                <w:rFonts w:cs="Arial"/>
                <w:szCs w:val="19"/>
                <w:lang w:val="en-US"/>
              </w:rPr>
              <w:t xml:space="preserve"> </w:t>
            </w:r>
            <w:r w:rsidRPr="00B05E18">
              <w:rPr>
                <w:rFonts w:cs="Arial"/>
                <w:sz w:val="16"/>
                <w:szCs w:val="16"/>
                <w:lang w:val="en-US"/>
              </w:rPr>
              <w:t>[EU] [new indication]</w:t>
            </w:r>
          </w:p>
        </w:tc>
      </w:tr>
      <w:tr w:rsidR="00B05E18" w:rsidRPr="00A075A3" w14:paraId="1D0131C3" w14:textId="77777777" w:rsidTr="00515C7D">
        <w:tc>
          <w:tcPr>
            <w:tcW w:w="1427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6AAA673C" w14:textId="2C235680" w:rsidR="00B05E18" w:rsidRPr="00B77D7C" w:rsidRDefault="00B05E18" w:rsidP="00B05E18">
            <w:pPr>
              <w:rPr>
                <w:rFonts w:cs="Arial"/>
                <w:szCs w:val="19"/>
              </w:rPr>
            </w:pPr>
            <w:proofErr w:type="spellStart"/>
            <w:r>
              <w:rPr>
                <w:rFonts w:cs="Arial"/>
                <w:szCs w:val="19"/>
              </w:rPr>
              <w:t>Semaglutide</w:t>
            </w:r>
            <w:proofErr w:type="spellEnd"/>
            <w:r>
              <w:rPr>
                <w:rFonts w:cs="Arial"/>
                <w:szCs w:val="19"/>
              </w:rPr>
              <w:t xml:space="preserve"> (</w:t>
            </w:r>
            <w:proofErr w:type="spellStart"/>
            <w:r>
              <w:rPr>
                <w:rFonts w:cs="Arial"/>
                <w:i/>
                <w:iCs/>
                <w:szCs w:val="19"/>
              </w:rPr>
              <w:t>Wegovy</w:t>
            </w:r>
            <w:proofErr w:type="spellEnd"/>
            <w:r>
              <w:rPr>
                <w:rFonts w:cs="Arial"/>
                <w:szCs w:val="19"/>
              </w:rPr>
              <w:t>)</w:t>
            </w:r>
          </w:p>
        </w:tc>
        <w:tc>
          <w:tcPr>
            <w:tcW w:w="3573" w:type="pct"/>
            <w:shd w:val="clear" w:color="auto" w:fill="auto"/>
            <w:tcMar>
              <w:top w:w="57" w:type="dxa"/>
              <w:bottom w:w="57" w:type="dxa"/>
            </w:tcMar>
          </w:tcPr>
          <w:p w14:paraId="26476BD9" w14:textId="62BA3DB8" w:rsidR="00B05E18" w:rsidRPr="00460B68" w:rsidRDefault="00B05E18" w:rsidP="00B05E18">
            <w:pPr>
              <w:tabs>
                <w:tab w:val="center" w:pos="3152"/>
              </w:tabs>
              <w:rPr>
                <w:rFonts w:cs="Arial"/>
                <w:szCs w:val="19"/>
                <w:lang w:val="en-US"/>
              </w:rPr>
            </w:pPr>
            <w:r>
              <w:rPr>
                <w:rFonts w:cs="Arial"/>
                <w:szCs w:val="19"/>
                <w:lang w:val="en-US"/>
              </w:rPr>
              <w:t xml:space="preserve">Treatment of heart failure </w:t>
            </w:r>
            <w:r w:rsidRPr="00644CF6">
              <w:rPr>
                <w:rFonts w:cs="Arial"/>
                <w:szCs w:val="19"/>
                <w:lang w:val="en-US"/>
              </w:rPr>
              <w:t xml:space="preserve">with preserved ejection fraction in </w:t>
            </w:r>
            <w:r>
              <w:rPr>
                <w:rFonts w:cs="Arial"/>
                <w:szCs w:val="19"/>
                <w:lang w:val="en-US"/>
              </w:rPr>
              <w:t>adults with obesity</w:t>
            </w:r>
            <w:r w:rsidRPr="00644CF6">
              <w:rPr>
                <w:rFonts w:cs="Arial"/>
                <w:szCs w:val="19"/>
                <w:lang w:val="en-US"/>
              </w:rPr>
              <w:t xml:space="preserve"> with or without diabetes</w:t>
            </w:r>
            <w:r w:rsidRPr="00644CF6">
              <w:rPr>
                <w:rFonts w:cs="Arial"/>
                <w:sz w:val="16"/>
                <w:szCs w:val="16"/>
                <w:lang w:val="en-US"/>
              </w:rPr>
              <w:t xml:space="preserve"> [EU] [new indication]</w:t>
            </w:r>
          </w:p>
        </w:tc>
      </w:tr>
      <w:tr w:rsidR="00B05E18" w:rsidRPr="00A075A3" w14:paraId="37BFFFB8" w14:textId="77777777" w:rsidTr="00515C7D">
        <w:tc>
          <w:tcPr>
            <w:tcW w:w="1427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51DEB5B8" w14:textId="315D6B2A" w:rsidR="00B05E18" w:rsidRPr="003E0A4E" w:rsidRDefault="00B05E18" w:rsidP="00B05E18">
            <w:pPr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Smallpox vaccine (</w:t>
            </w:r>
            <w:proofErr w:type="spellStart"/>
            <w:r w:rsidRPr="00C836F9">
              <w:rPr>
                <w:rFonts w:cs="Arial"/>
                <w:i/>
                <w:iCs/>
                <w:szCs w:val="19"/>
              </w:rPr>
              <w:t>Imvanex</w:t>
            </w:r>
            <w:proofErr w:type="spellEnd"/>
            <w:r>
              <w:rPr>
                <w:rFonts w:cs="Arial"/>
                <w:szCs w:val="19"/>
              </w:rPr>
              <w:t>)</w:t>
            </w:r>
          </w:p>
        </w:tc>
        <w:tc>
          <w:tcPr>
            <w:tcW w:w="3573" w:type="pct"/>
            <w:shd w:val="clear" w:color="auto" w:fill="auto"/>
            <w:tcMar>
              <w:top w:w="57" w:type="dxa"/>
              <w:bottom w:w="57" w:type="dxa"/>
            </w:tcMar>
          </w:tcPr>
          <w:p w14:paraId="67EE304E" w14:textId="19AE45CC" w:rsidR="00B05E18" w:rsidRPr="003F02CB" w:rsidRDefault="00B05E18" w:rsidP="00B05E18">
            <w:pPr>
              <w:tabs>
                <w:tab w:val="center" w:pos="3152"/>
              </w:tabs>
              <w:rPr>
                <w:rFonts w:cs="Arial"/>
                <w:szCs w:val="19"/>
                <w:lang w:val="en-US"/>
              </w:rPr>
            </w:pPr>
            <w:r w:rsidRPr="00B05E18">
              <w:rPr>
                <w:rFonts w:cs="Arial"/>
                <w:szCs w:val="19"/>
                <w:lang w:val="en-US"/>
              </w:rPr>
              <w:t xml:space="preserve">Active </w:t>
            </w:r>
            <w:proofErr w:type="spellStart"/>
            <w:r w:rsidRPr="00B05E18">
              <w:rPr>
                <w:rFonts w:cs="Arial"/>
                <w:szCs w:val="19"/>
                <w:lang w:val="en-US"/>
              </w:rPr>
              <w:t>immunisation</w:t>
            </w:r>
            <w:proofErr w:type="spellEnd"/>
            <w:r w:rsidRPr="00B05E18">
              <w:rPr>
                <w:rFonts w:cs="Arial"/>
                <w:szCs w:val="19"/>
                <w:lang w:val="en-US"/>
              </w:rPr>
              <w:t xml:space="preserve"> against smallpox, mpox and disease caused by vaccinia virus in</w:t>
            </w:r>
            <w:r>
              <w:rPr>
                <w:rFonts w:cs="Arial"/>
                <w:szCs w:val="19"/>
                <w:lang w:val="en-US"/>
              </w:rPr>
              <w:t xml:space="preserve"> adults and </w:t>
            </w:r>
            <w:r w:rsidRPr="00AB5678">
              <w:rPr>
                <w:rFonts w:cs="Arial"/>
                <w:szCs w:val="19"/>
                <w:lang w:val="en-US"/>
              </w:rPr>
              <w:t>adolescents aged 12 to 17 years</w:t>
            </w:r>
            <w:r>
              <w:rPr>
                <w:rFonts w:cs="Arial"/>
                <w:szCs w:val="19"/>
                <w:lang w:val="en-US"/>
              </w:rPr>
              <w:t xml:space="preserve"> </w:t>
            </w:r>
            <w:r w:rsidRPr="00AB5678">
              <w:rPr>
                <w:rFonts w:cs="Arial"/>
                <w:sz w:val="16"/>
                <w:szCs w:val="16"/>
                <w:lang w:val="en-US"/>
              </w:rPr>
              <w:t>[EU] [</w:t>
            </w:r>
            <w:proofErr w:type="spellStart"/>
            <w:r w:rsidRPr="00AB5678">
              <w:rPr>
                <w:rFonts w:cs="Arial"/>
                <w:sz w:val="16"/>
                <w:szCs w:val="16"/>
                <w:lang w:val="en-US"/>
              </w:rPr>
              <w:t>licence</w:t>
            </w:r>
            <w:proofErr w:type="spellEnd"/>
            <w:r w:rsidRPr="00AB5678">
              <w:rPr>
                <w:rFonts w:cs="Arial"/>
                <w:sz w:val="16"/>
                <w:szCs w:val="16"/>
                <w:lang w:val="en-US"/>
              </w:rPr>
              <w:t xml:space="preserve"> change from use only in adults]</w:t>
            </w:r>
          </w:p>
        </w:tc>
      </w:tr>
      <w:tr w:rsidR="00B05E18" w:rsidRPr="00A075A3" w14:paraId="2B86757C" w14:textId="77777777" w:rsidTr="00515C7D">
        <w:tc>
          <w:tcPr>
            <w:tcW w:w="1427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4F09FBF" w14:textId="77777777" w:rsidR="00515C7D" w:rsidRDefault="00B05E18" w:rsidP="00B05E18">
            <w:pPr>
              <w:rPr>
                <w:rFonts w:cs="Arial"/>
                <w:szCs w:val="19"/>
              </w:rPr>
            </w:pPr>
            <w:r w:rsidRPr="00C94ABE">
              <w:rPr>
                <w:rFonts w:cs="Arial"/>
                <w:szCs w:val="19"/>
              </w:rPr>
              <w:t xml:space="preserve">Ustekinumab biosimilar </w:t>
            </w:r>
          </w:p>
          <w:p w14:paraId="5BC21873" w14:textId="513337CD" w:rsidR="00B05E18" w:rsidRDefault="00B05E18" w:rsidP="00B05E18">
            <w:pPr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 xml:space="preserve">– </w:t>
            </w:r>
            <w:r w:rsidRPr="00C94ABE">
              <w:rPr>
                <w:rFonts w:cs="Arial"/>
                <w:szCs w:val="19"/>
              </w:rPr>
              <w:t>BAT-2206</w:t>
            </w:r>
          </w:p>
        </w:tc>
        <w:tc>
          <w:tcPr>
            <w:tcW w:w="3573" w:type="pct"/>
            <w:shd w:val="clear" w:color="auto" w:fill="auto"/>
            <w:tcMar>
              <w:top w:w="57" w:type="dxa"/>
              <w:bottom w:w="57" w:type="dxa"/>
            </w:tcMar>
          </w:tcPr>
          <w:p w14:paraId="4030CF1E" w14:textId="1DB98754" w:rsidR="00B05E18" w:rsidRPr="00272180" w:rsidRDefault="00B05E18" w:rsidP="00B05E18">
            <w:pPr>
              <w:tabs>
                <w:tab w:val="center" w:pos="3152"/>
              </w:tabs>
              <w:rPr>
                <w:rFonts w:cs="Arial"/>
                <w:szCs w:val="19"/>
                <w:lang w:val="en-US"/>
              </w:rPr>
            </w:pPr>
            <w:r w:rsidRPr="00C94ABE">
              <w:rPr>
                <w:rFonts w:cs="Arial"/>
                <w:szCs w:val="19"/>
                <w:lang w:val="en-US"/>
              </w:rPr>
              <w:t xml:space="preserve">Moderate to severe chronic plaque </w:t>
            </w:r>
            <w:r>
              <w:rPr>
                <w:rFonts w:cs="Arial"/>
                <w:szCs w:val="19"/>
                <w:lang w:val="en-US"/>
              </w:rPr>
              <w:t xml:space="preserve">psoriasis </w:t>
            </w:r>
            <w:r w:rsidRPr="00C94ABE">
              <w:rPr>
                <w:rFonts w:cs="Arial"/>
                <w:szCs w:val="19"/>
                <w:lang w:val="en-US"/>
              </w:rPr>
              <w:t xml:space="preserve">in adults and other </w:t>
            </w:r>
            <w:r w:rsidRPr="00C94ABE">
              <w:rPr>
                <w:rFonts w:cs="Arial"/>
                <w:i/>
                <w:iCs/>
                <w:szCs w:val="19"/>
                <w:lang w:val="en-US"/>
              </w:rPr>
              <w:t>Stelara</w:t>
            </w:r>
            <w:r w:rsidRPr="00C94ABE">
              <w:rPr>
                <w:rFonts w:cs="Arial"/>
                <w:szCs w:val="19"/>
                <w:lang w:val="en-US"/>
              </w:rPr>
              <w:t xml:space="preserve"> indications (except </w:t>
            </w:r>
            <w:r>
              <w:rPr>
                <w:rFonts w:cs="Arial"/>
                <w:szCs w:val="19"/>
                <w:lang w:val="en-US"/>
              </w:rPr>
              <w:t>ulcerative colitis</w:t>
            </w:r>
            <w:r w:rsidRPr="00C94ABE">
              <w:rPr>
                <w:rFonts w:cs="Arial"/>
                <w:szCs w:val="19"/>
                <w:lang w:val="en-US"/>
              </w:rPr>
              <w:t>)</w:t>
            </w:r>
            <w:r>
              <w:rPr>
                <w:rFonts w:cs="Arial"/>
                <w:szCs w:val="19"/>
                <w:lang w:val="en-US"/>
              </w:rPr>
              <w:t xml:space="preserve"> </w:t>
            </w:r>
            <w:r w:rsidRPr="009E2F5E">
              <w:rPr>
                <w:rFonts w:cs="Arial"/>
                <w:sz w:val="16"/>
                <w:szCs w:val="16"/>
                <w:lang w:val="en-US"/>
              </w:rPr>
              <w:t>[EU]</w:t>
            </w:r>
          </w:p>
        </w:tc>
      </w:tr>
      <w:tr w:rsidR="00B05E18" w:rsidRPr="000F19E1" w14:paraId="02379213" w14:textId="77777777" w:rsidTr="00515C7D">
        <w:tc>
          <w:tcPr>
            <w:tcW w:w="1427" w:type="pct"/>
            <w:gridSpan w:val="3"/>
            <w:shd w:val="clear" w:color="auto" w:fill="auto"/>
            <w:tcMar>
              <w:top w:w="0" w:type="dxa"/>
              <w:bottom w:w="0" w:type="dxa"/>
            </w:tcMar>
          </w:tcPr>
          <w:p w14:paraId="6055E9BD" w14:textId="77777777" w:rsidR="00B05E18" w:rsidRPr="000F19E1" w:rsidRDefault="00B05E18" w:rsidP="00B05E18">
            <w:pPr>
              <w:rPr>
                <w:rFonts w:cs="Arial"/>
                <w:bCs/>
                <w:sz w:val="8"/>
                <w:szCs w:val="8"/>
              </w:rPr>
            </w:pPr>
          </w:p>
        </w:tc>
        <w:tc>
          <w:tcPr>
            <w:tcW w:w="3573" w:type="pct"/>
            <w:shd w:val="clear" w:color="auto" w:fill="auto"/>
            <w:tcMar>
              <w:top w:w="0" w:type="dxa"/>
              <w:bottom w:w="0" w:type="dxa"/>
            </w:tcMar>
          </w:tcPr>
          <w:p w14:paraId="5AF4F3BD" w14:textId="77777777" w:rsidR="00B05E18" w:rsidRPr="000F19E1" w:rsidRDefault="00B05E18" w:rsidP="00B05E18">
            <w:pPr>
              <w:tabs>
                <w:tab w:val="center" w:pos="3152"/>
              </w:tabs>
              <w:rPr>
                <w:rFonts w:cs="Arial"/>
                <w:sz w:val="8"/>
                <w:szCs w:val="8"/>
                <w:lang w:val="en-US"/>
              </w:rPr>
            </w:pPr>
          </w:p>
        </w:tc>
      </w:tr>
      <w:tr w:rsidR="00B05E18" w:rsidRPr="000F19E1" w14:paraId="279E66D5" w14:textId="77777777" w:rsidTr="00155BD9">
        <w:tc>
          <w:tcPr>
            <w:tcW w:w="1152" w:type="pct"/>
            <w:gridSpan w:val="2"/>
            <w:shd w:val="clear" w:color="auto" w:fill="DAEEF3"/>
            <w:tcMar>
              <w:top w:w="0" w:type="dxa"/>
              <w:bottom w:w="0" w:type="dxa"/>
            </w:tcMar>
          </w:tcPr>
          <w:p w14:paraId="28EB9269" w14:textId="77777777" w:rsidR="00B05E18" w:rsidRPr="000F19E1" w:rsidRDefault="00B05E18" w:rsidP="00B05E18">
            <w:pPr>
              <w:rPr>
                <w:rFonts w:cs="Arial"/>
                <w:bCs/>
                <w:sz w:val="8"/>
                <w:szCs w:val="8"/>
              </w:rPr>
            </w:pPr>
          </w:p>
        </w:tc>
        <w:tc>
          <w:tcPr>
            <w:tcW w:w="3848" w:type="pct"/>
            <w:gridSpan w:val="2"/>
            <w:shd w:val="clear" w:color="auto" w:fill="DAEEF3"/>
            <w:tcMar>
              <w:top w:w="0" w:type="dxa"/>
              <w:bottom w:w="0" w:type="dxa"/>
            </w:tcMar>
          </w:tcPr>
          <w:p w14:paraId="705C7FC4" w14:textId="77777777" w:rsidR="00B05E18" w:rsidRPr="000F19E1" w:rsidRDefault="00B05E18" w:rsidP="00B05E18">
            <w:pPr>
              <w:tabs>
                <w:tab w:val="center" w:pos="3152"/>
              </w:tabs>
              <w:rPr>
                <w:rFonts w:cs="Arial"/>
                <w:sz w:val="8"/>
                <w:szCs w:val="8"/>
                <w:lang w:val="en-US"/>
              </w:rPr>
            </w:pPr>
          </w:p>
        </w:tc>
      </w:tr>
      <w:tr w:rsidR="00B05E18" w:rsidRPr="00126CCD" w14:paraId="45F260A3" w14:textId="77777777" w:rsidTr="00155BD9">
        <w:tc>
          <w:tcPr>
            <w:tcW w:w="5000" w:type="pct"/>
            <w:gridSpan w:val="4"/>
            <w:shd w:val="clear" w:color="auto" w:fill="00B050"/>
            <w:tcMar>
              <w:top w:w="57" w:type="dxa"/>
              <w:bottom w:w="57" w:type="dxa"/>
            </w:tcMar>
          </w:tcPr>
          <w:p w14:paraId="02DBD120" w14:textId="77777777" w:rsidR="00B05E18" w:rsidRPr="004642B4" w:rsidRDefault="00B05E18" w:rsidP="00B05E18">
            <w:pPr>
              <w:rPr>
                <w:rFonts w:cs="Arial"/>
                <w:noProof/>
                <w:color w:val="FFFFFF"/>
                <w:sz w:val="16"/>
                <w:szCs w:val="16"/>
              </w:rPr>
            </w:pPr>
            <w:r w:rsidRPr="004642B4">
              <w:rPr>
                <w:rFonts w:cs="Arial"/>
                <w:b/>
                <w:bCs/>
                <w:i/>
                <w:iCs/>
                <w:color w:val="FFFFFF"/>
                <w:sz w:val="22"/>
                <w:szCs w:val="20"/>
                <w:lang w:val="en-US"/>
              </w:rPr>
              <w:t xml:space="preserve">Other </w:t>
            </w:r>
            <w:r>
              <w:rPr>
                <w:rFonts w:cs="Arial"/>
                <w:b/>
                <w:bCs/>
                <w:i/>
                <w:iCs/>
                <w:color w:val="FFFFFF"/>
                <w:sz w:val="22"/>
                <w:szCs w:val="20"/>
                <w:lang w:val="en-US"/>
              </w:rPr>
              <w:t>UK/</w:t>
            </w:r>
            <w:r w:rsidRPr="004642B4">
              <w:rPr>
                <w:rFonts w:cs="Arial"/>
                <w:b/>
                <w:bCs/>
                <w:i/>
                <w:iCs/>
                <w:color w:val="FFFFFF"/>
                <w:sz w:val="22"/>
                <w:szCs w:val="20"/>
                <w:lang w:val="en-US"/>
              </w:rPr>
              <w:t>EU developments</w:t>
            </w:r>
          </w:p>
        </w:tc>
      </w:tr>
      <w:tr w:rsidR="008A1848" w14:paraId="74A23174" w14:textId="77777777" w:rsidTr="00515C7D">
        <w:tc>
          <w:tcPr>
            <w:tcW w:w="1427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64730665" w14:textId="77777777" w:rsidR="003C1F60" w:rsidRDefault="008A1848" w:rsidP="008A1848">
            <w:pPr>
              <w:rPr>
                <w:rFonts w:cs="Arial"/>
                <w:szCs w:val="19"/>
              </w:rPr>
            </w:pPr>
            <w:proofErr w:type="spellStart"/>
            <w:r w:rsidRPr="00986BC0">
              <w:rPr>
                <w:rFonts w:cs="Arial"/>
                <w:szCs w:val="19"/>
              </w:rPr>
              <w:t>Evolocumab</w:t>
            </w:r>
            <w:proofErr w:type="spellEnd"/>
            <w:r>
              <w:rPr>
                <w:rFonts w:cs="Arial"/>
                <w:szCs w:val="19"/>
              </w:rPr>
              <w:t xml:space="preserve"> </w:t>
            </w:r>
          </w:p>
          <w:p w14:paraId="7E7226E7" w14:textId="2B1BCC22" w:rsidR="008A1848" w:rsidRDefault="008A1848" w:rsidP="008A1848">
            <w:pPr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(</w:t>
            </w:r>
            <w:r w:rsidRPr="00986BC0">
              <w:rPr>
                <w:rFonts w:cs="Arial"/>
                <w:i/>
                <w:iCs/>
                <w:szCs w:val="19"/>
              </w:rPr>
              <w:t xml:space="preserve">Repatha </w:t>
            </w:r>
            <w:proofErr w:type="spellStart"/>
            <w:r w:rsidRPr="00986BC0">
              <w:rPr>
                <w:rFonts w:cs="Arial"/>
                <w:i/>
                <w:iCs/>
                <w:szCs w:val="19"/>
              </w:rPr>
              <w:t>SureClick</w:t>
            </w:r>
            <w:proofErr w:type="spellEnd"/>
            <w:r>
              <w:rPr>
                <w:rFonts w:cs="Arial"/>
                <w:szCs w:val="19"/>
              </w:rPr>
              <w:t>)</w:t>
            </w:r>
          </w:p>
        </w:tc>
        <w:tc>
          <w:tcPr>
            <w:tcW w:w="3573" w:type="pct"/>
            <w:shd w:val="clear" w:color="auto" w:fill="auto"/>
            <w:tcMar>
              <w:top w:w="57" w:type="dxa"/>
              <w:bottom w:w="57" w:type="dxa"/>
            </w:tcMar>
          </w:tcPr>
          <w:p w14:paraId="7C4B6D04" w14:textId="70B1ADB1" w:rsidR="008A1848" w:rsidRPr="00C05FAF" w:rsidRDefault="008A1848" w:rsidP="008A1848">
            <w:pPr>
              <w:tabs>
                <w:tab w:val="center" w:pos="3152"/>
              </w:tabs>
              <w:rPr>
                <w:rFonts w:cs="Arial"/>
                <w:szCs w:val="19"/>
                <w:lang w:val="en-US"/>
              </w:rPr>
            </w:pPr>
            <w:r w:rsidRPr="00986BC0">
              <w:rPr>
                <w:rFonts w:cs="Arial"/>
                <w:szCs w:val="19"/>
                <w:lang w:val="en-US"/>
              </w:rPr>
              <w:t xml:space="preserve">Cardiovascular </w:t>
            </w:r>
            <w:r>
              <w:rPr>
                <w:rFonts w:cs="Arial"/>
                <w:szCs w:val="19"/>
                <w:lang w:val="en-US"/>
              </w:rPr>
              <w:t xml:space="preserve">(CV) </w:t>
            </w:r>
            <w:r w:rsidRPr="00986BC0">
              <w:rPr>
                <w:rFonts w:cs="Arial"/>
                <w:szCs w:val="19"/>
                <w:lang w:val="en-US"/>
              </w:rPr>
              <w:t xml:space="preserve">disease </w:t>
            </w:r>
            <w:r>
              <w:rPr>
                <w:rFonts w:cs="Arial"/>
                <w:szCs w:val="19"/>
                <w:lang w:val="en-US"/>
              </w:rPr>
              <w:t>ev</w:t>
            </w:r>
            <w:r w:rsidRPr="00986BC0">
              <w:rPr>
                <w:rFonts w:cs="Arial"/>
                <w:szCs w:val="19"/>
                <w:lang w:val="en-US"/>
              </w:rPr>
              <w:t xml:space="preserve">ent reduction in adults with no previous </w:t>
            </w:r>
            <w:r>
              <w:rPr>
                <w:rFonts w:cs="Arial"/>
                <w:szCs w:val="19"/>
                <w:lang w:val="en-US"/>
              </w:rPr>
              <w:t>myocardial infarction</w:t>
            </w:r>
            <w:r w:rsidRPr="00986BC0">
              <w:rPr>
                <w:rFonts w:cs="Arial"/>
                <w:szCs w:val="19"/>
                <w:lang w:val="en-US"/>
              </w:rPr>
              <w:t xml:space="preserve"> or stroke at high CV risk</w:t>
            </w:r>
            <w:r>
              <w:rPr>
                <w:rFonts w:cs="Arial"/>
                <w:szCs w:val="19"/>
                <w:lang w:val="en-US"/>
              </w:rPr>
              <w:t xml:space="preserve"> – development discontinued (company decision)</w:t>
            </w:r>
          </w:p>
        </w:tc>
      </w:tr>
      <w:tr w:rsidR="008A1848" w14:paraId="2EE7BF66" w14:textId="77777777" w:rsidTr="00515C7D">
        <w:tc>
          <w:tcPr>
            <w:tcW w:w="1427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D502ADA" w14:textId="6B61443A" w:rsidR="008A1848" w:rsidRPr="00C05FAF" w:rsidRDefault="008A1848" w:rsidP="008A1848">
            <w:pPr>
              <w:rPr>
                <w:rFonts w:cs="Arial"/>
                <w:szCs w:val="19"/>
              </w:rPr>
            </w:pPr>
            <w:r w:rsidRPr="009605B0">
              <w:rPr>
                <w:rFonts w:cs="Arial"/>
                <w:szCs w:val="19"/>
              </w:rPr>
              <w:t>IMCY-0098 </w:t>
            </w:r>
          </w:p>
        </w:tc>
        <w:tc>
          <w:tcPr>
            <w:tcW w:w="3573" w:type="pct"/>
            <w:shd w:val="clear" w:color="auto" w:fill="auto"/>
            <w:tcMar>
              <w:top w:w="57" w:type="dxa"/>
              <w:bottom w:w="57" w:type="dxa"/>
            </w:tcMar>
          </w:tcPr>
          <w:p w14:paraId="57889C79" w14:textId="0D8358B0" w:rsidR="008A1848" w:rsidRDefault="008A1848" w:rsidP="008A1848">
            <w:pPr>
              <w:tabs>
                <w:tab w:val="center" w:pos="3152"/>
              </w:tabs>
              <w:rPr>
                <w:rFonts w:cs="Arial"/>
                <w:szCs w:val="19"/>
                <w:lang w:val="en-US"/>
              </w:rPr>
            </w:pPr>
            <w:r>
              <w:rPr>
                <w:rFonts w:cs="Arial"/>
                <w:szCs w:val="19"/>
                <w:lang w:val="en-US"/>
              </w:rPr>
              <w:t>P</w:t>
            </w:r>
            <w:r w:rsidRPr="00A51DBC">
              <w:rPr>
                <w:rFonts w:cs="Arial"/>
                <w:szCs w:val="19"/>
                <w:lang w:val="en-US"/>
              </w:rPr>
              <w:t xml:space="preserve">reservation of beta cell function </w:t>
            </w:r>
            <w:r>
              <w:rPr>
                <w:rFonts w:cs="Arial"/>
                <w:szCs w:val="19"/>
                <w:lang w:val="en-US"/>
              </w:rPr>
              <w:t>in adults within 9 weeks of diagnosis of typ</w:t>
            </w:r>
            <w:r w:rsidRPr="00A51DBC">
              <w:rPr>
                <w:rFonts w:cs="Arial"/>
                <w:szCs w:val="19"/>
                <w:lang w:val="en-US"/>
              </w:rPr>
              <w:t>e 1 diabetes mellitus</w:t>
            </w:r>
            <w:r>
              <w:rPr>
                <w:rFonts w:cs="Arial"/>
                <w:szCs w:val="19"/>
                <w:lang w:val="en-US"/>
              </w:rPr>
              <w:t xml:space="preserve"> – development discontinued (lack of efficacy)</w:t>
            </w:r>
          </w:p>
        </w:tc>
      </w:tr>
      <w:tr w:rsidR="008A1848" w14:paraId="27D59275" w14:textId="77777777" w:rsidTr="00515C7D">
        <w:tc>
          <w:tcPr>
            <w:tcW w:w="1427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BA6860C" w14:textId="02EE15E8" w:rsidR="008A1848" w:rsidRPr="003D2915" w:rsidRDefault="008A1848" w:rsidP="008A1848">
            <w:pPr>
              <w:rPr>
                <w:rFonts w:cs="Arial"/>
                <w:szCs w:val="19"/>
              </w:rPr>
            </w:pPr>
            <w:proofErr w:type="spellStart"/>
            <w:r w:rsidRPr="00856387">
              <w:rPr>
                <w:rFonts w:cs="Arial"/>
                <w:szCs w:val="19"/>
              </w:rPr>
              <w:t>Lisocabtagene</w:t>
            </w:r>
            <w:proofErr w:type="spellEnd"/>
            <w:r w:rsidRPr="00856387">
              <w:rPr>
                <w:rFonts w:cs="Arial"/>
                <w:szCs w:val="19"/>
              </w:rPr>
              <w:t xml:space="preserve"> </w:t>
            </w:r>
            <w:proofErr w:type="spellStart"/>
            <w:r w:rsidRPr="00856387">
              <w:rPr>
                <w:rFonts w:cs="Arial"/>
                <w:szCs w:val="19"/>
              </w:rPr>
              <w:t>maraleucel</w:t>
            </w:r>
            <w:proofErr w:type="spellEnd"/>
            <w:r>
              <w:rPr>
                <w:rFonts w:cs="Arial"/>
                <w:szCs w:val="19"/>
              </w:rPr>
              <w:t xml:space="preserve"> (</w:t>
            </w:r>
            <w:proofErr w:type="spellStart"/>
            <w:r>
              <w:rPr>
                <w:rFonts w:cs="Arial"/>
                <w:i/>
                <w:iCs/>
                <w:szCs w:val="19"/>
              </w:rPr>
              <w:t>Breyanzi</w:t>
            </w:r>
            <w:proofErr w:type="spellEnd"/>
            <w:r>
              <w:rPr>
                <w:rFonts w:cs="Arial"/>
                <w:szCs w:val="19"/>
              </w:rPr>
              <w:t>)</w:t>
            </w:r>
          </w:p>
        </w:tc>
        <w:tc>
          <w:tcPr>
            <w:tcW w:w="3573" w:type="pct"/>
            <w:shd w:val="clear" w:color="auto" w:fill="auto"/>
            <w:tcMar>
              <w:top w:w="57" w:type="dxa"/>
              <w:bottom w:w="57" w:type="dxa"/>
            </w:tcMar>
          </w:tcPr>
          <w:p w14:paraId="0E71339C" w14:textId="02CB2114" w:rsidR="008A1848" w:rsidRPr="00C05FAF" w:rsidRDefault="008A1848" w:rsidP="008A1848">
            <w:pPr>
              <w:tabs>
                <w:tab w:val="center" w:pos="3152"/>
              </w:tabs>
              <w:rPr>
                <w:rFonts w:cs="Arial"/>
                <w:szCs w:val="19"/>
                <w:lang w:val="en-US"/>
              </w:rPr>
            </w:pPr>
            <w:r>
              <w:rPr>
                <w:rFonts w:cs="Arial"/>
                <w:szCs w:val="19"/>
                <w:lang w:val="en-US"/>
              </w:rPr>
              <w:t>Relapsed or refractory d</w:t>
            </w:r>
            <w:r w:rsidRPr="00856387">
              <w:rPr>
                <w:rFonts w:cs="Arial"/>
                <w:szCs w:val="19"/>
                <w:lang w:val="en-US"/>
              </w:rPr>
              <w:t>iffuse large B-cell lymphoma in adults</w:t>
            </w:r>
            <w:r>
              <w:rPr>
                <w:rFonts w:cs="Arial"/>
                <w:szCs w:val="19"/>
                <w:lang w:val="en-US"/>
              </w:rPr>
              <w:t>,</w:t>
            </w:r>
            <w:r w:rsidRPr="00856387">
              <w:rPr>
                <w:rFonts w:cs="Arial"/>
                <w:szCs w:val="19"/>
                <w:lang w:val="en-US"/>
              </w:rPr>
              <w:t xml:space="preserve"> </w:t>
            </w:r>
            <w:proofErr w:type="gramStart"/>
            <w:r w:rsidRPr="00856387">
              <w:rPr>
                <w:rFonts w:cs="Arial"/>
                <w:szCs w:val="19"/>
                <w:lang w:val="en-US"/>
              </w:rPr>
              <w:t>third-line</w:t>
            </w:r>
            <w:proofErr w:type="gramEnd"/>
            <w:r w:rsidRPr="00856387">
              <w:rPr>
                <w:rFonts w:cs="Arial"/>
                <w:szCs w:val="19"/>
                <w:lang w:val="en-US"/>
              </w:rPr>
              <w:t xml:space="preserve"> plus</w:t>
            </w:r>
            <w:r>
              <w:rPr>
                <w:rFonts w:cs="Arial"/>
                <w:szCs w:val="19"/>
                <w:lang w:val="en-US"/>
              </w:rPr>
              <w:t xml:space="preserve"> – UK development discontinued (company decision)</w:t>
            </w:r>
          </w:p>
        </w:tc>
      </w:tr>
      <w:tr w:rsidR="008A1848" w14:paraId="3347312E" w14:textId="77777777" w:rsidTr="00515C7D">
        <w:tc>
          <w:tcPr>
            <w:tcW w:w="1427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95A750B" w14:textId="0BD8380F" w:rsidR="008A1848" w:rsidRPr="00856387" w:rsidRDefault="008A1848" w:rsidP="008A1848">
            <w:pPr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 xml:space="preserve">Navitoclax </w:t>
            </w:r>
          </w:p>
        </w:tc>
        <w:tc>
          <w:tcPr>
            <w:tcW w:w="3573" w:type="pct"/>
            <w:shd w:val="clear" w:color="auto" w:fill="auto"/>
            <w:tcMar>
              <w:top w:w="57" w:type="dxa"/>
              <w:bottom w:w="57" w:type="dxa"/>
            </w:tcMar>
          </w:tcPr>
          <w:p w14:paraId="5E490B66" w14:textId="5FA300E1" w:rsidR="008A1848" w:rsidRDefault="008A1848" w:rsidP="008A1848">
            <w:pPr>
              <w:tabs>
                <w:tab w:val="center" w:pos="3152"/>
              </w:tabs>
              <w:rPr>
                <w:rFonts w:cs="Arial"/>
                <w:szCs w:val="19"/>
                <w:lang w:val="en-US"/>
              </w:rPr>
            </w:pPr>
            <w:r w:rsidRPr="00561C59">
              <w:rPr>
                <w:rFonts w:cs="Arial"/>
                <w:szCs w:val="19"/>
                <w:lang w:val="en-US"/>
              </w:rPr>
              <w:t xml:space="preserve">Primary or secondary, intermediate-2 or </w:t>
            </w:r>
            <w:proofErr w:type="gramStart"/>
            <w:r w:rsidRPr="00561C59">
              <w:rPr>
                <w:rFonts w:cs="Arial"/>
                <w:szCs w:val="19"/>
                <w:lang w:val="en-US"/>
              </w:rPr>
              <w:t>high risk</w:t>
            </w:r>
            <w:proofErr w:type="gramEnd"/>
            <w:r w:rsidRPr="00561C59">
              <w:rPr>
                <w:rFonts w:cs="Arial"/>
                <w:szCs w:val="19"/>
                <w:lang w:val="en-US"/>
              </w:rPr>
              <w:t xml:space="preserve"> </w:t>
            </w:r>
            <w:r>
              <w:rPr>
                <w:rFonts w:cs="Arial"/>
                <w:szCs w:val="19"/>
                <w:lang w:val="en-US"/>
              </w:rPr>
              <w:t>myelofibrosis,</w:t>
            </w:r>
            <w:r w:rsidRPr="00561C59">
              <w:rPr>
                <w:rFonts w:cs="Arial"/>
                <w:szCs w:val="19"/>
                <w:lang w:val="en-US"/>
              </w:rPr>
              <w:t xml:space="preserve"> </w:t>
            </w:r>
            <w:r>
              <w:rPr>
                <w:rFonts w:cs="Arial"/>
                <w:szCs w:val="19"/>
                <w:lang w:val="en-US"/>
              </w:rPr>
              <w:t xml:space="preserve">first- and </w:t>
            </w:r>
            <w:r w:rsidRPr="00561C59">
              <w:rPr>
                <w:rFonts w:cs="Arial"/>
                <w:szCs w:val="19"/>
                <w:lang w:val="en-US"/>
              </w:rPr>
              <w:t xml:space="preserve">second-line </w:t>
            </w:r>
            <w:r>
              <w:rPr>
                <w:rFonts w:cs="Arial"/>
                <w:szCs w:val="19"/>
                <w:lang w:val="en-US"/>
              </w:rPr>
              <w:t>– development discontinued (lack of efficacy)</w:t>
            </w:r>
          </w:p>
        </w:tc>
      </w:tr>
      <w:tr w:rsidR="00F9208C" w14:paraId="5EE4B701" w14:textId="77777777" w:rsidTr="00515C7D">
        <w:tc>
          <w:tcPr>
            <w:tcW w:w="1427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6AFEBF13" w14:textId="447354EE" w:rsidR="00F9208C" w:rsidRDefault="00F9208C" w:rsidP="008A1848">
            <w:pPr>
              <w:rPr>
                <w:rFonts w:cs="Arial"/>
                <w:szCs w:val="19"/>
              </w:rPr>
            </w:pPr>
            <w:proofErr w:type="spellStart"/>
            <w:r>
              <w:rPr>
                <w:rFonts w:cs="Arial"/>
                <w:szCs w:val="19"/>
              </w:rPr>
              <w:t>Pembolizumab</w:t>
            </w:r>
            <w:proofErr w:type="spellEnd"/>
            <w:r>
              <w:rPr>
                <w:rFonts w:cs="Arial"/>
                <w:szCs w:val="19"/>
              </w:rPr>
              <w:t xml:space="preserve"> (</w:t>
            </w:r>
            <w:r>
              <w:rPr>
                <w:rFonts w:cs="Arial"/>
                <w:i/>
                <w:iCs/>
                <w:szCs w:val="19"/>
              </w:rPr>
              <w:t>Keytruda</w:t>
            </w:r>
            <w:r>
              <w:rPr>
                <w:rFonts w:cs="Arial"/>
                <w:szCs w:val="19"/>
              </w:rPr>
              <w:t>)</w:t>
            </w:r>
          </w:p>
        </w:tc>
        <w:tc>
          <w:tcPr>
            <w:tcW w:w="3573" w:type="pct"/>
            <w:shd w:val="clear" w:color="auto" w:fill="auto"/>
            <w:tcMar>
              <w:top w:w="57" w:type="dxa"/>
              <w:bottom w:w="57" w:type="dxa"/>
            </w:tcMar>
          </w:tcPr>
          <w:p w14:paraId="49F53450" w14:textId="6388D759" w:rsidR="00F9208C" w:rsidRDefault="00F9208C" w:rsidP="00F9208C">
            <w:pPr>
              <w:tabs>
                <w:tab w:val="center" w:pos="3152"/>
              </w:tabs>
              <w:rPr>
                <w:rFonts w:cs="Arial"/>
                <w:szCs w:val="19"/>
                <w:lang w:val="en-US"/>
              </w:rPr>
            </w:pPr>
            <w:r w:rsidRPr="00F9208C">
              <w:rPr>
                <w:rFonts w:cs="Arial"/>
                <w:szCs w:val="19"/>
                <w:lang w:val="en-US"/>
              </w:rPr>
              <w:tab/>
              <w:t xml:space="preserve">Locally advanced, high-risk </w:t>
            </w:r>
            <w:r>
              <w:rPr>
                <w:rFonts w:cs="Arial"/>
                <w:szCs w:val="19"/>
                <w:lang w:val="en-US"/>
              </w:rPr>
              <w:t>c</w:t>
            </w:r>
            <w:r w:rsidRPr="00F9208C">
              <w:rPr>
                <w:rFonts w:cs="Arial"/>
                <w:szCs w:val="19"/>
                <w:lang w:val="en-US"/>
              </w:rPr>
              <w:t>utaneous squamous cell carcinoma in adults</w:t>
            </w:r>
            <w:r>
              <w:rPr>
                <w:rFonts w:cs="Arial"/>
                <w:szCs w:val="19"/>
                <w:lang w:val="en-US"/>
              </w:rPr>
              <w:t xml:space="preserve">, </w:t>
            </w:r>
            <w:r w:rsidRPr="00F9208C">
              <w:rPr>
                <w:rFonts w:cs="Arial"/>
                <w:szCs w:val="19"/>
                <w:lang w:val="en-US"/>
              </w:rPr>
              <w:t>adjuvant monotherapy</w:t>
            </w:r>
            <w:r>
              <w:rPr>
                <w:rFonts w:cs="Arial"/>
                <w:szCs w:val="19"/>
                <w:lang w:val="en-US"/>
              </w:rPr>
              <w:t xml:space="preserve"> – development discontinued (lack of efficacy)</w:t>
            </w:r>
          </w:p>
        </w:tc>
      </w:tr>
      <w:tr w:rsidR="008A1848" w14:paraId="284C9BD3" w14:textId="77777777" w:rsidTr="00515C7D">
        <w:tc>
          <w:tcPr>
            <w:tcW w:w="1427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4760617A" w14:textId="1F34E3BE" w:rsidR="008A1848" w:rsidRPr="008A1848" w:rsidRDefault="008A1848" w:rsidP="008A1848">
            <w:pPr>
              <w:rPr>
                <w:rFonts w:cs="Arial"/>
                <w:szCs w:val="19"/>
              </w:rPr>
            </w:pPr>
            <w:proofErr w:type="spellStart"/>
            <w:r>
              <w:rPr>
                <w:rFonts w:cs="Arial"/>
                <w:szCs w:val="19"/>
              </w:rPr>
              <w:t>Pembolizumab</w:t>
            </w:r>
            <w:proofErr w:type="spellEnd"/>
            <w:r>
              <w:rPr>
                <w:rFonts w:cs="Arial"/>
                <w:szCs w:val="19"/>
              </w:rPr>
              <w:t xml:space="preserve"> (</w:t>
            </w:r>
            <w:r>
              <w:rPr>
                <w:rFonts w:cs="Arial"/>
                <w:i/>
                <w:iCs/>
                <w:szCs w:val="19"/>
              </w:rPr>
              <w:t>Keytruda</w:t>
            </w:r>
            <w:r>
              <w:rPr>
                <w:rFonts w:cs="Arial"/>
                <w:szCs w:val="19"/>
              </w:rPr>
              <w:t>)</w:t>
            </w:r>
          </w:p>
        </w:tc>
        <w:tc>
          <w:tcPr>
            <w:tcW w:w="3573" w:type="pct"/>
            <w:shd w:val="clear" w:color="auto" w:fill="auto"/>
            <w:tcMar>
              <w:top w:w="57" w:type="dxa"/>
              <w:bottom w:w="57" w:type="dxa"/>
            </w:tcMar>
          </w:tcPr>
          <w:p w14:paraId="57887064" w14:textId="1DACD2BB" w:rsidR="008A1848" w:rsidRDefault="00E63AB9" w:rsidP="00E63AB9">
            <w:pPr>
              <w:tabs>
                <w:tab w:val="center" w:pos="3152"/>
              </w:tabs>
              <w:rPr>
                <w:rFonts w:cs="Arial"/>
                <w:szCs w:val="19"/>
                <w:lang w:val="en-US"/>
              </w:rPr>
            </w:pPr>
            <w:r>
              <w:rPr>
                <w:rFonts w:cs="Arial"/>
                <w:szCs w:val="19"/>
                <w:lang w:val="en-US"/>
              </w:rPr>
              <w:t>Unresected early</w:t>
            </w:r>
            <w:r w:rsidR="00DF70A4">
              <w:rPr>
                <w:rFonts w:cs="Arial"/>
                <w:szCs w:val="19"/>
                <w:lang w:val="en-US"/>
              </w:rPr>
              <w:t>-</w:t>
            </w:r>
            <w:r>
              <w:rPr>
                <w:rFonts w:cs="Arial"/>
                <w:szCs w:val="19"/>
                <w:lang w:val="en-US"/>
              </w:rPr>
              <w:t>stage n</w:t>
            </w:r>
            <w:r w:rsidRPr="00E63AB9">
              <w:rPr>
                <w:rFonts w:cs="Arial"/>
                <w:szCs w:val="19"/>
                <w:lang w:val="en-US"/>
              </w:rPr>
              <w:t>on-small cell lung cancer in adults</w:t>
            </w:r>
            <w:r>
              <w:rPr>
                <w:rFonts w:cs="Arial"/>
                <w:szCs w:val="19"/>
                <w:lang w:val="en-US"/>
              </w:rPr>
              <w:t xml:space="preserve">, </w:t>
            </w:r>
            <w:r w:rsidRPr="00E63AB9">
              <w:rPr>
                <w:rFonts w:cs="Arial"/>
                <w:szCs w:val="19"/>
                <w:lang w:val="en-US"/>
              </w:rPr>
              <w:t xml:space="preserve">first-line with stereotactic body radiotherapy </w:t>
            </w:r>
            <w:r>
              <w:rPr>
                <w:rFonts w:cs="Arial"/>
                <w:szCs w:val="19"/>
                <w:lang w:val="en-US"/>
              </w:rPr>
              <w:t>– development discontinued (lack of efficacy and safety concern)</w:t>
            </w:r>
          </w:p>
        </w:tc>
      </w:tr>
      <w:tr w:rsidR="008A1848" w14:paraId="3B14FD0A" w14:textId="77777777" w:rsidTr="00515C7D">
        <w:tc>
          <w:tcPr>
            <w:tcW w:w="1427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1E02ABEC" w14:textId="029C39B6" w:rsidR="008A1848" w:rsidRDefault="008A1848" w:rsidP="008A1848">
            <w:pPr>
              <w:rPr>
                <w:rFonts w:cs="Arial"/>
                <w:szCs w:val="19"/>
              </w:rPr>
            </w:pPr>
            <w:r w:rsidRPr="00F273AE">
              <w:rPr>
                <w:rFonts w:cs="Arial"/>
                <w:szCs w:val="19"/>
              </w:rPr>
              <w:t xml:space="preserve">Pembrolizumab + </w:t>
            </w:r>
            <w:proofErr w:type="spellStart"/>
            <w:r w:rsidRPr="00F273AE">
              <w:rPr>
                <w:rFonts w:cs="Arial"/>
                <w:szCs w:val="19"/>
              </w:rPr>
              <w:t>vibostolimab</w:t>
            </w:r>
            <w:proofErr w:type="spellEnd"/>
            <w:r w:rsidRPr="00F273AE">
              <w:rPr>
                <w:rFonts w:cs="Arial"/>
                <w:szCs w:val="19"/>
              </w:rPr>
              <w:t> </w:t>
            </w:r>
          </w:p>
        </w:tc>
        <w:tc>
          <w:tcPr>
            <w:tcW w:w="3573" w:type="pct"/>
            <w:shd w:val="clear" w:color="auto" w:fill="auto"/>
            <w:tcMar>
              <w:top w:w="57" w:type="dxa"/>
              <w:bottom w:w="57" w:type="dxa"/>
            </w:tcMar>
          </w:tcPr>
          <w:p w14:paraId="6B6CC416" w14:textId="77777777" w:rsidR="008A1848" w:rsidRDefault="008A1848" w:rsidP="008A1848">
            <w:pPr>
              <w:tabs>
                <w:tab w:val="center" w:pos="3152"/>
              </w:tabs>
              <w:rPr>
                <w:rFonts w:cs="Arial"/>
                <w:szCs w:val="19"/>
                <w:lang w:val="en-US"/>
              </w:rPr>
            </w:pPr>
            <w:r>
              <w:rPr>
                <w:rFonts w:cs="Arial"/>
                <w:szCs w:val="19"/>
                <w:lang w:val="en-US"/>
              </w:rPr>
              <w:t>Extensive-stage s</w:t>
            </w:r>
            <w:r w:rsidRPr="00F273AE">
              <w:rPr>
                <w:rFonts w:cs="Arial"/>
                <w:szCs w:val="19"/>
                <w:lang w:val="en-US"/>
              </w:rPr>
              <w:t xml:space="preserve">mall cell lung cancer in adults </w:t>
            </w:r>
            <w:r>
              <w:rPr>
                <w:rFonts w:cs="Arial"/>
                <w:szCs w:val="19"/>
                <w:lang w:val="en-US"/>
              </w:rPr>
              <w:t>–</w:t>
            </w:r>
            <w:r w:rsidRPr="00F273AE">
              <w:rPr>
                <w:rFonts w:cs="Arial"/>
                <w:szCs w:val="19"/>
                <w:lang w:val="en-US"/>
              </w:rPr>
              <w:t xml:space="preserve"> </w:t>
            </w:r>
            <w:r>
              <w:rPr>
                <w:rFonts w:cs="Arial"/>
                <w:szCs w:val="19"/>
                <w:lang w:val="en-US"/>
              </w:rPr>
              <w:t xml:space="preserve">development </w:t>
            </w:r>
            <w:proofErr w:type="gramStart"/>
            <w:r>
              <w:rPr>
                <w:rFonts w:cs="Arial"/>
                <w:szCs w:val="19"/>
                <w:lang w:val="en-US"/>
              </w:rPr>
              <w:t>discontinued</w:t>
            </w:r>
            <w:proofErr w:type="gramEnd"/>
            <w:r>
              <w:rPr>
                <w:rFonts w:cs="Arial"/>
                <w:szCs w:val="19"/>
                <w:lang w:val="en-US"/>
              </w:rPr>
              <w:t xml:space="preserve"> </w:t>
            </w:r>
          </w:p>
          <w:p w14:paraId="678A2E09" w14:textId="07052518" w:rsidR="008A1848" w:rsidRDefault="008A1848" w:rsidP="008A1848">
            <w:pPr>
              <w:tabs>
                <w:tab w:val="center" w:pos="3152"/>
              </w:tabs>
              <w:rPr>
                <w:rFonts w:cs="Arial"/>
                <w:szCs w:val="19"/>
                <w:lang w:val="en-US"/>
              </w:rPr>
            </w:pPr>
            <w:r>
              <w:rPr>
                <w:rFonts w:cs="Arial"/>
                <w:szCs w:val="19"/>
                <w:lang w:val="en-US"/>
              </w:rPr>
              <w:t>(lack of efficacy)</w:t>
            </w:r>
          </w:p>
        </w:tc>
      </w:tr>
      <w:tr w:rsidR="008A1848" w14:paraId="3312FF16" w14:textId="77777777" w:rsidTr="00515C7D">
        <w:tc>
          <w:tcPr>
            <w:tcW w:w="1427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F3C4672" w14:textId="1E9BB003" w:rsidR="008A1848" w:rsidRPr="00672A42" w:rsidRDefault="008A1848" w:rsidP="008A1848">
            <w:pPr>
              <w:rPr>
                <w:rFonts w:cs="Arial"/>
                <w:szCs w:val="19"/>
              </w:rPr>
            </w:pPr>
            <w:r w:rsidRPr="00EF4164">
              <w:rPr>
                <w:rFonts w:cs="Arial"/>
                <w:szCs w:val="19"/>
              </w:rPr>
              <w:t>Potassium bicarbonate + potassium citrate </w:t>
            </w:r>
          </w:p>
        </w:tc>
        <w:tc>
          <w:tcPr>
            <w:tcW w:w="3573" w:type="pct"/>
            <w:shd w:val="clear" w:color="auto" w:fill="auto"/>
            <w:tcMar>
              <w:top w:w="57" w:type="dxa"/>
              <w:bottom w:w="57" w:type="dxa"/>
            </w:tcMar>
          </w:tcPr>
          <w:p w14:paraId="366746C7" w14:textId="0E2D27EC" w:rsidR="008A1848" w:rsidRDefault="008A1848" w:rsidP="00515C7D">
            <w:pPr>
              <w:tabs>
                <w:tab w:val="center" w:pos="3152"/>
              </w:tabs>
              <w:rPr>
                <w:rFonts w:cs="Arial"/>
                <w:szCs w:val="19"/>
                <w:lang w:val="en-US"/>
              </w:rPr>
            </w:pPr>
            <w:r w:rsidRPr="00EF4164">
              <w:rPr>
                <w:rFonts w:cs="Arial"/>
                <w:szCs w:val="19"/>
                <w:lang w:val="en-US"/>
              </w:rPr>
              <w:t xml:space="preserve">Cystinuria in patients aged </w:t>
            </w:r>
            <w:r>
              <w:rPr>
                <w:rFonts w:cs="Arial"/>
                <w:szCs w:val="19"/>
                <w:lang w:val="en-US"/>
              </w:rPr>
              <w:t>≥</w:t>
            </w:r>
            <w:r w:rsidRPr="00EF4164">
              <w:rPr>
                <w:rFonts w:cs="Arial"/>
                <w:szCs w:val="19"/>
                <w:lang w:val="en-US"/>
              </w:rPr>
              <w:t xml:space="preserve">6 months </w:t>
            </w:r>
            <w:r>
              <w:rPr>
                <w:rFonts w:cs="Arial"/>
                <w:szCs w:val="19"/>
                <w:lang w:val="en-US"/>
              </w:rPr>
              <w:t>– development discontinued (company decision)</w:t>
            </w:r>
          </w:p>
        </w:tc>
      </w:tr>
      <w:tr w:rsidR="008A1848" w14:paraId="49533DCE" w14:textId="77777777" w:rsidTr="00515C7D">
        <w:tc>
          <w:tcPr>
            <w:tcW w:w="1427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9DCD828" w14:textId="77777777" w:rsidR="008A1848" w:rsidRDefault="008A1848" w:rsidP="008A1848">
            <w:pPr>
              <w:rPr>
                <w:rFonts w:cs="Arial"/>
                <w:szCs w:val="19"/>
              </w:rPr>
            </w:pPr>
            <w:proofErr w:type="spellStart"/>
            <w:r w:rsidRPr="00B81F5B">
              <w:rPr>
                <w:rFonts w:cs="Arial"/>
                <w:szCs w:val="19"/>
              </w:rPr>
              <w:t>Valoctocogene</w:t>
            </w:r>
            <w:proofErr w:type="spellEnd"/>
            <w:r w:rsidRPr="00B81F5B">
              <w:rPr>
                <w:rFonts w:cs="Arial"/>
                <w:szCs w:val="19"/>
              </w:rPr>
              <w:t xml:space="preserve"> </w:t>
            </w:r>
            <w:proofErr w:type="spellStart"/>
            <w:r w:rsidRPr="00B81F5B">
              <w:rPr>
                <w:rFonts w:cs="Arial"/>
                <w:szCs w:val="19"/>
              </w:rPr>
              <w:t>roxaparvovec</w:t>
            </w:r>
            <w:proofErr w:type="spellEnd"/>
            <w:r w:rsidRPr="00B81F5B">
              <w:rPr>
                <w:rFonts w:cs="Arial"/>
                <w:szCs w:val="19"/>
              </w:rPr>
              <w:t> </w:t>
            </w:r>
          </w:p>
          <w:p w14:paraId="2EE09E40" w14:textId="2B626C2E" w:rsidR="008A1848" w:rsidRPr="00B81F5B" w:rsidRDefault="008A1848" w:rsidP="008A1848">
            <w:pPr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(</w:t>
            </w:r>
            <w:proofErr w:type="spellStart"/>
            <w:r>
              <w:rPr>
                <w:rFonts w:cs="Arial"/>
                <w:i/>
                <w:iCs/>
                <w:szCs w:val="19"/>
              </w:rPr>
              <w:t>Roctavian</w:t>
            </w:r>
            <w:proofErr w:type="spellEnd"/>
            <w:r>
              <w:rPr>
                <w:rFonts w:cs="Arial"/>
                <w:szCs w:val="19"/>
              </w:rPr>
              <w:t>)</w:t>
            </w:r>
          </w:p>
        </w:tc>
        <w:tc>
          <w:tcPr>
            <w:tcW w:w="3573" w:type="pct"/>
            <w:shd w:val="clear" w:color="auto" w:fill="auto"/>
            <w:tcMar>
              <w:top w:w="57" w:type="dxa"/>
              <w:bottom w:w="57" w:type="dxa"/>
            </w:tcMar>
          </w:tcPr>
          <w:p w14:paraId="7A23C541" w14:textId="7184F0AD" w:rsidR="008A1848" w:rsidRDefault="008A1848" w:rsidP="008A1848">
            <w:pPr>
              <w:tabs>
                <w:tab w:val="center" w:pos="3152"/>
              </w:tabs>
              <w:rPr>
                <w:rFonts w:cs="Arial"/>
                <w:szCs w:val="19"/>
                <w:lang w:val="en-US"/>
              </w:rPr>
            </w:pPr>
            <w:r w:rsidRPr="00B81F5B">
              <w:rPr>
                <w:rFonts w:cs="Arial"/>
                <w:szCs w:val="19"/>
                <w:lang w:val="en-US"/>
              </w:rPr>
              <w:t xml:space="preserve">Treatment of severe </w:t>
            </w:r>
            <w:proofErr w:type="spellStart"/>
            <w:r w:rsidRPr="00B81F5B">
              <w:rPr>
                <w:rFonts w:cs="Arial"/>
                <w:szCs w:val="19"/>
                <w:lang w:val="en-US"/>
              </w:rPr>
              <w:t>haemophilia</w:t>
            </w:r>
            <w:proofErr w:type="spellEnd"/>
            <w:r w:rsidRPr="00B81F5B">
              <w:rPr>
                <w:rFonts w:cs="Arial"/>
                <w:szCs w:val="19"/>
                <w:lang w:val="en-US"/>
              </w:rPr>
              <w:t xml:space="preserve"> A (congenital factor VIII deficiency) in adult</w:t>
            </w:r>
            <w:r>
              <w:rPr>
                <w:rFonts w:cs="Arial"/>
                <w:szCs w:val="19"/>
                <w:lang w:val="en-US"/>
              </w:rPr>
              <w:t>s – UK development discontinued (company decision)</w:t>
            </w:r>
          </w:p>
        </w:tc>
      </w:tr>
      <w:tr w:rsidR="008A1848" w:rsidRPr="000F19E1" w14:paraId="2FF8EFA8" w14:textId="77777777" w:rsidTr="00515C7D">
        <w:tc>
          <w:tcPr>
            <w:tcW w:w="1427" w:type="pct"/>
            <w:gridSpan w:val="3"/>
            <w:shd w:val="clear" w:color="auto" w:fill="auto"/>
            <w:tcMar>
              <w:top w:w="0" w:type="dxa"/>
              <w:bottom w:w="0" w:type="dxa"/>
            </w:tcMar>
          </w:tcPr>
          <w:p w14:paraId="1976F6F5" w14:textId="77777777" w:rsidR="008A1848" w:rsidRPr="000F19E1" w:rsidRDefault="008A1848" w:rsidP="008A1848">
            <w:pPr>
              <w:rPr>
                <w:rFonts w:cs="Arial"/>
                <w:bCs/>
                <w:sz w:val="8"/>
                <w:szCs w:val="8"/>
              </w:rPr>
            </w:pPr>
          </w:p>
        </w:tc>
        <w:tc>
          <w:tcPr>
            <w:tcW w:w="3573" w:type="pct"/>
            <w:shd w:val="clear" w:color="auto" w:fill="auto"/>
            <w:tcMar>
              <w:top w:w="0" w:type="dxa"/>
              <w:bottom w:w="0" w:type="dxa"/>
            </w:tcMar>
          </w:tcPr>
          <w:p w14:paraId="03ECD6CC" w14:textId="77777777" w:rsidR="008A1848" w:rsidRPr="000F19E1" w:rsidRDefault="008A1848" w:rsidP="008A1848">
            <w:pPr>
              <w:tabs>
                <w:tab w:val="center" w:pos="3152"/>
              </w:tabs>
              <w:rPr>
                <w:rFonts w:cs="Arial"/>
                <w:sz w:val="8"/>
                <w:szCs w:val="8"/>
                <w:lang w:val="en-US"/>
              </w:rPr>
            </w:pPr>
          </w:p>
        </w:tc>
      </w:tr>
      <w:tr w:rsidR="008A1848" w:rsidRPr="000F19E1" w14:paraId="602E27AB" w14:textId="77777777" w:rsidTr="00515C7D">
        <w:tc>
          <w:tcPr>
            <w:tcW w:w="1427" w:type="pct"/>
            <w:gridSpan w:val="3"/>
            <w:shd w:val="clear" w:color="auto" w:fill="DAEEF3"/>
            <w:tcMar>
              <w:top w:w="0" w:type="dxa"/>
              <w:bottom w:w="0" w:type="dxa"/>
            </w:tcMar>
          </w:tcPr>
          <w:p w14:paraId="7C0EC590" w14:textId="77777777" w:rsidR="008A1848" w:rsidRPr="000F19E1" w:rsidRDefault="008A1848" w:rsidP="008A1848">
            <w:pPr>
              <w:rPr>
                <w:rFonts w:cs="Arial"/>
                <w:bCs/>
                <w:sz w:val="8"/>
                <w:szCs w:val="8"/>
              </w:rPr>
            </w:pPr>
          </w:p>
        </w:tc>
        <w:tc>
          <w:tcPr>
            <w:tcW w:w="3573" w:type="pct"/>
            <w:shd w:val="clear" w:color="auto" w:fill="DAEEF3"/>
            <w:tcMar>
              <w:top w:w="0" w:type="dxa"/>
              <w:bottom w:w="0" w:type="dxa"/>
            </w:tcMar>
          </w:tcPr>
          <w:p w14:paraId="5DBE14BB" w14:textId="77777777" w:rsidR="008A1848" w:rsidRPr="000F19E1" w:rsidRDefault="008A1848" w:rsidP="008A1848">
            <w:pPr>
              <w:tabs>
                <w:tab w:val="center" w:pos="3152"/>
              </w:tabs>
              <w:rPr>
                <w:rFonts w:cs="Arial"/>
                <w:sz w:val="8"/>
                <w:szCs w:val="8"/>
                <w:lang w:val="en-US"/>
              </w:rPr>
            </w:pPr>
          </w:p>
        </w:tc>
      </w:tr>
    </w:tbl>
    <w:p w14:paraId="15B21272" w14:textId="77777777" w:rsidR="006825BB" w:rsidRPr="008949EF" w:rsidRDefault="006825BB" w:rsidP="00F54C51">
      <w:pPr>
        <w:rPr>
          <w:sz w:val="8"/>
          <w:szCs w:val="8"/>
        </w:rPr>
      </w:pPr>
    </w:p>
    <w:sectPr w:rsidR="006825BB" w:rsidRPr="008949EF" w:rsidSect="00F566AB">
      <w:headerReference w:type="even" r:id="rId18"/>
      <w:headerReference w:type="default" r:id="rId19"/>
      <w:footerReference w:type="default" r:id="rId20"/>
      <w:headerReference w:type="first" r:id="rId21"/>
      <w:type w:val="evenPage"/>
      <w:pgSz w:w="11906" w:h="16838" w:code="9"/>
      <w:pgMar w:top="1021" w:right="851" w:bottom="1021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17FE3" w14:textId="77777777" w:rsidR="00E44ED5" w:rsidRDefault="00E44ED5">
      <w:r>
        <w:separator/>
      </w:r>
    </w:p>
  </w:endnote>
  <w:endnote w:type="continuationSeparator" w:id="0">
    <w:p w14:paraId="35FB48B5" w14:textId="77777777" w:rsidR="00E44ED5" w:rsidRDefault="00E4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0" w:type="dxa"/>
      <w:tblInd w:w="-30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Look w:val="01E0" w:firstRow="1" w:lastRow="1" w:firstColumn="1" w:lastColumn="1" w:noHBand="0" w:noVBand="0"/>
    </w:tblPr>
    <w:tblGrid>
      <w:gridCol w:w="10980"/>
    </w:tblGrid>
    <w:tr w:rsidR="000D44DB" w:rsidRPr="00710A1C" w14:paraId="335A851E" w14:textId="77777777">
      <w:tc>
        <w:tcPr>
          <w:tcW w:w="10980" w:type="dxa"/>
          <w:shd w:val="clear" w:color="auto" w:fill="3366FF"/>
          <w:tcMar>
            <w:top w:w="28" w:type="dxa"/>
            <w:left w:w="57" w:type="dxa"/>
            <w:bottom w:w="28" w:type="dxa"/>
            <w:right w:w="57" w:type="dxa"/>
          </w:tcMar>
        </w:tcPr>
        <w:p w14:paraId="065CDB6C" w14:textId="77777777" w:rsidR="000D44DB" w:rsidRPr="00710A1C" w:rsidRDefault="000D44DB" w:rsidP="00710A1C">
          <w:pPr>
            <w:spacing w:before="60" w:after="60"/>
            <w:ind w:right="57"/>
            <w:rPr>
              <w:rFonts w:ascii="Verdana" w:hAnsi="Verdana" w:cs="Arial"/>
              <w:b/>
              <w:bCs/>
              <w:color w:val="000080"/>
              <w:sz w:val="15"/>
              <w:szCs w:val="15"/>
              <w:lang w:val="en-US"/>
            </w:rPr>
          </w:pPr>
          <w:r w:rsidRPr="00710A1C">
            <w:rPr>
              <w:rFonts w:ascii="Verdana" w:hAnsi="Verdana" w:cs="Arial"/>
              <w:b/>
              <w:bCs/>
              <w:color w:val="FFFFFF"/>
              <w:sz w:val="15"/>
              <w:szCs w:val="15"/>
              <w:lang w:val="en-US"/>
            </w:rPr>
            <w:t xml:space="preserve">If you do not wish to continue receiving NDO </w:t>
          </w:r>
          <w:r w:rsidRPr="00710A1C">
            <w:rPr>
              <w:rFonts w:ascii="Verdana" w:hAnsi="Verdana" w:cs="Arial"/>
              <w:b/>
              <w:bCs/>
              <w:i/>
              <w:color w:val="FFFFFF"/>
              <w:sz w:val="15"/>
              <w:szCs w:val="15"/>
              <w:lang w:val="en-US"/>
            </w:rPr>
            <w:t>Newsletter</w:t>
          </w:r>
          <w:r w:rsidRPr="00710A1C">
            <w:rPr>
              <w:rFonts w:ascii="Verdana" w:hAnsi="Verdana" w:cs="Arial"/>
              <w:b/>
              <w:bCs/>
              <w:color w:val="FFFFFF"/>
              <w:sz w:val="15"/>
              <w:szCs w:val="15"/>
              <w:lang w:val="en-US"/>
            </w:rPr>
            <w:t xml:space="preserve"> log in and update your profile at </w:t>
          </w:r>
          <w:hyperlink r:id="rId1" w:history="1">
            <w:r w:rsidRPr="00710A1C">
              <w:rPr>
                <w:rStyle w:val="Hyperlink"/>
                <w:rFonts w:cs="Arial"/>
                <w:b/>
                <w:bCs/>
                <w:color w:val="FFFFFF"/>
                <w:sz w:val="15"/>
                <w:szCs w:val="15"/>
                <w:lang w:val="en-US"/>
              </w:rPr>
              <w:t>www.ukmi.nhs.uk/ndo</w:t>
            </w:r>
          </w:hyperlink>
        </w:p>
      </w:tc>
    </w:tr>
    <w:tr w:rsidR="000D44DB" w14:paraId="63D25474" w14:textId="77777777">
      <w:tc>
        <w:tcPr>
          <w:tcW w:w="10980" w:type="dxa"/>
          <w:shd w:val="clear" w:color="auto" w:fill="auto"/>
          <w:tcMar>
            <w:left w:w="28" w:type="dxa"/>
            <w:right w:w="28" w:type="dxa"/>
          </w:tcMar>
        </w:tcPr>
        <w:p w14:paraId="32B1A34B" w14:textId="77777777" w:rsidR="000D44DB" w:rsidRPr="00710A1C" w:rsidRDefault="000D44DB" w:rsidP="00710A1C">
          <w:pPr>
            <w:spacing w:before="120" w:after="60"/>
            <w:ind w:left="57" w:right="57"/>
            <w:rPr>
              <w:sz w:val="15"/>
              <w:szCs w:val="15"/>
            </w:rPr>
          </w:pPr>
          <w:r w:rsidRPr="00710A1C">
            <w:rPr>
              <w:rFonts w:ascii="Verdana" w:hAnsi="Verdana" w:cs="Arial"/>
              <w:b/>
              <w:bCs/>
              <w:color w:val="333399"/>
              <w:sz w:val="15"/>
              <w:szCs w:val="15"/>
              <w:lang w:val="en-US"/>
            </w:rPr>
            <w:t>In September 2011</w:t>
          </w:r>
          <w:r w:rsidRPr="00710A1C">
            <w:rPr>
              <w:rFonts w:ascii="Verdana" w:hAnsi="Verdana" w:cs="Arial"/>
              <w:bCs/>
              <w:color w:val="000000"/>
              <w:sz w:val="15"/>
              <w:szCs w:val="15"/>
              <w:lang w:val="en-US"/>
            </w:rPr>
            <w:t xml:space="preserve"> </w:t>
          </w:r>
          <w:r w:rsidRPr="00710A1C">
            <w:rPr>
              <w:rFonts w:ascii="Verdana" w:hAnsi="Verdana" w:cs="Arial"/>
              <w:b/>
              <w:bCs/>
              <w:color w:val="000000"/>
              <w:sz w:val="15"/>
              <w:szCs w:val="15"/>
              <w:lang w:val="en-US"/>
            </w:rPr>
            <w:t>| 229 monographs updated | 14 evidence-based evaluations added | 2,200 registered NDO users</w:t>
          </w:r>
        </w:p>
      </w:tc>
    </w:tr>
  </w:tbl>
  <w:p w14:paraId="16FEC8AD" w14:textId="77777777" w:rsidR="000D44DB" w:rsidRDefault="000D44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227" w:type="dxa"/>
      <w:tblLook w:val="01E0" w:firstRow="1" w:lastRow="1" w:firstColumn="1" w:lastColumn="1" w:noHBand="0" w:noVBand="0"/>
    </w:tblPr>
    <w:tblGrid>
      <w:gridCol w:w="10774"/>
    </w:tblGrid>
    <w:tr w:rsidR="001F4283" w:rsidRPr="00862949" w14:paraId="4D986B06" w14:textId="77777777" w:rsidTr="001734BF">
      <w:trPr>
        <w:trHeight w:val="262"/>
      </w:trPr>
      <w:tc>
        <w:tcPr>
          <w:tcW w:w="10774" w:type="dxa"/>
          <w:shd w:val="clear" w:color="auto" w:fill="0070C0"/>
          <w:tcMar>
            <w:top w:w="28" w:type="dxa"/>
            <w:left w:w="57" w:type="dxa"/>
            <w:bottom w:w="28" w:type="dxa"/>
            <w:right w:w="57" w:type="dxa"/>
          </w:tcMar>
        </w:tcPr>
        <w:p w14:paraId="12C29345" w14:textId="77777777" w:rsidR="001F4283" w:rsidRPr="00114EBA" w:rsidRDefault="001F4283" w:rsidP="001F4283">
          <w:pPr>
            <w:spacing w:before="60" w:after="60"/>
            <w:ind w:right="57"/>
            <w:jc w:val="center"/>
            <w:rPr>
              <w:rFonts w:cs="Arial"/>
              <w:bCs/>
              <w:color w:val="F2F2F2"/>
              <w:sz w:val="17"/>
              <w:szCs w:val="17"/>
              <w:lang w:val="en-US"/>
            </w:rPr>
          </w:pPr>
          <w:r w:rsidRPr="00114EBA">
            <w:rPr>
              <w:rFonts w:cs="Arial"/>
              <w:b/>
              <w:bCs/>
              <w:color w:val="FFFFFF"/>
              <w:sz w:val="17"/>
              <w:szCs w:val="17"/>
              <w:lang w:val="en-US"/>
            </w:rPr>
            <w:t xml:space="preserve">This is </w:t>
          </w:r>
          <w:proofErr w:type="gramStart"/>
          <w:r w:rsidRPr="00114EBA">
            <w:rPr>
              <w:rFonts w:cs="Arial"/>
              <w:b/>
              <w:bCs/>
              <w:color w:val="FFFFFF"/>
              <w:sz w:val="17"/>
              <w:szCs w:val="17"/>
              <w:lang w:val="en-US"/>
            </w:rPr>
            <w:t>a</w:t>
          </w:r>
          <w:proofErr w:type="gramEnd"/>
          <w:r w:rsidRPr="00114EBA">
            <w:rPr>
              <w:rFonts w:cs="Arial"/>
              <w:b/>
              <w:bCs/>
              <w:color w:val="FFFFFF"/>
              <w:sz w:val="17"/>
              <w:szCs w:val="17"/>
              <w:lang w:val="en-US"/>
            </w:rPr>
            <w:t xml:space="preserve"> NHS document not to be used for commercial purposes</w:t>
          </w:r>
        </w:p>
      </w:tc>
    </w:tr>
    <w:tr w:rsidR="001F4283" w:rsidRPr="00862949" w14:paraId="6D7DC9D2" w14:textId="77777777" w:rsidTr="001734BF">
      <w:trPr>
        <w:trHeight w:val="331"/>
      </w:trPr>
      <w:tc>
        <w:tcPr>
          <w:tcW w:w="10774" w:type="dxa"/>
          <w:shd w:val="clear" w:color="auto" w:fill="DAEEF3"/>
          <w:tcMar>
            <w:left w:w="28" w:type="dxa"/>
            <w:right w:w="28" w:type="dxa"/>
          </w:tcMar>
        </w:tcPr>
        <w:p w14:paraId="6B4E9E6B" w14:textId="77777777" w:rsidR="001F4283" w:rsidRDefault="001F4283" w:rsidP="001F4283">
          <w:pPr>
            <w:spacing w:before="60" w:after="60"/>
            <w:ind w:right="57"/>
            <w:rPr>
              <w:rFonts w:cs="Arial"/>
              <w:bCs/>
              <w:color w:val="000000"/>
              <w:sz w:val="17"/>
              <w:szCs w:val="17"/>
              <w:lang w:val="en-US"/>
            </w:rPr>
          </w:pPr>
          <w:r w:rsidRPr="00114EBA">
            <w:rPr>
              <w:rFonts w:cs="Arial"/>
              <w:bCs/>
              <w:color w:val="00B050"/>
              <w:sz w:val="17"/>
              <w:szCs w:val="17"/>
              <w:lang w:val="en-US"/>
            </w:rPr>
            <w:t>New Medicines</w:t>
          </w:r>
          <w:r w:rsidRPr="00114EBA">
            <w:rPr>
              <w:rFonts w:cs="Arial"/>
              <w:bCs/>
              <w:color w:val="F2F2F2"/>
              <w:sz w:val="17"/>
              <w:szCs w:val="17"/>
              <w:lang w:val="en-US"/>
            </w:rPr>
            <w:t xml:space="preserve"> </w:t>
          </w:r>
          <w:r w:rsidRPr="00114EBA">
            <w:rPr>
              <w:rStyle w:val="Hyperlink"/>
              <w:rFonts w:ascii="Arial" w:hAnsi="Arial"/>
              <w:i/>
              <w:color w:val="0070C0"/>
              <w:sz w:val="17"/>
              <w:szCs w:val="17"/>
              <w:u w:val="none"/>
            </w:rPr>
            <w:t>News</w:t>
          </w:r>
          <w:r w:rsidRPr="00114EBA">
            <w:rPr>
              <w:rFonts w:cs="Arial"/>
              <w:bCs/>
              <w:color w:val="F2F2F2"/>
              <w:sz w:val="17"/>
              <w:szCs w:val="17"/>
              <w:lang w:val="en-US"/>
            </w:rPr>
            <w:t xml:space="preserve"> </w:t>
          </w:r>
          <w:r w:rsidRPr="00114EBA">
            <w:rPr>
              <w:rFonts w:cs="Arial"/>
              <w:bCs/>
              <w:color w:val="000000"/>
              <w:sz w:val="17"/>
              <w:szCs w:val="17"/>
              <w:lang w:val="en-US"/>
            </w:rPr>
            <w:t xml:space="preserve">is one of several horizon scanning resources produced by </w:t>
          </w:r>
          <w:r>
            <w:rPr>
              <w:rFonts w:cs="Arial"/>
              <w:bCs/>
              <w:color w:val="000000"/>
              <w:sz w:val="17"/>
              <w:szCs w:val="17"/>
              <w:lang w:val="en-US"/>
            </w:rPr>
            <w:t>the Specialist Pharmacy Service</w:t>
          </w:r>
          <w:r w:rsidRPr="00114EBA">
            <w:rPr>
              <w:rFonts w:cs="Arial"/>
              <w:bCs/>
              <w:color w:val="000000"/>
              <w:sz w:val="17"/>
              <w:szCs w:val="17"/>
              <w:lang w:val="en-US"/>
            </w:rPr>
            <w:t xml:space="preserve"> to support managed introduction of new medicines into the NHS,</w:t>
          </w:r>
          <w:r w:rsidRPr="00114EBA">
            <w:rPr>
              <w:color w:val="000000"/>
              <w:sz w:val="17"/>
              <w:szCs w:val="17"/>
            </w:rPr>
            <w:t xml:space="preserve"> </w:t>
          </w:r>
          <w:r w:rsidRPr="00114EBA">
            <w:rPr>
              <w:rFonts w:cs="Arial"/>
              <w:bCs/>
              <w:color w:val="000000"/>
              <w:sz w:val="17"/>
              <w:szCs w:val="17"/>
              <w:lang w:val="en-US"/>
            </w:rPr>
            <w:t xml:space="preserve">to help </w:t>
          </w:r>
          <w:proofErr w:type="spellStart"/>
          <w:r w:rsidRPr="00114EBA">
            <w:rPr>
              <w:rFonts w:cs="Arial"/>
              <w:bCs/>
              <w:color w:val="000000"/>
              <w:sz w:val="17"/>
              <w:szCs w:val="17"/>
              <w:lang w:val="en-US"/>
            </w:rPr>
            <w:t>organisations</w:t>
          </w:r>
          <w:proofErr w:type="spellEnd"/>
          <w:r w:rsidRPr="00114EBA">
            <w:rPr>
              <w:rFonts w:cs="Arial"/>
              <w:bCs/>
              <w:color w:val="000000"/>
              <w:sz w:val="17"/>
              <w:szCs w:val="17"/>
              <w:lang w:val="en-US"/>
            </w:rPr>
            <w:t xml:space="preserve"> develop medicines management policies and to inform prescribing decisions when a product has been launched. </w:t>
          </w:r>
        </w:p>
        <w:p w14:paraId="42205586" w14:textId="77777777" w:rsidR="001F4283" w:rsidRPr="00114EBA" w:rsidRDefault="001F4283" w:rsidP="001F4283">
          <w:pPr>
            <w:spacing w:before="60" w:after="60"/>
            <w:ind w:right="57"/>
            <w:jc w:val="right"/>
            <w:rPr>
              <w:rFonts w:cs="Arial"/>
              <w:bCs/>
              <w:color w:val="000000"/>
              <w:sz w:val="17"/>
              <w:szCs w:val="17"/>
              <w:lang w:val="en-US"/>
            </w:rPr>
          </w:pPr>
          <w:r w:rsidRPr="00114EBA">
            <w:rPr>
              <w:rFonts w:cs="Arial"/>
              <w:bCs/>
              <w:color w:val="000000"/>
              <w:sz w:val="17"/>
              <w:szCs w:val="17"/>
              <w:lang w:val="en-US"/>
            </w:rPr>
            <w:t>For more information</w:t>
          </w:r>
          <w:r>
            <w:rPr>
              <w:rFonts w:cs="Arial"/>
              <w:bCs/>
              <w:color w:val="000000"/>
              <w:sz w:val="17"/>
              <w:szCs w:val="17"/>
              <w:lang w:val="en-US"/>
            </w:rPr>
            <w:t xml:space="preserve"> or </w:t>
          </w:r>
          <w:r w:rsidRPr="00114EBA">
            <w:rPr>
              <w:rFonts w:cs="Arial"/>
              <w:bCs/>
              <w:color w:val="000000"/>
              <w:sz w:val="17"/>
              <w:szCs w:val="17"/>
              <w:lang w:val="en-US"/>
            </w:rPr>
            <w:t>if you have a question about this newsletter, contact</w:t>
          </w:r>
          <w:r>
            <w:rPr>
              <w:rFonts w:cs="Arial"/>
              <w:bCs/>
              <w:color w:val="000000"/>
              <w:sz w:val="17"/>
              <w:szCs w:val="17"/>
              <w:lang w:val="en-US"/>
            </w:rPr>
            <w:t xml:space="preserve"> </w:t>
          </w:r>
          <w:hyperlink r:id="rId1" w:history="1">
            <w:r w:rsidRPr="00114EBA">
              <w:rPr>
                <w:rStyle w:val="Hyperlink"/>
                <w:rFonts w:ascii="Arial" w:hAnsi="Arial" w:cs="Arial"/>
                <w:bCs/>
                <w:sz w:val="17"/>
                <w:szCs w:val="17"/>
                <w:lang w:val="en-US"/>
              </w:rPr>
              <w:t>nwmedinfo@nhs.net</w:t>
            </w:r>
          </w:hyperlink>
          <w:r w:rsidRPr="00114EBA">
            <w:rPr>
              <w:rFonts w:cs="Arial"/>
              <w:bCs/>
              <w:color w:val="000000"/>
              <w:sz w:val="17"/>
              <w:szCs w:val="17"/>
              <w:lang w:val="en-US"/>
            </w:rPr>
            <w:t>.</w:t>
          </w:r>
        </w:p>
      </w:tc>
    </w:tr>
  </w:tbl>
  <w:p w14:paraId="0DB47CD2" w14:textId="77777777" w:rsidR="000D44DB" w:rsidRDefault="000D44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227" w:type="dxa"/>
      <w:tblLook w:val="01E0" w:firstRow="1" w:lastRow="1" w:firstColumn="1" w:lastColumn="1" w:noHBand="0" w:noVBand="0"/>
    </w:tblPr>
    <w:tblGrid>
      <w:gridCol w:w="10774"/>
    </w:tblGrid>
    <w:tr w:rsidR="001F4283" w:rsidRPr="00862949" w14:paraId="0BFE168A" w14:textId="77777777" w:rsidTr="001734BF">
      <w:trPr>
        <w:trHeight w:val="262"/>
      </w:trPr>
      <w:tc>
        <w:tcPr>
          <w:tcW w:w="10774" w:type="dxa"/>
          <w:shd w:val="clear" w:color="auto" w:fill="0070C0"/>
          <w:tcMar>
            <w:top w:w="28" w:type="dxa"/>
            <w:left w:w="57" w:type="dxa"/>
            <w:bottom w:w="28" w:type="dxa"/>
            <w:right w:w="57" w:type="dxa"/>
          </w:tcMar>
        </w:tcPr>
        <w:p w14:paraId="625FB05F" w14:textId="77777777" w:rsidR="001F4283" w:rsidRPr="00114EBA" w:rsidRDefault="001F4283" w:rsidP="001F4283">
          <w:pPr>
            <w:spacing w:before="60" w:after="60"/>
            <w:ind w:right="57"/>
            <w:jc w:val="center"/>
            <w:rPr>
              <w:rFonts w:cs="Arial"/>
              <w:bCs/>
              <w:color w:val="F2F2F2"/>
              <w:sz w:val="17"/>
              <w:szCs w:val="17"/>
              <w:lang w:val="en-US"/>
            </w:rPr>
          </w:pPr>
          <w:r w:rsidRPr="00114EBA">
            <w:rPr>
              <w:rFonts w:cs="Arial"/>
              <w:b/>
              <w:bCs/>
              <w:color w:val="FFFFFF"/>
              <w:sz w:val="17"/>
              <w:szCs w:val="17"/>
              <w:lang w:val="en-US"/>
            </w:rPr>
            <w:t xml:space="preserve">This is </w:t>
          </w:r>
          <w:proofErr w:type="gramStart"/>
          <w:r w:rsidRPr="00114EBA">
            <w:rPr>
              <w:rFonts w:cs="Arial"/>
              <w:b/>
              <w:bCs/>
              <w:color w:val="FFFFFF"/>
              <w:sz w:val="17"/>
              <w:szCs w:val="17"/>
              <w:lang w:val="en-US"/>
            </w:rPr>
            <w:t>a</w:t>
          </w:r>
          <w:proofErr w:type="gramEnd"/>
          <w:r w:rsidRPr="00114EBA">
            <w:rPr>
              <w:rFonts w:cs="Arial"/>
              <w:b/>
              <w:bCs/>
              <w:color w:val="FFFFFF"/>
              <w:sz w:val="17"/>
              <w:szCs w:val="17"/>
              <w:lang w:val="en-US"/>
            </w:rPr>
            <w:t xml:space="preserve"> NHS document not to be used for commercial purposes</w:t>
          </w:r>
        </w:p>
      </w:tc>
    </w:tr>
    <w:tr w:rsidR="001F4283" w:rsidRPr="00862949" w14:paraId="43AB5728" w14:textId="77777777" w:rsidTr="001734BF">
      <w:trPr>
        <w:trHeight w:val="331"/>
      </w:trPr>
      <w:tc>
        <w:tcPr>
          <w:tcW w:w="10774" w:type="dxa"/>
          <w:shd w:val="clear" w:color="auto" w:fill="DAEEF3"/>
          <w:tcMar>
            <w:left w:w="28" w:type="dxa"/>
            <w:right w:w="28" w:type="dxa"/>
          </w:tcMar>
        </w:tcPr>
        <w:p w14:paraId="2DB3606F" w14:textId="77777777" w:rsidR="001F4283" w:rsidRDefault="001F4283" w:rsidP="001F4283">
          <w:pPr>
            <w:spacing w:before="60" w:after="60"/>
            <w:ind w:right="57"/>
            <w:rPr>
              <w:rFonts w:cs="Arial"/>
              <w:bCs/>
              <w:color w:val="000000"/>
              <w:sz w:val="17"/>
              <w:szCs w:val="17"/>
              <w:lang w:val="en-US"/>
            </w:rPr>
          </w:pPr>
          <w:r w:rsidRPr="00114EBA">
            <w:rPr>
              <w:rFonts w:cs="Arial"/>
              <w:bCs/>
              <w:color w:val="00B050"/>
              <w:sz w:val="17"/>
              <w:szCs w:val="17"/>
              <w:lang w:val="en-US"/>
            </w:rPr>
            <w:t>New Medicines</w:t>
          </w:r>
          <w:r w:rsidRPr="00114EBA">
            <w:rPr>
              <w:rFonts w:cs="Arial"/>
              <w:bCs/>
              <w:color w:val="F2F2F2"/>
              <w:sz w:val="17"/>
              <w:szCs w:val="17"/>
              <w:lang w:val="en-US"/>
            </w:rPr>
            <w:t xml:space="preserve"> </w:t>
          </w:r>
          <w:r w:rsidRPr="00114EBA">
            <w:rPr>
              <w:rStyle w:val="Hyperlink"/>
              <w:rFonts w:ascii="Arial" w:hAnsi="Arial"/>
              <w:i/>
              <w:color w:val="0070C0"/>
              <w:sz w:val="17"/>
              <w:szCs w:val="17"/>
              <w:u w:val="none"/>
            </w:rPr>
            <w:t>News</w:t>
          </w:r>
          <w:r w:rsidRPr="00114EBA">
            <w:rPr>
              <w:rFonts w:cs="Arial"/>
              <w:bCs/>
              <w:color w:val="F2F2F2"/>
              <w:sz w:val="17"/>
              <w:szCs w:val="17"/>
              <w:lang w:val="en-US"/>
            </w:rPr>
            <w:t xml:space="preserve"> </w:t>
          </w:r>
          <w:r w:rsidRPr="00114EBA">
            <w:rPr>
              <w:rFonts w:cs="Arial"/>
              <w:bCs/>
              <w:color w:val="000000"/>
              <w:sz w:val="17"/>
              <w:szCs w:val="17"/>
              <w:lang w:val="en-US"/>
            </w:rPr>
            <w:t xml:space="preserve">is one of several horizon scanning resources produced by </w:t>
          </w:r>
          <w:r>
            <w:rPr>
              <w:rFonts w:cs="Arial"/>
              <w:bCs/>
              <w:color w:val="000000"/>
              <w:sz w:val="17"/>
              <w:szCs w:val="17"/>
              <w:lang w:val="en-US"/>
            </w:rPr>
            <w:t>the Specialist Pharmacy Service</w:t>
          </w:r>
          <w:r w:rsidRPr="00114EBA">
            <w:rPr>
              <w:rFonts w:cs="Arial"/>
              <w:bCs/>
              <w:color w:val="000000"/>
              <w:sz w:val="17"/>
              <w:szCs w:val="17"/>
              <w:lang w:val="en-US"/>
            </w:rPr>
            <w:t xml:space="preserve"> to support managed introduction of new medicines into the NHS,</w:t>
          </w:r>
          <w:r w:rsidRPr="00114EBA">
            <w:rPr>
              <w:color w:val="000000"/>
              <w:sz w:val="17"/>
              <w:szCs w:val="17"/>
            </w:rPr>
            <w:t xml:space="preserve"> </w:t>
          </w:r>
          <w:r w:rsidRPr="00114EBA">
            <w:rPr>
              <w:rFonts w:cs="Arial"/>
              <w:bCs/>
              <w:color w:val="000000"/>
              <w:sz w:val="17"/>
              <w:szCs w:val="17"/>
              <w:lang w:val="en-US"/>
            </w:rPr>
            <w:t xml:space="preserve">to help </w:t>
          </w:r>
          <w:proofErr w:type="spellStart"/>
          <w:r w:rsidRPr="00114EBA">
            <w:rPr>
              <w:rFonts w:cs="Arial"/>
              <w:bCs/>
              <w:color w:val="000000"/>
              <w:sz w:val="17"/>
              <w:szCs w:val="17"/>
              <w:lang w:val="en-US"/>
            </w:rPr>
            <w:t>organisations</w:t>
          </w:r>
          <w:proofErr w:type="spellEnd"/>
          <w:r w:rsidRPr="00114EBA">
            <w:rPr>
              <w:rFonts w:cs="Arial"/>
              <w:bCs/>
              <w:color w:val="000000"/>
              <w:sz w:val="17"/>
              <w:szCs w:val="17"/>
              <w:lang w:val="en-US"/>
            </w:rPr>
            <w:t xml:space="preserve"> develop medicines management policies and to inform prescribing decisions when a product has been launched. </w:t>
          </w:r>
        </w:p>
        <w:p w14:paraId="558753EC" w14:textId="77777777" w:rsidR="001F4283" w:rsidRPr="00114EBA" w:rsidRDefault="001F4283" w:rsidP="001F4283">
          <w:pPr>
            <w:spacing w:before="60" w:after="60"/>
            <w:ind w:right="57"/>
            <w:jc w:val="right"/>
            <w:rPr>
              <w:rFonts w:cs="Arial"/>
              <w:bCs/>
              <w:color w:val="000000"/>
              <w:sz w:val="17"/>
              <w:szCs w:val="17"/>
              <w:lang w:val="en-US"/>
            </w:rPr>
          </w:pPr>
          <w:r w:rsidRPr="00114EBA">
            <w:rPr>
              <w:rFonts w:cs="Arial"/>
              <w:bCs/>
              <w:color w:val="000000"/>
              <w:sz w:val="17"/>
              <w:szCs w:val="17"/>
              <w:lang w:val="en-US"/>
            </w:rPr>
            <w:t>For more information</w:t>
          </w:r>
          <w:r>
            <w:rPr>
              <w:rFonts w:cs="Arial"/>
              <w:bCs/>
              <w:color w:val="000000"/>
              <w:sz w:val="17"/>
              <w:szCs w:val="17"/>
              <w:lang w:val="en-US"/>
            </w:rPr>
            <w:t xml:space="preserve"> or </w:t>
          </w:r>
          <w:r w:rsidRPr="00114EBA">
            <w:rPr>
              <w:rFonts w:cs="Arial"/>
              <w:bCs/>
              <w:color w:val="000000"/>
              <w:sz w:val="17"/>
              <w:szCs w:val="17"/>
              <w:lang w:val="en-US"/>
            </w:rPr>
            <w:t>if you have a question about this newsletter, contact</w:t>
          </w:r>
          <w:r>
            <w:rPr>
              <w:rFonts w:cs="Arial"/>
              <w:bCs/>
              <w:color w:val="000000"/>
              <w:sz w:val="17"/>
              <w:szCs w:val="17"/>
              <w:lang w:val="en-US"/>
            </w:rPr>
            <w:t xml:space="preserve"> </w:t>
          </w:r>
          <w:hyperlink r:id="rId1" w:history="1">
            <w:r w:rsidRPr="00114EBA">
              <w:rPr>
                <w:rStyle w:val="Hyperlink"/>
                <w:rFonts w:ascii="Arial" w:hAnsi="Arial" w:cs="Arial"/>
                <w:bCs/>
                <w:sz w:val="17"/>
                <w:szCs w:val="17"/>
                <w:lang w:val="en-US"/>
              </w:rPr>
              <w:t>nwmedinfo@nhs.net</w:t>
            </w:r>
          </w:hyperlink>
          <w:r w:rsidRPr="00114EBA">
            <w:rPr>
              <w:rFonts w:cs="Arial"/>
              <w:bCs/>
              <w:color w:val="000000"/>
              <w:sz w:val="17"/>
              <w:szCs w:val="17"/>
              <w:lang w:val="en-US"/>
            </w:rPr>
            <w:t>.</w:t>
          </w:r>
        </w:p>
      </w:tc>
    </w:tr>
  </w:tbl>
  <w:p w14:paraId="1F3B6BE1" w14:textId="77777777" w:rsidR="000D44DB" w:rsidRPr="00862949" w:rsidRDefault="000D44DB" w:rsidP="00F95449">
    <w:pPr>
      <w:spacing w:before="60" w:after="60"/>
      <w:ind w:left="57" w:right="57"/>
      <w:jc w:val="center"/>
      <w:rPr>
        <w:rFonts w:cs="Arial"/>
        <w:bCs/>
        <w:color w:val="333399"/>
        <w:sz w:val="8"/>
        <w:szCs w:val="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A6EC3" w14:textId="77777777" w:rsidR="00E44ED5" w:rsidRDefault="00E44ED5">
      <w:r>
        <w:separator/>
      </w:r>
    </w:p>
  </w:footnote>
  <w:footnote w:type="continuationSeparator" w:id="0">
    <w:p w14:paraId="127FD55E" w14:textId="77777777" w:rsidR="00E44ED5" w:rsidRDefault="00E44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4B2EC" w14:textId="01173AA1" w:rsidR="000D44DB" w:rsidRPr="00CD021E" w:rsidRDefault="00CD021E" w:rsidP="009A09B7">
    <w:pPr>
      <w:pStyle w:val="Header"/>
      <w:rPr>
        <w:rFonts w:ascii="Verdana" w:hAnsi="Verdana" w:cs="Arial"/>
        <w:b/>
        <w:bCs/>
        <w:i/>
        <w:color w:val="33CCCC"/>
        <w:sz w:val="5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69E6D3B" wp14:editId="56D128A1">
          <wp:simplePos x="0" y="0"/>
          <wp:positionH relativeFrom="column">
            <wp:posOffset>5715000</wp:posOffset>
          </wp:positionH>
          <wp:positionV relativeFrom="paragraph">
            <wp:posOffset>10795</wp:posOffset>
          </wp:positionV>
          <wp:extent cx="816610" cy="463550"/>
          <wp:effectExtent l="0" t="0" r="2540" b="0"/>
          <wp:wrapTight wrapText="bothSides">
            <wp:wrapPolygon edited="0">
              <wp:start x="0" y="0"/>
              <wp:lineTo x="0" y="20416"/>
              <wp:lineTo x="21163" y="20416"/>
              <wp:lineTo x="21163" y="0"/>
              <wp:lineTo x="0" y="0"/>
            </wp:wrapPolygon>
          </wp:wrapTight>
          <wp:docPr id="18" name="Picture 18" descr="UKMi logo 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KMi logo 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1" allowOverlap="1" wp14:anchorId="31108B2C" wp14:editId="62B7D2ED">
          <wp:simplePos x="0" y="0"/>
          <wp:positionH relativeFrom="column">
            <wp:posOffset>5193665</wp:posOffset>
          </wp:positionH>
          <wp:positionV relativeFrom="paragraph">
            <wp:posOffset>116205</wp:posOffset>
          </wp:positionV>
          <wp:extent cx="533400" cy="219075"/>
          <wp:effectExtent l="0" t="0" r="0" b="9525"/>
          <wp:wrapTight wrapText="bothSides">
            <wp:wrapPolygon edited="0">
              <wp:start x="0" y="0"/>
              <wp:lineTo x="0" y="20661"/>
              <wp:lineTo x="20829" y="20661"/>
              <wp:lineTo x="20829" y="0"/>
              <wp:lineTo x="0" y="0"/>
            </wp:wrapPolygon>
          </wp:wrapTight>
          <wp:docPr id="19" name="Picture 19" descr="NHS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HS 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123B3ED" wp14:editId="11BA5F2C">
          <wp:extent cx="1075055" cy="467995"/>
          <wp:effectExtent l="0" t="0" r="0" b="8255"/>
          <wp:docPr id="20" name="Picture 20" descr="ND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DO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44DB" w:rsidRPr="00CD021E">
      <w:rPr>
        <w:rFonts w:ascii="Verdana" w:hAnsi="Verdana" w:cs="Arial"/>
        <w:b/>
        <w:bCs/>
        <w:i/>
        <w:color w:val="33CCCC"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Newsletter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D83B" w14:textId="7330DD1F" w:rsidR="000D44DB" w:rsidRPr="00CD021E" w:rsidRDefault="00A75BCB" w:rsidP="00BA65A9">
    <w:pPr>
      <w:pStyle w:val="Header"/>
      <w:ind w:left="-142"/>
      <w:rPr>
        <w:rFonts w:cs="Arial"/>
        <w:b/>
        <w:bCs/>
        <w:color w:val="244061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color w:val="00B050"/>
        <w:sz w:val="32"/>
        <w:szCs w:val="32"/>
      </w:rPr>
      <w:drawing>
        <wp:anchor distT="0" distB="0" distL="114300" distR="114300" simplePos="0" relativeHeight="251654144" behindDoc="0" locked="0" layoutInCell="1" allowOverlap="1" wp14:anchorId="35E1C6D2" wp14:editId="319523BB">
          <wp:simplePos x="0" y="0"/>
          <wp:positionH relativeFrom="column">
            <wp:posOffset>6073775</wp:posOffset>
          </wp:positionH>
          <wp:positionV relativeFrom="paragraph">
            <wp:posOffset>-21590</wp:posOffset>
          </wp:positionV>
          <wp:extent cx="521335" cy="213995"/>
          <wp:effectExtent l="0" t="0" r="0" b="0"/>
          <wp:wrapNone/>
          <wp:docPr id="21" name="Picture 21" descr="NHS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HS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213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583D5B" w14:textId="77777777" w:rsidR="000D44DB" w:rsidRPr="00CD021E" w:rsidRDefault="00CD021E" w:rsidP="00C3217F">
    <w:pPr>
      <w:pStyle w:val="Header"/>
      <w:tabs>
        <w:tab w:val="clear" w:pos="8306"/>
        <w:tab w:val="left" w:pos="7830"/>
      </w:tabs>
      <w:ind w:left="-255" w:hanging="142"/>
      <w:rPr>
        <w:rFonts w:cs="Arial"/>
        <w:b/>
        <w:bCs/>
        <w:i/>
        <w:color w:val="244061"/>
        <w:sz w:val="72"/>
        <w:szCs w:val="7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b/>
        <w:bCs/>
        <w:noProof/>
        <w:color w:val="00B050"/>
        <w:sz w:val="72"/>
        <w:szCs w:val="72"/>
      </w:rPr>
      <w:drawing>
        <wp:anchor distT="0" distB="0" distL="114300" distR="114300" simplePos="0" relativeHeight="251661312" behindDoc="1" locked="0" layoutInCell="1" allowOverlap="1" wp14:anchorId="2FBC7F39" wp14:editId="6D698765">
          <wp:simplePos x="0" y="0"/>
          <wp:positionH relativeFrom="column">
            <wp:posOffset>-360045</wp:posOffset>
          </wp:positionH>
          <wp:positionV relativeFrom="paragraph">
            <wp:posOffset>34925</wp:posOffset>
          </wp:positionV>
          <wp:extent cx="1051560" cy="448945"/>
          <wp:effectExtent l="0" t="0" r="0" b="8255"/>
          <wp:wrapNone/>
          <wp:docPr id="2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448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44DB" w:rsidRPr="00CD021E">
      <w:rPr>
        <w:rFonts w:cs="Arial"/>
        <w:b/>
        <w:bCs/>
        <w:color w:val="00B050"/>
        <w:sz w:val="72"/>
        <w:szCs w:val="7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0D44DB" w:rsidRPr="00CD021E">
      <w:rPr>
        <w:rFonts w:cs="Arial"/>
        <w:b/>
        <w:bCs/>
        <w:color w:val="00B050"/>
        <w:sz w:val="72"/>
        <w:szCs w:val="7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      New Medicines</w:t>
    </w:r>
    <w:r w:rsidR="000D44DB" w:rsidRPr="00CD021E">
      <w:rPr>
        <w:rFonts w:cs="Arial"/>
        <w:b/>
        <w:bCs/>
        <w:i/>
        <w:color w:val="244061"/>
        <w:sz w:val="72"/>
        <w:szCs w:val="7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0D44DB" w:rsidRPr="00CD021E">
      <w:rPr>
        <w:rFonts w:cs="Arial"/>
        <w:b/>
        <w:bCs/>
        <w:i/>
        <w:color w:val="0070C0"/>
        <w:sz w:val="72"/>
        <w:szCs w:val="7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News</w:t>
    </w:r>
  </w:p>
  <w:tbl>
    <w:tblPr>
      <w:tblW w:w="1077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774"/>
    </w:tblGrid>
    <w:tr w:rsidR="000D44DB" w:rsidRPr="00CD021E" w14:paraId="0F767D89" w14:textId="77777777" w:rsidTr="002772ED">
      <w:tc>
        <w:tcPr>
          <w:tcW w:w="10774" w:type="dxa"/>
          <w:tcBorders>
            <w:top w:val="nil"/>
            <w:left w:val="nil"/>
            <w:bottom w:val="nil"/>
            <w:right w:val="nil"/>
          </w:tcBorders>
          <w:shd w:val="clear" w:color="auto" w:fill="DAEEF3"/>
        </w:tcPr>
        <w:p w14:paraId="73369170" w14:textId="35668C05" w:rsidR="000D44DB" w:rsidRPr="00CD021E" w:rsidRDefault="00E44ED5" w:rsidP="00EB3E6F">
          <w:pPr>
            <w:pStyle w:val="Header"/>
            <w:spacing w:before="60" w:after="60"/>
            <w:rPr>
              <w:rFonts w:cs="Arial"/>
              <w:b/>
              <w:bCs/>
              <w:color w:val="000000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cs="Arial"/>
              <w:b/>
              <w:bCs/>
              <w:color w:val="0070C0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August</w:t>
          </w:r>
          <w:r w:rsidR="00A75BCB">
            <w:rPr>
              <w:rFonts w:cs="Arial"/>
              <w:b/>
              <w:bCs/>
              <w:color w:val="0070C0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202</w:t>
          </w:r>
          <w:r w:rsidR="001D7529">
            <w:rPr>
              <w:rFonts w:cs="Arial"/>
              <w:b/>
              <w:bCs/>
              <w:color w:val="0070C0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4</w:t>
          </w:r>
        </w:p>
      </w:tc>
    </w:tr>
    <w:tr w:rsidR="000D44DB" w:rsidRPr="00CD021E" w14:paraId="480D819C" w14:textId="77777777" w:rsidTr="002772ED">
      <w:tc>
        <w:tcPr>
          <w:tcW w:w="10774" w:type="dxa"/>
          <w:tcBorders>
            <w:top w:val="nil"/>
            <w:left w:val="nil"/>
            <w:bottom w:val="nil"/>
            <w:right w:val="nil"/>
          </w:tcBorders>
          <w:shd w:val="clear" w:color="auto" w:fill="0070C0"/>
        </w:tcPr>
        <w:p w14:paraId="4FBAB062" w14:textId="77777777" w:rsidR="000D44DB" w:rsidRPr="00CD021E" w:rsidRDefault="000D44DB" w:rsidP="00395D20">
          <w:pPr>
            <w:pStyle w:val="Header"/>
            <w:tabs>
              <w:tab w:val="clear" w:pos="4153"/>
              <w:tab w:val="clear" w:pos="8306"/>
              <w:tab w:val="left" w:pos="2197"/>
            </w:tabs>
            <w:rPr>
              <w:rFonts w:cs="Arial"/>
              <w:b/>
              <w:bCs/>
              <w:color w:val="0070C0"/>
              <w:sz w:val="8"/>
              <w:szCs w:val="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CD021E">
            <w:rPr>
              <w:rFonts w:cs="Arial"/>
              <w:b/>
              <w:bCs/>
              <w:color w:val="0070C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ab/>
          </w:r>
        </w:p>
      </w:tc>
    </w:tr>
    <w:tr w:rsidR="000D44DB" w:rsidRPr="00CD021E" w14:paraId="1F5B69AE" w14:textId="77777777" w:rsidTr="002772ED">
      <w:tc>
        <w:tcPr>
          <w:tcW w:w="10774" w:type="dxa"/>
          <w:tcBorders>
            <w:top w:val="nil"/>
            <w:left w:val="nil"/>
            <w:bottom w:val="nil"/>
            <w:right w:val="nil"/>
          </w:tcBorders>
          <w:shd w:val="clear" w:color="auto" w:fill="DAEEF3"/>
        </w:tcPr>
        <w:p w14:paraId="493207A0" w14:textId="77777777" w:rsidR="000D44DB" w:rsidRPr="00C315D6" w:rsidRDefault="00885CAE" w:rsidP="00CB6344">
          <w:pPr>
            <w:pStyle w:val="Header"/>
            <w:tabs>
              <w:tab w:val="clear" w:pos="4153"/>
              <w:tab w:val="clear" w:pos="8306"/>
              <w:tab w:val="left" w:pos="2197"/>
            </w:tabs>
            <w:spacing w:before="120" w:after="120"/>
            <w:rPr>
              <w:rFonts w:cs="Arial"/>
              <w:b/>
              <w:bCs/>
              <w:color w:val="0070C0"/>
              <w:sz w:val="18"/>
              <w:szCs w:val="18"/>
            </w:rPr>
          </w:pPr>
          <w:r w:rsidRPr="009B0BCE">
            <w:rPr>
              <w:rFonts w:cs="Arial"/>
              <w:b/>
              <w:bCs/>
              <w:color w:val="0070C0"/>
              <w:sz w:val="18"/>
              <w:szCs w:val="18"/>
            </w:rPr>
            <w:t xml:space="preserve">This newsletter is produced by </w:t>
          </w:r>
          <w:hyperlink r:id="rId3" w:history="1">
            <w:r w:rsidRPr="00551321">
              <w:rPr>
                <w:rStyle w:val="Hyperlink"/>
                <w:rFonts w:ascii="Arial" w:hAnsi="Arial" w:cs="Arial"/>
                <w:b/>
                <w:bCs/>
              </w:rPr>
              <w:t xml:space="preserve">SPS </w:t>
            </w:r>
            <w:r w:rsidR="003C4624">
              <w:rPr>
                <w:rStyle w:val="Hyperlink"/>
                <w:rFonts w:ascii="Arial" w:hAnsi="Arial" w:cs="Arial"/>
                <w:b/>
                <w:bCs/>
              </w:rPr>
              <w:t>H</w:t>
            </w:r>
            <w:r w:rsidRPr="00551321">
              <w:rPr>
                <w:rStyle w:val="Hyperlink"/>
                <w:rFonts w:ascii="Arial" w:hAnsi="Arial" w:cs="Arial"/>
                <w:b/>
                <w:bCs/>
              </w:rPr>
              <w:t xml:space="preserve">orizon </w:t>
            </w:r>
            <w:r w:rsidR="003C4624">
              <w:rPr>
                <w:rStyle w:val="Hyperlink"/>
                <w:rFonts w:ascii="Arial" w:hAnsi="Arial" w:cs="Arial"/>
                <w:b/>
                <w:bCs/>
              </w:rPr>
              <w:t>S</w:t>
            </w:r>
            <w:r w:rsidRPr="00551321">
              <w:rPr>
                <w:rStyle w:val="Hyperlink"/>
                <w:rFonts w:ascii="Arial" w:hAnsi="Arial" w:cs="Arial"/>
                <w:b/>
                <w:bCs/>
              </w:rPr>
              <w:t>canning</w:t>
            </w:r>
          </w:hyperlink>
          <w:r w:rsidRPr="009B0BCE">
            <w:rPr>
              <w:rFonts w:cs="Arial"/>
              <w:b/>
              <w:bCs/>
              <w:color w:val="0070C0"/>
              <w:sz w:val="18"/>
              <w:szCs w:val="18"/>
            </w:rPr>
            <w:t xml:space="preserve"> and highlights recent</w:t>
          </w:r>
          <w:r>
            <w:rPr>
              <w:rFonts w:cs="Arial"/>
              <w:b/>
              <w:bCs/>
              <w:color w:val="0070C0"/>
              <w:sz w:val="18"/>
              <w:szCs w:val="18"/>
            </w:rPr>
            <w:t xml:space="preserve"> new product launches and </w:t>
          </w:r>
          <w:r w:rsidRPr="009B0BCE">
            <w:rPr>
              <w:rFonts w:cs="Arial"/>
              <w:b/>
              <w:bCs/>
              <w:color w:val="0070C0"/>
              <w:sz w:val="18"/>
              <w:szCs w:val="18"/>
            </w:rPr>
            <w:t xml:space="preserve">medicines regulatory changes. More detailed information on medicines </w:t>
          </w:r>
          <w:r>
            <w:rPr>
              <w:rFonts w:cs="Arial"/>
              <w:b/>
              <w:bCs/>
              <w:color w:val="0070C0"/>
              <w:sz w:val="18"/>
              <w:szCs w:val="18"/>
            </w:rPr>
            <w:t>estimated</w:t>
          </w:r>
          <w:r w:rsidRPr="009B0BCE">
            <w:rPr>
              <w:rFonts w:cs="Arial"/>
              <w:b/>
              <w:bCs/>
              <w:color w:val="0070C0"/>
              <w:sz w:val="18"/>
              <w:szCs w:val="18"/>
            </w:rPr>
            <w:t xml:space="preserve"> to </w:t>
          </w:r>
          <w:r>
            <w:rPr>
              <w:rFonts w:cs="Arial"/>
              <w:b/>
              <w:bCs/>
              <w:color w:val="0070C0"/>
              <w:sz w:val="18"/>
              <w:szCs w:val="18"/>
            </w:rPr>
            <w:t>become available for use</w:t>
          </w:r>
          <w:r w:rsidRPr="009B0BCE">
            <w:rPr>
              <w:rFonts w:cs="Arial"/>
              <w:b/>
              <w:bCs/>
              <w:color w:val="0070C0"/>
              <w:sz w:val="18"/>
              <w:szCs w:val="18"/>
            </w:rPr>
            <w:t xml:space="preserve"> in the next 2</w:t>
          </w:r>
          <w:r>
            <w:rPr>
              <w:rFonts w:cs="Arial"/>
              <w:b/>
              <w:bCs/>
              <w:color w:val="0070C0"/>
              <w:sz w:val="18"/>
              <w:szCs w:val="18"/>
            </w:rPr>
            <w:t xml:space="preserve"> financial years</w:t>
          </w:r>
          <w:r w:rsidRPr="009B0BCE">
            <w:rPr>
              <w:rFonts w:cs="Arial"/>
              <w:b/>
              <w:bCs/>
              <w:color w:val="0070C0"/>
              <w:sz w:val="18"/>
              <w:szCs w:val="18"/>
            </w:rPr>
            <w:t xml:space="preserve"> and on marketed medicines expected to have major new indications approved</w:t>
          </w:r>
          <w:r>
            <w:rPr>
              <w:rFonts w:cs="Arial"/>
              <w:b/>
              <w:bCs/>
              <w:color w:val="0070C0"/>
              <w:sz w:val="18"/>
              <w:szCs w:val="18"/>
            </w:rPr>
            <w:t xml:space="preserve"> is</w:t>
          </w:r>
          <w:r w:rsidRPr="009B0BCE">
            <w:rPr>
              <w:rFonts w:cs="Arial"/>
              <w:b/>
              <w:bCs/>
              <w:color w:val="0070C0"/>
              <w:sz w:val="18"/>
              <w:szCs w:val="18"/>
            </w:rPr>
            <w:t xml:space="preserve"> in </w:t>
          </w:r>
          <w:hyperlink r:id="rId4" w:history="1">
            <w:r w:rsidRPr="009B0BCE">
              <w:rPr>
                <w:rStyle w:val="Hyperlink"/>
                <w:rFonts w:ascii="Arial" w:hAnsi="Arial" w:cs="Arial"/>
                <w:b/>
                <w:bCs/>
              </w:rPr>
              <w:t>Prescribing Outlook</w:t>
            </w:r>
          </w:hyperlink>
          <w:r w:rsidRPr="009B0BCE">
            <w:rPr>
              <w:rFonts w:cs="Arial"/>
              <w:b/>
              <w:bCs/>
              <w:color w:val="0070C0"/>
              <w:sz w:val="18"/>
              <w:szCs w:val="18"/>
            </w:rPr>
            <w:t>.</w:t>
          </w:r>
        </w:p>
      </w:tc>
    </w:tr>
  </w:tbl>
  <w:p w14:paraId="10F208E9" w14:textId="77777777" w:rsidR="000D44DB" w:rsidRPr="00CD021E" w:rsidRDefault="000D44DB" w:rsidP="00A56726">
    <w:pPr>
      <w:pStyle w:val="Header"/>
      <w:rPr>
        <w:rFonts w:cs="Arial"/>
        <w:b/>
        <w:bCs/>
        <w:color w:val="244061"/>
        <w:sz w:val="8"/>
        <w:szCs w:val="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2188" w14:textId="7981BC06" w:rsidR="0090527B" w:rsidRDefault="0090527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82A5" w14:textId="72D4B33F" w:rsidR="0090527B" w:rsidRDefault="0090527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6E0B" w14:textId="64ED6594" w:rsidR="000D44DB" w:rsidRPr="00CD021E" w:rsidRDefault="00A75BCB" w:rsidP="007E0374">
    <w:pPr>
      <w:pStyle w:val="Header"/>
      <w:tabs>
        <w:tab w:val="clear" w:pos="8306"/>
        <w:tab w:val="left" w:pos="7830"/>
      </w:tabs>
      <w:spacing w:before="120"/>
      <w:rPr>
        <w:rFonts w:cs="Arial"/>
        <w:b/>
        <w:bCs/>
        <w:i/>
        <w:color w:val="31849B"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noProof/>
        <w:color w:val="00A249"/>
        <w:sz w:val="40"/>
        <w:szCs w:val="40"/>
      </w:rPr>
      <w:drawing>
        <wp:anchor distT="0" distB="0" distL="114300" distR="114300" simplePos="0" relativeHeight="251658240" behindDoc="0" locked="0" layoutInCell="1" allowOverlap="1" wp14:anchorId="2CEDA0EE" wp14:editId="33439D42">
          <wp:simplePos x="0" y="0"/>
          <wp:positionH relativeFrom="column">
            <wp:posOffset>6182360</wp:posOffset>
          </wp:positionH>
          <wp:positionV relativeFrom="paragraph">
            <wp:posOffset>93345</wp:posOffset>
          </wp:positionV>
          <wp:extent cx="469265" cy="192405"/>
          <wp:effectExtent l="0" t="0" r="6985" b="0"/>
          <wp:wrapNone/>
          <wp:docPr id="8" name="Picture 8" descr="NHS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HS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192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021E">
      <w:rPr>
        <w:noProof/>
      </w:rPr>
      <w:drawing>
        <wp:anchor distT="0" distB="0" distL="114300" distR="114300" simplePos="0" relativeHeight="251660288" behindDoc="0" locked="0" layoutInCell="1" allowOverlap="1" wp14:anchorId="1ED5849C" wp14:editId="004D260C">
          <wp:simplePos x="0" y="0"/>
          <wp:positionH relativeFrom="column">
            <wp:posOffset>-286385</wp:posOffset>
          </wp:positionH>
          <wp:positionV relativeFrom="paragraph">
            <wp:posOffset>8890</wp:posOffset>
          </wp:positionV>
          <wp:extent cx="940435" cy="401955"/>
          <wp:effectExtent l="0" t="0" r="0" b="0"/>
          <wp:wrapSquare wrapText="bothSides"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401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374">
      <w:rPr>
        <w:rFonts w:cs="Arial"/>
        <w:b/>
        <w:bCs/>
        <w:color w:val="00A249"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New</w:t>
    </w:r>
    <w:r w:rsidR="000D44DB" w:rsidRPr="00CD021E">
      <w:rPr>
        <w:rFonts w:cs="Arial"/>
        <w:b/>
        <w:bCs/>
        <w:color w:val="00A249"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Medicines</w:t>
    </w:r>
    <w:r w:rsidR="000D44DB" w:rsidRPr="00CD021E">
      <w:rPr>
        <w:rFonts w:cs="Arial"/>
        <w:b/>
        <w:bCs/>
        <w:i/>
        <w:color w:val="244061"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0D44DB" w:rsidRPr="00CD021E">
      <w:rPr>
        <w:rFonts w:cs="Arial"/>
        <w:b/>
        <w:bCs/>
        <w:i/>
        <w:color w:val="0070C0"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News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EE866" w14:textId="349FD5AA" w:rsidR="0090527B" w:rsidRDefault="009052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E6EF9"/>
    <w:multiLevelType w:val="multilevel"/>
    <w:tmpl w:val="29F4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055FA1"/>
    <w:multiLevelType w:val="hybridMultilevel"/>
    <w:tmpl w:val="BCF48EAE"/>
    <w:lvl w:ilvl="0" w:tplc="1AB04B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104711">
    <w:abstractNumId w:val="1"/>
  </w:num>
  <w:num w:numId="2" w16cid:durableId="42692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style="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D5"/>
    <w:rsid w:val="0000035C"/>
    <w:rsid w:val="000005B6"/>
    <w:rsid w:val="000005EF"/>
    <w:rsid w:val="00000A0A"/>
    <w:rsid w:val="00000BE4"/>
    <w:rsid w:val="00000F87"/>
    <w:rsid w:val="0000199C"/>
    <w:rsid w:val="00001F19"/>
    <w:rsid w:val="0000290B"/>
    <w:rsid w:val="00002A08"/>
    <w:rsid w:val="00003329"/>
    <w:rsid w:val="00003421"/>
    <w:rsid w:val="000034B3"/>
    <w:rsid w:val="00003C95"/>
    <w:rsid w:val="00003D95"/>
    <w:rsid w:val="000042E9"/>
    <w:rsid w:val="00005014"/>
    <w:rsid w:val="00005119"/>
    <w:rsid w:val="00005271"/>
    <w:rsid w:val="000052F0"/>
    <w:rsid w:val="00005673"/>
    <w:rsid w:val="00005703"/>
    <w:rsid w:val="000057D2"/>
    <w:rsid w:val="00005CE9"/>
    <w:rsid w:val="00006527"/>
    <w:rsid w:val="000065F4"/>
    <w:rsid w:val="000072EC"/>
    <w:rsid w:val="0000751E"/>
    <w:rsid w:val="000075ED"/>
    <w:rsid w:val="0000769C"/>
    <w:rsid w:val="000102A1"/>
    <w:rsid w:val="000102E8"/>
    <w:rsid w:val="00010447"/>
    <w:rsid w:val="0001067C"/>
    <w:rsid w:val="00010B1D"/>
    <w:rsid w:val="00011176"/>
    <w:rsid w:val="000111C5"/>
    <w:rsid w:val="000114B1"/>
    <w:rsid w:val="00011D4B"/>
    <w:rsid w:val="00011E5B"/>
    <w:rsid w:val="00012B74"/>
    <w:rsid w:val="00012BA7"/>
    <w:rsid w:val="00012DCA"/>
    <w:rsid w:val="00012E19"/>
    <w:rsid w:val="00012E28"/>
    <w:rsid w:val="000132A0"/>
    <w:rsid w:val="00013575"/>
    <w:rsid w:val="000135BF"/>
    <w:rsid w:val="00013853"/>
    <w:rsid w:val="00013B16"/>
    <w:rsid w:val="00013CD9"/>
    <w:rsid w:val="00013E21"/>
    <w:rsid w:val="00014028"/>
    <w:rsid w:val="00014115"/>
    <w:rsid w:val="00014240"/>
    <w:rsid w:val="0001441B"/>
    <w:rsid w:val="00014631"/>
    <w:rsid w:val="00014657"/>
    <w:rsid w:val="000148ED"/>
    <w:rsid w:val="00014AFE"/>
    <w:rsid w:val="00015455"/>
    <w:rsid w:val="000158C2"/>
    <w:rsid w:val="00015915"/>
    <w:rsid w:val="000159C6"/>
    <w:rsid w:val="00015A48"/>
    <w:rsid w:val="00015B43"/>
    <w:rsid w:val="000165BE"/>
    <w:rsid w:val="000166D7"/>
    <w:rsid w:val="0001694F"/>
    <w:rsid w:val="00016C87"/>
    <w:rsid w:val="00016CDC"/>
    <w:rsid w:val="00016E17"/>
    <w:rsid w:val="000171BC"/>
    <w:rsid w:val="000173BA"/>
    <w:rsid w:val="0001791D"/>
    <w:rsid w:val="00017CA2"/>
    <w:rsid w:val="00017D66"/>
    <w:rsid w:val="00020261"/>
    <w:rsid w:val="000202B3"/>
    <w:rsid w:val="000202FE"/>
    <w:rsid w:val="000203F6"/>
    <w:rsid w:val="000207FB"/>
    <w:rsid w:val="00020D00"/>
    <w:rsid w:val="0002143C"/>
    <w:rsid w:val="0002181A"/>
    <w:rsid w:val="000225BB"/>
    <w:rsid w:val="000225EE"/>
    <w:rsid w:val="0002265E"/>
    <w:rsid w:val="0002269F"/>
    <w:rsid w:val="00022775"/>
    <w:rsid w:val="0002291B"/>
    <w:rsid w:val="000229C8"/>
    <w:rsid w:val="00022CCE"/>
    <w:rsid w:val="00022FB9"/>
    <w:rsid w:val="0002372C"/>
    <w:rsid w:val="00023B87"/>
    <w:rsid w:val="00023E2E"/>
    <w:rsid w:val="00023FBB"/>
    <w:rsid w:val="00025142"/>
    <w:rsid w:val="00025A1E"/>
    <w:rsid w:val="00025AD9"/>
    <w:rsid w:val="00025B8F"/>
    <w:rsid w:val="00026E35"/>
    <w:rsid w:val="00026FAE"/>
    <w:rsid w:val="0002715B"/>
    <w:rsid w:val="00027AC3"/>
    <w:rsid w:val="00027B21"/>
    <w:rsid w:val="00027C1C"/>
    <w:rsid w:val="00027D1D"/>
    <w:rsid w:val="00027E7C"/>
    <w:rsid w:val="00030002"/>
    <w:rsid w:val="0003000F"/>
    <w:rsid w:val="000305BA"/>
    <w:rsid w:val="00030663"/>
    <w:rsid w:val="0003082E"/>
    <w:rsid w:val="0003092A"/>
    <w:rsid w:val="00030ADE"/>
    <w:rsid w:val="00030B98"/>
    <w:rsid w:val="00030E87"/>
    <w:rsid w:val="00031218"/>
    <w:rsid w:val="00031336"/>
    <w:rsid w:val="00031909"/>
    <w:rsid w:val="00031E46"/>
    <w:rsid w:val="000320DC"/>
    <w:rsid w:val="000322AB"/>
    <w:rsid w:val="000327BA"/>
    <w:rsid w:val="00032BD9"/>
    <w:rsid w:val="0003313C"/>
    <w:rsid w:val="00033349"/>
    <w:rsid w:val="0003344C"/>
    <w:rsid w:val="000341CF"/>
    <w:rsid w:val="0003447E"/>
    <w:rsid w:val="0003499B"/>
    <w:rsid w:val="00034BCE"/>
    <w:rsid w:val="00034E8C"/>
    <w:rsid w:val="00035436"/>
    <w:rsid w:val="0003552B"/>
    <w:rsid w:val="00035B23"/>
    <w:rsid w:val="00035CA7"/>
    <w:rsid w:val="00035D82"/>
    <w:rsid w:val="00035DBD"/>
    <w:rsid w:val="00036A16"/>
    <w:rsid w:val="000373F3"/>
    <w:rsid w:val="0003742D"/>
    <w:rsid w:val="000374FF"/>
    <w:rsid w:val="000375C8"/>
    <w:rsid w:val="000378F6"/>
    <w:rsid w:val="000379EB"/>
    <w:rsid w:val="00037AE9"/>
    <w:rsid w:val="00037BAB"/>
    <w:rsid w:val="00037BE4"/>
    <w:rsid w:val="00040013"/>
    <w:rsid w:val="0004019A"/>
    <w:rsid w:val="000401A1"/>
    <w:rsid w:val="00040734"/>
    <w:rsid w:val="00040B83"/>
    <w:rsid w:val="00040CA3"/>
    <w:rsid w:val="000416FC"/>
    <w:rsid w:val="00041AC8"/>
    <w:rsid w:val="00041BDC"/>
    <w:rsid w:val="0004243E"/>
    <w:rsid w:val="000427D5"/>
    <w:rsid w:val="00042CCD"/>
    <w:rsid w:val="00043342"/>
    <w:rsid w:val="000435DE"/>
    <w:rsid w:val="00043A2D"/>
    <w:rsid w:val="00043ED2"/>
    <w:rsid w:val="00044148"/>
    <w:rsid w:val="00044204"/>
    <w:rsid w:val="00044475"/>
    <w:rsid w:val="00044C33"/>
    <w:rsid w:val="000452E2"/>
    <w:rsid w:val="00045745"/>
    <w:rsid w:val="0004575D"/>
    <w:rsid w:val="000457B4"/>
    <w:rsid w:val="00045D5B"/>
    <w:rsid w:val="00045DDF"/>
    <w:rsid w:val="0004601F"/>
    <w:rsid w:val="00046375"/>
    <w:rsid w:val="00046777"/>
    <w:rsid w:val="00046C42"/>
    <w:rsid w:val="00046CCE"/>
    <w:rsid w:val="0004702B"/>
    <w:rsid w:val="0004733A"/>
    <w:rsid w:val="00047608"/>
    <w:rsid w:val="00050249"/>
    <w:rsid w:val="000507C3"/>
    <w:rsid w:val="00050920"/>
    <w:rsid w:val="0005105D"/>
    <w:rsid w:val="000515F0"/>
    <w:rsid w:val="00051791"/>
    <w:rsid w:val="000518A6"/>
    <w:rsid w:val="000519EA"/>
    <w:rsid w:val="00051B61"/>
    <w:rsid w:val="00051F32"/>
    <w:rsid w:val="000523FE"/>
    <w:rsid w:val="00052436"/>
    <w:rsid w:val="000529B6"/>
    <w:rsid w:val="00052AD4"/>
    <w:rsid w:val="00052BA6"/>
    <w:rsid w:val="00053F21"/>
    <w:rsid w:val="00054462"/>
    <w:rsid w:val="0005460C"/>
    <w:rsid w:val="00056696"/>
    <w:rsid w:val="000566A1"/>
    <w:rsid w:val="00056787"/>
    <w:rsid w:val="00056809"/>
    <w:rsid w:val="00056DB0"/>
    <w:rsid w:val="000570FC"/>
    <w:rsid w:val="0005783A"/>
    <w:rsid w:val="00057C03"/>
    <w:rsid w:val="00057FA2"/>
    <w:rsid w:val="0006026C"/>
    <w:rsid w:val="0006036B"/>
    <w:rsid w:val="00060AC6"/>
    <w:rsid w:val="00060BB0"/>
    <w:rsid w:val="0006109A"/>
    <w:rsid w:val="0006141D"/>
    <w:rsid w:val="00061A5F"/>
    <w:rsid w:val="00061B9D"/>
    <w:rsid w:val="00061FEF"/>
    <w:rsid w:val="00062740"/>
    <w:rsid w:val="00062834"/>
    <w:rsid w:val="00062B47"/>
    <w:rsid w:val="00062F98"/>
    <w:rsid w:val="0006320B"/>
    <w:rsid w:val="00063C19"/>
    <w:rsid w:val="000646B3"/>
    <w:rsid w:val="00064C77"/>
    <w:rsid w:val="00064C8E"/>
    <w:rsid w:val="00064E8C"/>
    <w:rsid w:val="00064EB7"/>
    <w:rsid w:val="00064EF7"/>
    <w:rsid w:val="0006514E"/>
    <w:rsid w:val="000652C1"/>
    <w:rsid w:val="00065458"/>
    <w:rsid w:val="000659C3"/>
    <w:rsid w:val="00066145"/>
    <w:rsid w:val="0006622F"/>
    <w:rsid w:val="00066787"/>
    <w:rsid w:val="00066A42"/>
    <w:rsid w:val="00066B48"/>
    <w:rsid w:val="00067279"/>
    <w:rsid w:val="000672F8"/>
    <w:rsid w:val="0006730B"/>
    <w:rsid w:val="00067942"/>
    <w:rsid w:val="00067D4E"/>
    <w:rsid w:val="00067D5B"/>
    <w:rsid w:val="000702DB"/>
    <w:rsid w:val="00070948"/>
    <w:rsid w:val="00070A7A"/>
    <w:rsid w:val="00071178"/>
    <w:rsid w:val="0007155B"/>
    <w:rsid w:val="000719B7"/>
    <w:rsid w:val="00071A86"/>
    <w:rsid w:val="00071BD9"/>
    <w:rsid w:val="00071DB1"/>
    <w:rsid w:val="0007203F"/>
    <w:rsid w:val="0007204B"/>
    <w:rsid w:val="00072F47"/>
    <w:rsid w:val="00073808"/>
    <w:rsid w:val="00074396"/>
    <w:rsid w:val="0007446E"/>
    <w:rsid w:val="00074745"/>
    <w:rsid w:val="00074951"/>
    <w:rsid w:val="00074F67"/>
    <w:rsid w:val="000752E8"/>
    <w:rsid w:val="000755B8"/>
    <w:rsid w:val="00075D05"/>
    <w:rsid w:val="00075D4B"/>
    <w:rsid w:val="0007679E"/>
    <w:rsid w:val="00077371"/>
    <w:rsid w:val="00077C0C"/>
    <w:rsid w:val="00080116"/>
    <w:rsid w:val="000808F9"/>
    <w:rsid w:val="00080A6B"/>
    <w:rsid w:val="00080EE8"/>
    <w:rsid w:val="0008125C"/>
    <w:rsid w:val="00081277"/>
    <w:rsid w:val="000813E4"/>
    <w:rsid w:val="00081417"/>
    <w:rsid w:val="0008159C"/>
    <w:rsid w:val="0008195B"/>
    <w:rsid w:val="00081CFF"/>
    <w:rsid w:val="0008258A"/>
    <w:rsid w:val="00082DF6"/>
    <w:rsid w:val="00082E64"/>
    <w:rsid w:val="0008303B"/>
    <w:rsid w:val="00083231"/>
    <w:rsid w:val="000834AE"/>
    <w:rsid w:val="00083FAC"/>
    <w:rsid w:val="0008405B"/>
    <w:rsid w:val="00084760"/>
    <w:rsid w:val="00085268"/>
    <w:rsid w:val="00085475"/>
    <w:rsid w:val="0008576B"/>
    <w:rsid w:val="000858D1"/>
    <w:rsid w:val="000859AA"/>
    <w:rsid w:val="00085A04"/>
    <w:rsid w:val="00085C5D"/>
    <w:rsid w:val="00085CCC"/>
    <w:rsid w:val="00085DA5"/>
    <w:rsid w:val="000863E2"/>
    <w:rsid w:val="000864A2"/>
    <w:rsid w:val="0008668D"/>
    <w:rsid w:val="00086F97"/>
    <w:rsid w:val="00087308"/>
    <w:rsid w:val="00087474"/>
    <w:rsid w:val="0008785C"/>
    <w:rsid w:val="00087A3E"/>
    <w:rsid w:val="00090233"/>
    <w:rsid w:val="000906FB"/>
    <w:rsid w:val="000907E5"/>
    <w:rsid w:val="00091245"/>
    <w:rsid w:val="00091EAA"/>
    <w:rsid w:val="00092238"/>
    <w:rsid w:val="0009266A"/>
    <w:rsid w:val="00092AEC"/>
    <w:rsid w:val="000933A6"/>
    <w:rsid w:val="00093CB7"/>
    <w:rsid w:val="0009414D"/>
    <w:rsid w:val="00094388"/>
    <w:rsid w:val="00094B31"/>
    <w:rsid w:val="00094FC6"/>
    <w:rsid w:val="0009514E"/>
    <w:rsid w:val="0009515F"/>
    <w:rsid w:val="000951E1"/>
    <w:rsid w:val="000954DD"/>
    <w:rsid w:val="000955AC"/>
    <w:rsid w:val="000957EA"/>
    <w:rsid w:val="00095818"/>
    <w:rsid w:val="00095974"/>
    <w:rsid w:val="00095B4D"/>
    <w:rsid w:val="00095EE7"/>
    <w:rsid w:val="000966BB"/>
    <w:rsid w:val="00096800"/>
    <w:rsid w:val="00096BBF"/>
    <w:rsid w:val="00096C4B"/>
    <w:rsid w:val="0009792A"/>
    <w:rsid w:val="00097B79"/>
    <w:rsid w:val="00097E17"/>
    <w:rsid w:val="000A0040"/>
    <w:rsid w:val="000A02AD"/>
    <w:rsid w:val="000A0B38"/>
    <w:rsid w:val="000A1199"/>
    <w:rsid w:val="000A22E9"/>
    <w:rsid w:val="000A241E"/>
    <w:rsid w:val="000A2810"/>
    <w:rsid w:val="000A289B"/>
    <w:rsid w:val="000A2C52"/>
    <w:rsid w:val="000A2E37"/>
    <w:rsid w:val="000A36D0"/>
    <w:rsid w:val="000A3B1E"/>
    <w:rsid w:val="000A41D4"/>
    <w:rsid w:val="000A421F"/>
    <w:rsid w:val="000A4BCB"/>
    <w:rsid w:val="000A4BE4"/>
    <w:rsid w:val="000A5077"/>
    <w:rsid w:val="000A50F2"/>
    <w:rsid w:val="000A534D"/>
    <w:rsid w:val="000A5ABE"/>
    <w:rsid w:val="000A5B0D"/>
    <w:rsid w:val="000A60E1"/>
    <w:rsid w:val="000A60F4"/>
    <w:rsid w:val="000A61FB"/>
    <w:rsid w:val="000A7A40"/>
    <w:rsid w:val="000A7AD6"/>
    <w:rsid w:val="000A7C5A"/>
    <w:rsid w:val="000B001D"/>
    <w:rsid w:val="000B015F"/>
    <w:rsid w:val="000B0274"/>
    <w:rsid w:val="000B038E"/>
    <w:rsid w:val="000B08CB"/>
    <w:rsid w:val="000B08D1"/>
    <w:rsid w:val="000B0A95"/>
    <w:rsid w:val="000B0ADF"/>
    <w:rsid w:val="000B0C23"/>
    <w:rsid w:val="000B18C2"/>
    <w:rsid w:val="000B1AAB"/>
    <w:rsid w:val="000B1C18"/>
    <w:rsid w:val="000B1C59"/>
    <w:rsid w:val="000B2C16"/>
    <w:rsid w:val="000B2FC7"/>
    <w:rsid w:val="000B310F"/>
    <w:rsid w:val="000B38C0"/>
    <w:rsid w:val="000B3DAA"/>
    <w:rsid w:val="000B3EEB"/>
    <w:rsid w:val="000B466E"/>
    <w:rsid w:val="000B4681"/>
    <w:rsid w:val="000B4763"/>
    <w:rsid w:val="000B4E20"/>
    <w:rsid w:val="000B4EDC"/>
    <w:rsid w:val="000B5120"/>
    <w:rsid w:val="000B515F"/>
    <w:rsid w:val="000B5605"/>
    <w:rsid w:val="000B57AA"/>
    <w:rsid w:val="000B5AF8"/>
    <w:rsid w:val="000B5F2C"/>
    <w:rsid w:val="000B6184"/>
    <w:rsid w:val="000B6843"/>
    <w:rsid w:val="000B6EB2"/>
    <w:rsid w:val="000B706F"/>
    <w:rsid w:val="000B77F8"/>
    <w:rsid w:val="000B78CC"/>
    <w:rsid w:val="000B7AE2"/>
    <w:rsid w:val="000C0203"/>
    <w:rsid w:val="000C041C"/>
    <w:rsid w:val="000C091B"/>
    <w:rsid w:val="000C0F48"/>
    <w:rsid w:val="000C0F5C"/>
    <w:rsid w:val="000C1356"/>
    <w:rsid w:val="000C18D0"/>
    <w:rsid w:val="000C1FB5"/>
    <w:rsid w:val="000C20E9"/>
    <w:rsid w:val="000C2555"/>
    <w:rsid w:val="000C25C3"/>
    <w:rsid w:val="000C2DF1"/>
    <w:rsid w:val="000C3692"/>
    <w:rsid w:val="000C37AC"/>
    <w:rsid w:val="000C3B1F"/>
    <w:rsid w:val="000C43D9"/>
    <w:rsid w:val="000C44B7"/>
    <w:rsid w:val="000C458C"/>
    <w:rsid w:val="000C4D1E"/>
    <w:rsid w:val="000C5329"/>
    <w:rsid w:val="000C5D43"/>
    <w:rsid w:val="000C5F42"/>
    <w:rsid w:val="000C60E6"/>
    <w:rsid w:val="000C6548"/>
    <w:rsid w:val="000C6591"/>
    <w:rsid w:val="000C6D2E"/>
    <w:rsid w:val="000C709F"/>
    <w:rsid w:val="000C72CA"/>
    <w:rsid w:val="000C7872"/>
    <w:rsid w:val="000C7AFF"/>
    <w:rsid w:val="000C7BA9"/>
    <w:rsid w:val="000C7C7C"/>
    <w:rsid w:val="000C7CAA"/>
    <w:rsid w:val="000D0476"/>
    <w:rsid w:val="000D04C1"/>
    <w:rsid w:val="000D0624"/>
    <w:rsid w:val="000D0DF7"/>
    <w:rsid w:val="000D0E50"/>
    <w:rsid w:val="000D1171"/>
    <w:rsid w:val="000D13A6"/>
    <w:rsid w:val="000D2113"/>
    <w:rsid w:val="000D2266"/>
    <w:rsid w:val="000D2736"/>
    <w:rsid w:val="000D2C27"/>
    <w:rsid w:val="000D30E7"/>
    <w:rsid w:val="000D35F7"/>
    <w:rsid w:val="000D3646"/>
    <w:rsid w:val="000D3760"/>
    <w:rsid w:val="000D3BCC"/>
    <w:rsid w:val="000D43AC"/>
    <w:rsid w:val="000D44DB"/>
    <w:rsid w:val="000D4645"/>
    <w:rsid w:val="000D467B"/>
    <w:rsid w:val="000D58C9"/>
    <w:rsid w:val="000D5DA8"/>
    <w:rsid w:val="000D5F42"/>
    <w:rsid w:val="000D62F3"/>
    <w:rsid w:val="000D6630"/>
    <w:rsid w:val="000D682D"/>
    <w:rsid w:val="000D7E24"/>
    <w:rsid w:val="000D7EAD"/>
    <w:rsid w:val="000E06CA"/>
    <w:rsid w:val="000E07FC"/>
    <w:rsid w:val="000E0B79"/>
    <w:rsid w:val="000E0C92"/>
    <w:rsid w:val="000E0D69"/>
    <w:rsid w:val="000E0ECF"/>
    <w:rsid w:val="000E0F57"/>
    <w:rsid w:val="000E12A8"/>
    <w:rsid w:val="000E184E"/>
    <w:rsid w:val="000E1A44"/>
    <w:rsid w:val="000E1DE0"/>
    <w:rsid w:val="000E21D3"/>
    <w:rsid w:val="000E247B"/>
    <w:rsid w:val="000E247C"/>
    <w:rsid w:val="000E27E9"/>
    <w:rsid w:val="000E2A6C"/>
    <w:rsid w:val="000E2DC9"/>
    <w:rsid w:val="000E2E4B"/>
    <w:rsid w:val="000E2FF1"/>
    <w:rsid w:val="000E3DFD"/>
    <w:rsid w:val="000E4477"/>
    <w:rsid w:val="000E45E9"/>
    <w:rsid w:val="000E4A24"/>
    <w:rsid w:val="000E5217"/>
    <w:rsid w:val="000E5C17"/>
    <w:rsid w:val="000E6471"/>
    <w:rsid w:val="000E69A5"/>
    <w:rsid w:val="000E721B"/>
    <w:rsid w:val="000E74D2"/>
    <w:rsid w:val="000E789D"/>
    <w:rsid w:val="000F0055"/>
    <w:rsid w:val="000F0481"/>
    <w:rsid w:val="000F04BF"/>
    <w:rsid w:val="000F0699"/>
    <w:rsid w:val="000F078E"/>
    <w:rsid w:val="000F0BA2"/>
    <w:rsid w:val="000F0F98"/>
    <w:rsid w:val="000F1485"/>
    <w:rsid w:val="000F19E1"/>
    <w:rsid w:val="000F1B61"/>
    <w:rsid w:val="000F2032"/>
    <w:rsid w:val="000F22ED"/>
    <w:rsid w:val="000F2362"/>
    <w:rsid w:val="000F35A9"/>
    <w:rsid w:val="000F377A"/>
    <w:rsid w:val="000F3964"/>
    <w:rsid w:val="000F3BFE"/>
    <w:rsid w:val="000F3C1E"/>
    <w:rsid w:val="000F3DE4"/>
    <w:rsid w:val="000F3EC1"/>
    <w:rsid w:val="000F40FF"/>
    <w:rsid w:val="000F4C32"/>
    <w:rsid w:val="000F4C9B"/>
    <w:rsid w:val="000F52A7"/>
    <w:rsid w:val="000F58A1"/>
    <w:rsid w:val="000F5AA4"/>
    <w:rsid w:val="000F5AC6"/>
    <w:rsid w:val="000F5C5A"/>
    <w:rsid w:val="000F5D25"/>
    <w:rsid w:val="000F613C"/>
    <w:rsid w:val="000F6985"/>
    <w:rsid w:val="000F715A"/>
    <w:rsid w:val="000F72CB"/>
    <w:rsid w:val="000F7AE5"/>
    <w:rsid w:val="000F7B5F"/>
    <w:rsid w:val="001007E8"/>
    <w:rsid w:val="0010093F"/>
    <w:rsid w:val="00100AA8"/>
    <w:rsid w:val="00100B3E"/>
    <w:rsid w:val="0010109D"/>
    <w:rsid w:val="00101327"/>
    <w:rsid w:val="001017B0"/>
    <w:rsid w:val="0010229B"/>
    <w:rsid w:val="00102869"/>
    <w:rsid w:val="00102BB5"/>
    <w:rsid w:val="001036A5"/>
    <w:rsid w:val="001044CC"/>
    <w:rsid w:val="00104591"/>
    <w:rsid w:val="00104765"/>
    <w:rsid w:val="00104B62"/>
    <w:rsid w:val="00104CAF"/>
    <w:rsid w:val="00104F3E"/>
    <w:rsid w:val="00105230"/>
    <w:rsid w:val="001054D4"/>
    <w:rsid w:val="00105520"/>
    <w:rsid w:val="0010589B"/>
    <w:rsid w:val="00105BB1"/>
    <w:rsid w:val="00105C0B"/>
    <w:rsid w:val="00105CAF"/>
    <w:rsid w:val="0010629A"/>
    <w:rsid w:val="00106609"/>
    <w:rsid w:val="00106691"/>
    <w:rsid w:val="00107637"/>
    <w:rsid w:val="001079B2"/>
    <w:rsid w:val="001079F5"/>
    <w:rsid w:val="00107BCE"/>
    <w:rsid w:val="00107E98"/>
    <w:rsid w:val="00110139"/>
    <w:rsid w:val="00110B0E"/>
    <w:rsid w:val="00110D86"/>
    <w:rsid w:val="00110E83"/>
    <w:rsid w:val="00110F6A"/>
    <w:rsid w:val="00111092"/>
    <w:rsid w:val="00111226"/>
    <w:rsid w:val="00111231"/>
    <w:rsid w:val="00111769"/>
    <w:rsid w:val="00111903"/>
    <w:rsid w:val="001119E0"/>
    <w:rsid w:val="001122A8"/>
    <w:rsid w:val="00112340"/>
    <w:rsid w:val="00112FE4"/>
    <w:rsid w:val="0011301C"/>
    <w:rsid w:val="0011309C"/>
    <w:rsid w:val="00113644"/>
    <w:rsid w:val="00113D17"/>
    <w:rsid w:val="00113E55"/>
    <w:rsid w:val="00113F26"/>
    <w:rsid w:val="0011452F"/>
    <w:rsid w:val="001146D7"/>
    <w:rsid w:val="00114791"/>
    <w:rsid w:val="001149FA"/>
    <w:rsid w:val="00114A1E"/>
    <w:rsid w:val="00114AB9"/>
    <w:rsid w:val="00114DA9"/>
    <w:rsid w:val="00114EBA"/>
    <w:rsid w:val="00114F6B"/>
    <w:rsid w:val="0011546D"/>
    <w:rsid w:val="001155CF"/>
    <w:rsid w:val="00115872"/>
    <w:rsid w:val="00116043"/>
    <w:rsid w:val="001160C4"/>
    <w:rsid w:val="00116463"/>
    <w:rsid w:val="00116637"/>
    <w:rsid w:val="001168CC"/>
    <w:rsid w:val="001169DD"/>
    <w:rsid w:val="0011771E"/>
    <w:rsid w:val="001200DD"/>
    <w:rsid w:val="0012045D"/>
    <w:rsid w:val="001209AC"/>
    <w:rsid w:val="00120B32"/>
    <w:rsid w:val="0012143F"/>
    <w:rsid w:val="00122124"/>
    <w:rsid w:val="001221E3"/>
    <w:rsid w:val="0012226D"/>
    <w:rsid w:val="0012281C"/>
    <w:rsid w:val="00122966"/>
    <w:rsid w:val="00122EC3"/>
    <w:rsid w:val="00123512"/>
    <w:rsid w:val="00123811"/>
    <w:rsid w:val="00123C6D"/>
    <w:rsid w:val="00123FBB"/>
    <w:rsid w:val="001241B1"/>
    <w:rsid w:val="00124603"/>
    <w:rsid w:val="0012477A"/>
    <w:rsid w:val="00124CBF"/>
    <w:rsid w:val="00124FE3"/>
    <w:rsid w:val="0012683D"/>
    <w:rsid w:val="00126CCD"/>
    <w:rsid w:val="00126E8C"/>
    <w:rsid w:val="00127081"/>
    <w:rsid w:val="001271F3"/>
    <w:rsid w:val="0012736E"/>
    <w:rsid w:val="00127A3E"/>
    <w:rsid w:val="00130301"/>
    <w:rsid w:val="001304D0"/>
    <w:rsid w:val="00130543"/>
    <w:rsid w:val="00130B6B"/>
    <w:rsid w:val="00130D1C"/>
    <w:rsid w:val="001314D3"/>
    <w:rsid w:val="001314E0"/>
    <w:rsid w:val="0013190B"/>
    <w:rsid w:val="00131942"/>
    <w:rsid w:val="00131B41"/>
    <w:rsid w:val="00131B76"/>
    <w:rsid w:val="00131CFA"/>
    <w:rsid w:val="00131D4C"/>
    <w:rsid w:val="001325E6"/>
    <w:rsid w:val="0013261A"/>
    <w:rsid w:val="00132D15"/>
    <w:rsid w:val="001338F8"/>
    <w:rsid w:val="00134027"/>
    <w:rsid w:val="0013460E"/>
    <w:rsid w:val="00134DB3"/>
    <w:rsid w:val="00134DB5"/>
    <w:rsid w:val="00135434"/>
    <w:rsid w:val="00135B8B"/>
    <w:rsid w:val="00135D8F"/>
    <w:rsid w:val="00136298"/>
    <w:rsid w:val="00136887"/>
    <w:rsid w:val="00136EE3"/>
    <w:rsid w:val="00136FC4"/>
    <w:rsid w:val="001370F3"/>
    <w:rsid w:val="001373C5"/>
    <w:rsid w:val="001375C8"/>
    <w:rsid w:val="00137605"/>
    <w:rsid w:val="00137C23"/>
    <w:rsid w:val="00137EA2"/>
    <w:rsid w:val="00140395"/>
    <w:rsid w:val="00140724"/>
    <w:rsid w:val="0014076F"/>
    <w:rsid w:val="00140EF1"/>
    <w:rsid w:val="0014109C"/>
    <w:rsid w:val="001410D6"/>
    <w:rsid w:val="00141635"/>
    <w:rsid w:val="00141796"/>
    <w:rsid w:val="001429B9"/>
    <w:rsid w:val="00142EAA"/>
    <w:rsid w:val="00144258"/>
    <w:rsid w:val="00144425"/>
    <w:rsid w:val="0014519F"/>
    <w:rsid w:val="00145426"/>
    <w:rsid w:val="001455B3"/>
    <w:rsid w:val="00145984"/>
    <w:rsid w:val="001459AF"/>
    <w:rsid w:val="00145A91"/>
    <w:rsid w:val="00145B63"/>
    <w:rsid w:val="00145CFD"/>
    <w:rsid w:val="00145DFA"/>
    <w:rsid w:val="00146059"/>
    <w:rsid w:val="001460E1"/>
    <w:rsid w:val="00146C32"/>
    <w:rsid w:val="00147177"/>
    <w:rsid w:val="001473E8"/>
    <w:rsid w:val="001474FC"/>
    <w:rsid w:val="00147874"/>
    <w:rsid w:val="00147DEE"/>
    <w:rsid w:val="00147E5F"/>
    <w:rsid w:val="00150038"/>
    <w:rsid w:val="00150095"/>
    <w:rsid w:val="00150374"/>
    <w:rsid w:val="00150648"/>
    <w:rsid w:val="001507BD"/>
    <w:rsid w:val="001508D4"/>
    <w:rsid w:val="001509A6"/>
    <w:rsid w:val="00150AB6"/>
    <w:rsid w:val="0015194F"/>
    <w:rsid w:val="0015213C"/>
    <w:rsid w:val="001521A6"/>
    <w:rsid w:val="00153126"/>
    <w:rsid w:val="00153942"/>
    <w:rsid w:val="00153ECC"/>
    <w:rsid w:val="00154281"/>
    <w:rsid w:val="0015493E"/>
    <w:rsid w:val="0015496C"/>
    <w:rsid w:val="00154F9D"/>
    <w:rsid w:val="00155081"/>
    <w:rsid w:val="001552E6"/>
    <w:rsid w:val="0015546F"/>
    <w:rsid w:val="00155BD9"/>
    <w:rsid w:val="00155D5A"/>
    <w:rsid w:val="00156078"/>
    <w:rsid w:val="00156870"/>
    <w:rsid w:val="00156AAF"/>
    <w:rsid w:val="00156CE9"/>
    <w:rsid w:val="00157445"/>
    <w:rsid w:val="001575AB"/>
    <w:rsid w:val="00157760"/>
    <w:rsid w:val="00157B8C"/>
    <w:rsid w:val="00157C96"/>
    <w:rsid w:val="00160A03"/>
    <w:rsid w:val="00160C3F"/>
    <w:rsid w:val="00160C4D"/>
    <w:rsid w:val="00160CE3"/>
    <w:rsid w:val="00161702"/>
    <w:rsid w:val="00161AC5"/>
    <w:rsid w:val="00162022"/>
    <w:rsid w:val="0016202E"/>
    <w:rsid w:val="001620E8"/>
    <w:rsid w:val="00162453"/>
    <w:rsid w:val="00162626"/>
    <w:rsid w:val="00162C56"/>
    <w:rsid w:val="0016413C"/>
    <w:rsid w:val="001642D5"/>
    <w:rsid w:val="00164CA0"/>
    <w:rsid w:val="00164FB6"/>
    <w:rsid w:val="001650FE"/>
    <w:rsid w:val="001655B0"/>
    <w:rsid w:val="001655B4"/>
    <w:rsid w:val="001655F0"/>
    <w:rsid w:val="00165695"/>
    <w:rsid w:val="0016571D"/>
    <w:rsid w:val="00165736"/>
    <w:rsid w:val="001659BD"/>
    <w:rsid w:val="001659E9"/>
    <w:rsid w:val="0016613D"/>
    <w:rsid w:val="00166961"/>
    <w:rsid w:val="00166A99"/>
    <w:rsid w:val="00166B54"/>
    <w:rsid w:val="00166B7F"/>
    <w:rsid w:val="00166E75"/>
    <w:rsid w:val="00166FC3"/>
    <w:rsid w:val="00167172"/>
    <w:rsid w:val="00167697"/>
    <w:rsid w:val="0016788F"/>
    <w:rsid w:val="001678DC"/>
    <w:rsid w:val="00167A77"/>
    <w:rsid w:val="00167B77"/>
    <w:rsid w:val="00167C18"/>
    <w:rsid w:val="0017041B"/>
    <w:rsid w:val="001705BD"/>
    <w:rsid w:val="00170609"/>
    <w:rsid w:val="00170759"/>
    <w:rsid w:val="001709F6"/>
    <w:rsid w:val="00170A84"/>
    <w:rsid w:val="00170FE8"/>
    <w:rsid w:val="0017100D"/>
    <w:rsid w:val="001714C4"/>
    <w:rsid w:val="00171709"/>
    <w:rsid w:val="00171736"/>
    <w:rsid w:val="001719DC"/>
    <w:rsid w:val="00171B78"/>
    <w:rsid w:val="00171F52"/>
    <w:rsid w:val="0017278A"/>
    <w:rsid w:val="001731F8"/>
    <w:rsid w:val="00173504"/>
    <w:rsid w:val="001736EE"/>
    <w:rsid w:val="001738EB"/>
    <w:rsid w:val="00173AE7"/>
    <w:rsid w:val="00173BE6"/>
    <w:rsid w:val="00173F9E"/>
    <w:rsid w:val="00174031"/>
    <w:rsid w:val="00174144"/>
    <w:rsid w:val="001745D3"/>
    <w:rsid w:val="00174929"/>
    <w:rsid w:val="0017531D"/>
    <w:rsid w:val="00175832"/>
    <w:rsid w:val="00175908"/>
    <w:rsid w:val="00175B07"/>
    <w:rsid w:val="001760AF"/>
    <w:rsid w:val="0017623C"/>
    <w:rsid w:val="00176569"/>
    <w:rsid w:val="001765B1"/>
    <w:rsid w:val="001766A3"/>
    <w:rsid w:val="00176A18"/>
    <w:rsid w:val="00176C78"/>
    <w:rsid w:val="00176D60"/>
    <w:rsid w:val="00176FAB"/>
    <w:rsid w:val="00177544"/>
    <w:rsid w:val="0017769E"/>
    <w:rsid w:val="0017782F"/>
    <w:rsid w:val="00177EF9"/>
    <w:rsid w:val="0018042E"/>
    <w:rsid w:val="001804CD"/>
    <w:rsid w:val="00180B42"/>
    <w:rsid w:val="00180D2E"/>
    <w:rsid w:val="00180F31"/>
    <w:rsid w:val="00181004"/>
    <w:rsid w:val="001812E2"/>
    <w:rsid w:val="001817C8"/>
    <w:rsid w:val="00181854"/>
    <w:rsid w:val="001819C5"/>
    <w:rsid w:val="00181FA9"/>
    <w:rsid w:val="00182666"/>
    <w:rsid w:val="00182900"/>
    <w:rsid w:val="00183709"/>
    <w:rsid w:val="00183750"/>
    <w:rsid w:val="001844DA"/>
    <w:rsid w:val="00184F1D"/>
    <w:rsid w:val="00185114"/>
    <w:rsid w:val="0018553B"/>
    <w:rsid w:val="00185C20"/>
    <w:rsid w:val="00185D40"/>
    <w:rsid w:val="0018631D"/>
    <w:rsid w:val="00186487"/>
    <w:rsid w:val="0018699B"/>
    <w:rsid w:val="00186F8A"/>
    <w:rsid w:val="001873D4"/>
    <w:rsid w:val="001877D8"/>
    <w:rsid w:val="0018793A"/>
    <w:rsid w:val="00187A70"/>
    <w:rsid w:val="00187BB1"/>
    <w:rsid w:val="00187C58"/>
    <w:rsid w:val="00187CDB"/>
    <w:rsid w:val="00190171"/>
    <w:rsid w:val="001905A1"/>
    <w:rsid w:val="00190606"/>
    <w:rsid w:val="00190876"/>
    <w:rsid w:val="00190C73"/>
    <w:rsid w:val="00190CC6"/>
    <w:rsid w:val="00190DD4"/>
    <w:rsid w:val="00191B7B"/>
    <w:rsid w:val="00191C5D"/>
    <w:rsid w:val="00192083"/>
    <w:rsid w:val="00192383"/>
    <w:rsid w:val="00192F26"/>
    <w:rsid w:val="00193B7B"/>
    <w:rsid w:val="00193CF3"/>
    <w:rsid w:val="00193F5C"/>
    <w:rsid w:val="00194127"/>
    <w:rsid w:val="00194410"/>
    <w:rsid w:val="00194557"/>
    <w:rsid w:val="001948CB"/>
    <w:rsid w:val="00194D95"/>
    <w:rsid w:val="00194D9C"/>
    <w:rsid w:val="00194F99"/>
    <w:rsid w:val="00195377"/>
    <w:rsid w:val="00195A3C"/>
    <w:rsid w:val="00195D18"/>
    <w:rsid w:val="00195E3A"/>
    <w:rsid w:val="0019676F"/>
    <w:rsid w:val="0019683F"/>
    <w:rsid w:val="00196A61"/>
    <w:rsid w:val="00196A8B"/>
    <w:rsid w:val="0019715F"/>
    <w:rsid w:val="001972B1"/>
    <w:rsid w:val="001974D4"/>
    <w:rsid w:val="001975FB"/>
    <w:rsid w:val="001977EC"/>
    <w:rsid w:val="001978AE"/>
    <w:rsid w:val="00197BE4"/>
    <w:rsid w:val="001A0763"/>
    <w:rsid w:val="001A1339"/>
    <w:rsid w:val="001A1527"/>
    <w:rsid w:val="001A1555"/>
    <w:rsid w:val="001A1661"/>
    <w:rsid w:val="001A175F"/>
    <w:rsid w:val="001A19B4"/>
    <w:rsid w:val="001A1B68"/>
    <w:rsid w:val="001A1BB2"/>
    <w:rsid w:val="001A27B9"/>
    <w:rsid w:val="001A2A37"/>
    <w:rsid w:val="001A2B11"/>
    <w:rsid w:val="001A2F36"/>
    <w:rsid w:val="001A2FFF"/>
    <w:rsid w:val="001A31FA"/>
    <w:rsid w:val="001A3496"/>
    <w:rsid w:val="001A381D"/>
    <w:rsid w:val="001A3DFA"/>
    <w:rsid w:val="001A3EF1"/>
    <w:rsid w:val="001A4093"/>
    <w:rsid w:val="001A42CE"/>
    <w:rsid w:val="001A43F6"/>
    <w:rsid w:val="001A453A"/>
    <w:rsid w:val="001A46DA"/>
    <w:rsid w:val="001A4757"/>
    <w:rsid w:val="001A4D97"/>
    <w:rsid w:val="001A4FB3"/>
    <w:rsid w:val="001A501A"/>
    <w:rsid w:val="001A52CF"/>
    <w:rsid w:val="001A5914"/>
    <w:rsid w:val="001A5BFF"/>
    <w:rsid w:val="001A5E41"/>
    <w:rsid w:val="001A6195"/>
    <w:rsid w:val="001A62CD"/>
    <w:rsid w:val="001A639A"/>
    <w:rsid w:val="001A6519"/>
    <w:rsid w:val="001A6715"/>
    <w:rsid w:val="001A6A70"/>
    <w:rsid w:val="001A6F06"/>
    <w:rsid w:val="001A719C"/>
    <w:rsid w:val="001A7C03"/>
    <w:rsid w:val="001A7CE0"/>
    <w:rsid w:val="001A7D50"/>
    <w:rsid w:val="001A7E97"/>
    <w:rsid w:val="001B0F05"/>
    <w:rsid w:val="001B10C5"/>
    <w:rsid w:val="001B12D9"/>
    <w:rsid w:val="001B12FB"/>
    <w:rsid w:val="001B16C8"/>
    <w:rsid w:val="001B1A60"/>
    <w:rsid w:val="001B1CF8"/>
    <w:rsid w:val="001B20B3"/>
    <w:rsid w:val="001B20EC"/>
    <w:rsid w:val="001B3187"/>
    <w:rsid w:val="001B322B"/>
    <w:rsid w:val="001B3587"/>
    <w:rsid w:val="001B364C"/>
    <w:rsid w:val="001B38ED"/>
    <w:rsid w:val="001B3B03"/>
    <w:rsid w:val="001B3C11"/>
    <w:rsid w:val="001B3C27"/>
    <w:rsid w:val="001B3C2A"/>
    <w:rsid w:val="001B4020"/>
    <w:rsid w:val="001B406D"/>
    <w:rsid w:val="001B40C8"/>
    <w:rsid w:val="001B42D3"/>
    <w:rsid w:val="001B5580"/>
    <w:rsid w:val="001B5808"/>
    <w:rsid w:val="001B5AEE"/>
    <w:rsid w:val="001B5E4E"/>
    <w:rsid w:val="001B5EBE"/>
    <w:rsid w:val="001B608F"/>
    <w:rsid w:val="001B6210"/>
    <w:rsid w:val="001B630E"/>
    <w:rsid w:val="001B6498"/>
    <w:rsid w:val="001B6EB6"/>
    <w:rsid w:val="001B700A"/>
    <w:rsid w:val="001B7294"/>
    <w:rsid w:val="001B7AC1"/>
    <w:rsid w:val="001B7C4F"/>
    <w:rsid w:val="001B7CFF"/>
    <w:rsid w:val="001C0985"/>
    <w:rsid w:val="001C0BB4"/>
    <w:rsid w:val="001C0CFC"/>
    <w:rsid w:val="001C0F6D"/>
    <w:rsid w:val="001C12DF"/>
    <w:rsid w:val="001C162D"/>
    <w:rsid w:val="001C19C1"/>
    <w:rsid w:val="001C21C3"/>
    <w:rsid w:val="001C2379"/>
    <w:rsid w:val="001C24D1"/>
    <w:rsid w:val="001C26D4"/>
    <w:rsid w:val="001C29D1"/>
    <w:rsid w:val="001C304B"/>
    <w:rsid w:val="001C3113"/>
    <w:rsid w:val="001C3616"/>
    <w:rsid w:val="001C372A"/>
    <w:rsid w:val="001C38E9"/>
    <w:rsid w:val="001C3A55"/>
    <w:rsid w:val="001C3A64"/>
    <w:rsid w:val="001C3A6B"/>
    <w:rsid w:val="001C42F0"/>
    <w:rsid w:val="001C44CF"/>
    <w:rsid w:val="001C4891"/>
    <w:rsid w:val="001C491E"/>
    <w:rsid w:val="001C51D6"/>
    <w:rsid w:val="001C52EB"/>
    <w:rsid w:val="001C53CD"/>
    <w:rsid w:val="001C5587"/>
    <w:rsid w:val="001C5C58"/>
    <w:rsid w:val="001C5F2F"/>
    <w:rsid w:val="001C6350"/>
    <w:rsid w:val="001C6762"/>
    <w:rsid w:val="001C6A94"/>
    <w:rsid w:val="001C6F75"/>
    <w:rsid w:val="001C7BB7"/>
    <w:rsid w:val="001C7F0D"/>
    <w:rsid w:val="001D00BE"/>
    <w:rsid w:val="001D059B"/>
    <w:rsid w:val="001D0BAA"/>
    <w:rsid w:val="001D194C"/>
    <w:rsid w:val="001D19F8"/>
    <w:rsid w:val="001D1AC6"/>
    <w:rsid w:val="001D1BE1"/>
    <w:rsid w:val="001D1C22"/>
    <w:rsid w:val="001D1CB8"/>
    <w:rsid w:val="001D1EE8"/>
    <w:rsid w:val="001D25F7"/>
    <w:rsid w:val="001D2869"/>
    <w:rsid w:val="001D3504"/>
    <w:rsid w:val="001D3E33"/>
    <w:rsid w:val="001D44A9"/>
    <w:rsid w:val="001D477C"/>
    <w:rsid w:val="001D48C2"/>
    <w:rsid w:val="001D4F72"/>
    <w:rsid w:val="001D5156"/>
    <w:rsid w:val="001D51EE"/>
    <w:rsid w:val="001D553A"/>
    <w:rsid w:val="001D56D8"/>
    <w:rsid w:val="001D5D63"/>
    <w:rsid w:val="001D5E32"/>
    <w:rsid w:val="001D662A"/>
    <w:rsid w:val="001D6674"/>
    <w:rsid w:val="001D68A9"/>
    <w:rsid w:val="001D69F6"/>
    <w:rsid w:val="001D6ED1"/>
    <w:rsid w:val="001D73E9"/>
    <w:rsid w:val="001D7529"/>
    <w:rsid w:val="001D7622"/>
    <w:rsid w:val="001D7849"/>
    <w:rsid w:val="001E0988"/>
    <w:rsid w:val="001E0B4B"/>
    <w:rsid w:val="001E1104"/>
    <w:rsid w:val="001E17EE"/>
    <w:rsid w:val="001E2057"/>
    <w:rsid w:val="001E3126"/>
    <w:rsid w:val="001E342F"/>
    <w:rsid w:val="001E3641"/>
    <w:rsid w:val="001E3BB7"/>
    <w:rsid w:val="001E4075"/>
    <w:rsid w:val="001E4458"/>
    <w:rsid w:val="001E4A4E"/>
    <w:rsid w:val="001E4EC8"/>
    <w:rsid w:val="001E5296"/>
    <w:rsid w:val="001E52D0"/>
    <w:rsid w:val="001E5898"/>
    <w:rsid w:val="001E679C"/>
    <w:rsid w:val="001E6E9B"/>
    <w:rsid w:val="001E74A2"/>
    <w:rsid w:val="001E7571"/>
    <w:rsid w:val="001E79EC"/>
    <w:rsid w:val="001E7C9C"/>
    <w:rsid w:val="001E7D80"/>
    <w:rsid w:val="001F0064"/>
    <w:rsid w:val="001F019D"/>
    <w:rsid w:val="001F02C9"/>
    <w:rsid w:val="001F04C1"/>
    <w:rsid w:val="001F066B"/>
    <w:rsid w:val="001F06CB"/>
    <w:rsid w:val="001F0917"/>
    <w:rsid w:val="001F0E07"/>
    <w:rsid w:val="001F10BF"/>
    <w:rsid w:val="001F1264"/>
    <w:rsid w:val="001F265E"/>
    <w:rsid w:val="001F27EF"/>
    <w:rsid w:val="001F2A08"/>
    <w:rsid w:val="001F2AF4"/>
    <w:rsid w:val="001F2BDD"/>
    <w:rsid w:val="001F2EC3"/>
    <w:rsid w:val="001F3A14"/>
    <w:rsid w:val="001F3F6B"/>
    <w:rsid w:val="001F4031"/>
    <w:rsid w:val="001F4041"/>
    <w:rsid w:val="001F4283"/>
    <w:rsid w:val="001F4BC4"/>
    <w:rsid w:val="001F4FE5"/>
    <w:rsid w:val="001F51FB"/>
    <w:rsid w:val="001F526D"/>
    <w:rsid w:val="001F6640"/>
    <w:rsid w:val="001F668A"/>
    <w:rsid w:val="001F692A"/>
    <w:rsid w:val="001F6A76"/>
    <w:rsid w:val="001F6B79"/>
    <w:rsid w:val="001F70B0"/>
    <w:rsid w:val="001F7219"/>
    <w:rsid w:val="001F7299"/>
    <w:rsid w:val="001F739B"/>
    <w:rsid w:val="001F74EC"/>
    <w:rsid w:val="001F7675"/>
    <w:rsid w:val="001F78C4"/>
    <w:rsid w:val="001F7A57"/>
    <w:rsid w:val="001F7BE1"/>
    <w:rsid w:val="001F7FE3"/>
    <w:rsid w:val="0020001D"/>
    <w:rsid w:val="00200066"/>
    <w:rsid w:val="0020021E"/>
    <w:rsid w:val="00200541"/>
    <w:rsid w:val="00200846"/>
    <w:rsid w:val="002008F6"/>
    <w:rsid w:val="00200ACA"/>
    <w:rsid w:val="00200FAF"/>
    <w:rsid w:val="0020101A"/>
    <w:rsid w:val="002012D2"/>
    <w:rsid w:val="002014B8"/>
    <w:rsid w:val="002014D6"/>
    <w:rsid w:val="00201CE7"/>
    <w:rsid w:val="0020209C"/>
    <w:rsid w:val="00202205"/>
    <w:rsid w:val="002025B5"/>
    <w:rsid w:val="00202618"/>
    <w:rsid w:val="0020266D"/>
    <w:rsid w:val="00202F0E"/>
    <w:rsid w:val="002032D7"/>
    <w:rsid w:val="002035D3"/>
    <w:rsid w:val="00203771"/>
    <w:rsid w:val="00203EAB"/>
    <w:rsid w:val="00203EED"/>
    <w:rsid w:val="0020407D"/>
    <w:rsid w:val="002048E5"/>
    <w:rsid w:val="00205930"/>
    <w:rsid w:val="00206439"/>
    <w:rsid w:val="00206457"/>
    <w:rsid w:val="00206A85"/>
    <w:rsid w:val="00206B8C"/>
    <w:rsid w:val="00206B91"/>
    <w:rsid w:val="00206F96"/>
    <w:rsid w:val="00207716"/>
    <w:rsid w:val="00210012"/>
    <w:rsid w:val="002103DD"/>
    <w:rsid w:val="00210665"/>
    <w:rsid w:val="00210E29"/>
    <w:rsid w:val="002116E1"/>
    <w:rsid w:val="00211AEA"/>
    <w:rsid w:val="00211DBE"/>
    <w:rsid w:val="00211E03"/>
    <w:rsid w:val="00211E9E"/>
    <w:rsid w:val="002122ED"/>
    <w:rsid w:val="002129BF"/>
    <w:rsid w:val="00212C2D"/>
    <w:rsid w:val="002136A6"/>
    <w:rsid w:val="00213AAA"/>
    <w:rsid w:val="0021490D"/>
    <w:rsid w:val="00214A82"/>
    <w:rsid w:val="00214C79"/>
    <w:rsid w:val="00214D19"/>
    <w:rsid w:val="00214DE3"/>
    <w:rsid w:val="00215003"/>
    <w:rsid w:val="002152D9"/>
    <w:rsid w:val="00215812"/>
    <w:rsid w:val="00215CD2"/>
    <w:rsid w:val="00215D95"/>
    <w:rsid w:val="002164C7"/>
    <w:rsid w:val="0021683B"/>
    <w:rsid w:val="00216A24"/>
    <w:rsid w:val="00216A67"/>
    <w:rsid w:val="00216AC5"/>
    <w:rsid w:val="002170B5"/>
    <w:rsid w:val="00217308"/>
    <w:rsid w:val="002173B6"/>
    <w:rsid w:val="00217568"/>
    <w:rsid w:val="00217608"/>
    <w:rsid w:val="002176E7"/>
    <w:rsid w:val="00217885"/>
    <w:rsid w:val="002178E0"/>
    <w:rsid w:val="00217AF0"/>
    <w:rsid w:val="00217B22"/>
    <w:rsid w:val="00217C37"/>
    <w:rsid w:val="00217D57"/>
    <w:rsid w:val="00217E5F"/>
    <w:rsid w:val="00220199"/>
    <w:rsid w:val="00221008"/>
    <w:rsid w:val="00221168"/>
    <w:rsid w:val="00221460"/>
    <w:rsid w:val="00221936"/>
    <w:rsid w:val="002222EC"/>
    <w:rsid w:val="00222562"/>
    <w:rsid w:val="00222611"/>
    <w:rsid w:val="0022269C"/>
    <w:rsid w:val="00223048"/>
    <w:rsid w:val="002230B3"/>
    <w:rsid w:val="00223499"/>
    <w:rsid w:val="00223525"/>
    <w:rsid w:val="00223BD2"/>
    <w:rsid w:val="002243B2"/>
    <w:rsid w:val="00224558"/>
    <w:rsid w:val="002250B5"/>
    <w:rsid w:val="00225968"/>
    <w:rsid w:val="00226AC8"/>
    <w:rsid w:val="00226B8B"/>
    <w:rsid w:val="00227007"/>
    <w:rsid w:val="00227831"/>
    <w:rsid w:val="00227D77"/>
    <w:rsid w:val="00227D9A"/>
    <w:rsid w:val="00227EE4"/>
    <w:rsid w:val="0023026E"/>
    <w:rsid w:val="002306DA"/>
    <w:rsid w:val="002308E6"/>
    <w:rsid w:val="00230AC9"/>
    <w:rsid w:val="00230ADF"/>
    <w:rsid w:val="00230D85"/>
    <w:rsid w:val="00230ED9"/>
    <w:rsid w:val="002313E1"/>
    <w:rsid w:val="0023181D"/>
    <w:rsid w:val="0023182B"/>
    <w:rsid w:val="00231D41"/>
    <w:rsid w:val="00232009"/>
    <w:rsid w:val="00232690"/>
    <w:rsid w:val="00232775"/>
    <w:rsid w:val="002328B4"/>
    <w:rsid w:val="00232CE9"/>
    <w:rsid w:val="00233281"/>
    <w:rsid w:val="00233467"/>
    <w:rsid w:val="002337E3"/>
    <w:rsid w:val="00233F46"/>
    <w:rsid w:val="002344C2"/>
    <w:rsid w:val="00234984"/>
    <w:rsid w:val="00234F01"/>
    <w:rsid w:val="002351A0"/>
    <w:rsid w:val="00235925"/>
    <w:rsid w:val="00235CCC"/>
    <w:rsid w:val="00236081"/>
    <w:rsid w:val="00236831"/>
    <w:rsid w:val="00236B8C"/>
    <w:rsid w:val="00236D6E"/>
    <w:rsid w:val="00236DF8"/>
    <w:rsid w:val="00236F7D"/>
    <w:rsid w:val="00237301"/>
    <w:rsid w:val="00237491"/>
    <w:rsid w:val="002375C3"/>
    <w:rsid w:val="00237742"/>
    <w:rsid w:val="002377CA"/>
    <w:rsid w:val="00237E30"/>
    <w:rsid w:val="002401AA"/>
    <w:rsid w:val="002403AB"/>
    <w:rsid w:val="00240540"/>
    <w:rsid w:val="002406C1"/>
    <w:rsid w:val="00240970"/>
    <w:rsid w:val="002413F9"/>
    <w:rsid w:val="002418C5"/>
    <w:rsid w:val="00241952"/>
    <w:rsid w:val="00241CE5"/>
    <w:rsid w:val="00242508"/>
    <w:rsid w:val="002428CD"/>
    <w:rsid w:val="00242E99"/>
    <w:rsid w:val="0024358F"/>
    <w:rsid w:val="002436C3"/>
    <w:rsid w:val="0024378C"/>
    <w:rsid w:val="00243B48"/>
    <w:rsid w:val="002442D2"/>
    <w:rsid w:val="002446F5"/>
    <w:rsid w:val="002452CD"/>
    <w:rsid w:val="00245778"/>
    <w:rsid w:val="00245803"/>
    <w:rsid w:val="002459A7"/>
    <w:rsid w:val="00245CD4"/>
    <w:rsid w:val="002461A0"/>
    <w:rsid w:val="00246381"/>
    <w:rsid w:val="0024647E"/>
    <w:rsid w:val="00246488"/>
    <w:rsid w:val="002464D6"/>
    <w:rsid w:val="00246D42"/>
    <w:rsid w:val="002474BB"/>
    <w:rsid w:val="00247547"/>
    <w:rsid w:val="0024757C"/>
    <w:rsid w:val="0024791E"/>
    <w:rsid w:val="00247DA9"/>
    <w:rsid w:val="00247EEF"/>
    <w:rsid w:val="00250008"/>
    <w:rsid w:val="00250197"/>
    <w:rsid w:val="00250199"/>
    <w:rsid w:val="00250BBC"/>
    <w:rsid w:val="0025166D"/>
    <w:rsid w:val="002517D6"/>
    <w:rsid w:val="00251857"/>
    <w:rsid w:val="00251CAD"/>
    <w:rsid w:val="00251CDB"/>
    <w:rsid w:val="00251F27"/>
    <w:rsid w:val="0025288D"/>
    <w:rsid w:val="0025295F"/>
    <w:rsid w:val="00252CAC"/>
    <w:rsid w:val="00252F03"/>
    <w:rsid w:val="00254068"/>
    <w:rsid w:val="00254132"/>
    <w:rsid w:val="002541F1"/>
    <w:rsid w:val="0025437F"/>
    <w:rsid w:val="002543B7"/>
    <w:rsid w:val="002543E4"/>
    <w:rsid w:val="0025491D"/>
    <w:rsid w:val="00254C66"/>
    <w:rsid w:val="00254F01"/>
    <w:rsid w:val="00255EE8"/>
    <w:rsid w:val="00255FCE"/>
    <w:rsid w:val="00256194"/>
    <w:rsid w:val="002561EB"/>
    <w:rsid w:val="002562FC"/>
    <w:rsid w:val="0025655B"/>
    <w:rsid w:val="00256DF7"/>
    <w:rsid w:val="0025779A"/>
    <w:rsid w:val="0025779D"/>
    <w:rsid w:val="0026029A"/>
    <w:rsid w:val="00260D15"/>
    <w:rsid w:val="00260E67"/>
    <w:rsid w:val="00260F20"/>
    <w:rsid w:val="00261176"/>
    <w:rsid w:val="00261393"/>
    <w:rsid w:val="002613DB"/>
    <w:rsid w:val="002618A3"/>
    <w:rsid w:val="00262123"/>
    <w:rsid w:val="00262646"/>
    <w:rsid w:val="00262D2B"/>
    <w:rsid w:val="002636FF"/>
    <w:rsid w:val="002645DA"/>
    <w:rsid w:val="00264E7D"/>
    <w:rsid w:val="002657DE"/>
    <w:rsid w:val="002664C8"/>
    <w:rsid w:val="00266664"/>
    <w:rsid w:val="00266C14"/>
    <w:rsid w:val="00266FD1"/>
    <w:rsid w:val="00267219"/>
    <w:rsid w:val="002676F0"/>
    <w:rsid w:val="002678EF"/>
    <w:rsid w:val="00270446"/>
    <w:rsid w:val="002709C0"/>
    <w:rsid w:val="00270D16"/>
    <w:rsid w:val="00270ED1"/>
    <w:rsid w:val="0027103B"/>
    <w:rsid w:val="0027108A"/>
    <w:rsid w:val="0027121E"/>
    <w:rsid w:val="00271908"/>
    <w:rsid w:val="002719B4"/>
    <w:rsid w:val="00271DA3"/>
    <w:rsid w:val="00272180"/>
    <w:rsid w:val="00272224"/>
    <w:rsid w:val="0027239D"/>
    <w:rsid w:val="00272821"/>
    <w:rsid w:val="00272AB6"/>
    <w:rsid w:val="00272F4D"/>
    <w:rsid w:val="0027343A"/>
    <w:rsid w:val="0027364E"/>
    <w:rsid w:val="00273CD5"/>
    <w:rsid w:val="00274631"/>
    <w:rsid w:val="00274945"/>
    <w:rsid w:val="00274BBF"/>
    <w:rsid w:val="0027520A"/>
    <w:rsid w:val="00275496"/>
    <w:rsid w:val="0027561D"/>
    <w:rsid w:val="0027585D"/>
    <w:rsid w:val="00275FB4"/>
    <w:rsid w:val="00276E24"/>
    <w:rsid w:val="002772ED"/>
    <w:rsid w:val="00277358"/>
    <w:rsid w:val="00277383"/>
    <w:rsid w:val="0027787A"/>
    <w:rsid w:val="00277E59"/>
    <w:rsid w:val="00277F37"/>
    <w:rsid w:val="00277FA6"/>
    <w:rsid w:val="002803B0"/>
    <w:rsid w:val="0028083E"/>
    <w:rsid w:val="002808C0"/>
    <w:rsid w:val="00280A17"/>
    <w:rsid w:val="002810C1"/>
    <w:rsid w:val="0028153E"/>
    <w:rsid w:val="00281667"/>
    <w:rsid w:val="00281697"/>
    <w:rsid w:val="00281FAA"/>
    <w:rsid w:val="00281FDB"/>
    <w:rsid w:val="0028231C"/>
    <w:rsid w:val="002823E7"/>
    <w:rsid w:val="002824CF"/>
    <w:rsid w:val="002832D4"/>
    <w:rsid w:val="00283478"/>
    <w:rsid w:val="00283911"/>
    <w:rsid w:val="00283CB0"/>
    <w:rsid w:val="00283F18"/>
    <w:rsid w:val="00283F7A"/>
    <w:rsid w:val="00283F89"/>
    <w:rsid w:val="00284054"/>
    <w:rsid w:val="00284309"/>
    <w:rsid w:val="0028484C"/>
    <w:rsid w:val="00284A2D"/>
    <w:rsid w:val="00284AC3"/>
    <w:rsid w:val="00284BAB"/>
    <w:rsid w:val="00284BEB"/>
    <w:rsid w:val="00285217"/>
    <w:rsid w:val="00285391"/>
    <w:rsid w:val="00285468"/>
    <w:rsid w:val="00285C95"/>
    <w:rsid w:val="00285DB7"/>
    <w:rsid w:val="0028600C"/>
    <w:rsid w:val="00286614"/>
    <w:rsid w:val="0028663B"/>
    <w:rsid w:val="002872FD"/>
    <w:rsid w:val="002873A1"/>
    <w:rsid w:val="00287719"/>
    <w:rsid w:val="00287779"/>
    <w:rsid w:val="002879F7"/>
    <w:rsid w:val="00287E8A"/>
    <w:rsid w:val="00290279"/>
    <w:rsid w:val="00290C6C"/>
    <w:rsid w:val="002910D9"/>
    <w:rsid w:val="00291C64"/>
    <w:rsid w:val="00291ECE"/>
    <w:rsid w:val="00292281"/>
    <w:rsid w:val="002922FD"/>
    <w:rsid w:val="002928CE"/>
    <w:rsid w:val="00292D97"/>
    <w:rsid w:val="00293126"/>
    <w:rsid w:val="002931D4"/>
    <w:rsid w:val="00293C95"/>
    <w:rsid w:val="00293CD8"/>
    <w:rsid w:val="002941AC"/>
    <w:rsid w:val="00294DEF"/>
    <w:rsid w:val="00295028"/>
    <w:rsid w:val="00295262"/>
    <w:rsid w:val="002955A7"/>
    <w:rsid w:val="002958D3"/>
    <w:rsid w:val="00295902"/>
    <w:rsid w:val="00295BB7"/>
    <w:rsid w:val="00295F1E"/>
    <w:rsid w:val="00295FEA"/>
    <w:rsid w:val="00296333"/>
    <w:rsid w:val="00296462"/>
    <w:rsid w:val="0029646F"/>
    <w:rsid w:val="00296630"/>
    <w:rsid w:val="00296802"/>
    <w:rsid w:val="002968A9"/>
    <w:rsid w:val="00296B5F"/>
    <w:rsid w:val="00296BAF"/>
    <w:rsid w:val="00296FDD"/>
    <w:rsid w:val="0029703E"/>
    <w:rsid w:val="002970D6"/>
    <w:rsid w:val="002970ED"/>
    <w:rsid w:val="00297669"/>
    <w:rsid w:val="00297711"/>
    <w:rsid w:val="00297BDD"/>
    <w:rsid w:val="00297D57"/>
    <w:rsid w:val="002A005D"/>
    <w:rsid w:val="002A0275"/>
    <w:rsid w:val="002A0C6D"/>
    <w:rsid w:val="002A0DC3"/>
    <w:rsid w:val="002A113E"/>
    <w:rsid w:val="002A13AA"/>
    <w:rsid w:val="002A1658"/>
    <w:rsid w:val="002A1691"/>
    <w:rsid w:val="002A1C66"/>
    <w:rsid w:val="002A1C73"/>
    <w:rsid w:val="002A2277"/>
    <w:rsid w:val="002A27A0"/>
    <w:rsid w:val="002A3751"/>
    <w:rsid w:val="002A38A0"/>
    <w:rsid w:val="002A3F2C"/>
    <w:rsid w:val="002A4093"/>
    <w:rsid w:val="002A4128"/>
    <w:rsid w:val="002A4668"/>
    <w:rsid w:val="002A48F7"/>
    <w:rsid w:val="002A4A88"/>
    <w:rsid w:val="002A5138"/>
    <w:rsid w:val="002A5147"/>
    <w:rsid w:val="002A552B"/>
    <w:rsid w:val="002A55E2"/>
    <w:rsid w:val="002A56EA"/>
    <w:rsid w:val="002A57FC"/>
    <w:rsid w:val="002A5875"/>
    <w:rsid w:val="002A59D9"/>
    <w:rsid w:val="002A6072"/>
    <w:rsid w:val="002A64C7"/>
    <w:rsid w:val="002A6761"/>
    <w:rsid w:val="002A6BD3"/>
    <w:rsid w:val="002A6DA7"/>
    <w:rsid w:val="002A72AF"/>
    <w:rsid w:val="002A72DE"/>
    <w:rsid w:val="002A75FA"/>
    <w:rsid w:val="002A7722"/>
    <w:rsid w:val="002A7C62"/>
    <w:rsid w:val="002A7FD3"/>
    <w:rsid w:val="002B0125"/>
    <w:rsid w:val="002B0601"/>
    <w:rsid w:val="002B0C0C"/>
    <w:rsid w:val="002B0D66"/>
    <w:rsid w:val="002B10C1"/>
    <w:rsid w:val="002B10D7"/>
    <w:rsid w:val="002B1B71"/>
    <w:rsid w:val="002B1C28"/>
    <w:rsid w:val="002B1D1D"/>
    <w:rsid w:val="002B2009"/>
    <w:rsid w:val="002B20ED"/>
    <w:rsid w:val="002B23C6"/>
    <w:rsid w:val="002B2526"/>
    <w:rsid w:val="002B28AE"/>
    <w:rsid w:val="002B2EDF"/>
    <w:rsid w:val="002B2FC0"/>
    <w:rsid w:val="002B2FD5"/>
    <w:rsid w:val="002B30EB"/>
    <w:rsid w:val="002B31A3"/>
    <w:rsid w:val="002B336E"/>
    <w:rsid w:val="002B34B2"/>
    <w:rsid w:val="002B38F1"/>
    <w:rsid w:val="002B3C01"/>
    <w:rsid w:val="002B3D58"/>
    <w:rsid w:val="002B435F"/>
    <w:rsid w:val="002B43A2"/>
    <w:rsid w:val="002B43C9"/>
    <w:rsid w:val="002B5110"/>
    <w:rsid w:val="002B51FD"/>
    <w:rsid w:val="002B5479"/>
    <w:rsid w:val="002B5C09"/>
    <w:rsid w:val="002B602B"/>
    <w:rsid w:val="002B64DB"/>
    <w:rsid w:val="002B6B56"/>
    <w:rsid w:val="002B6C12"/>
    <w:rsid w:val="002B72BD"/>
    <w:rsid w:val="002B7E68"/>
    <w:rsid w:val="002B7FAB"/>
    <w:rsid w:val="002C002D"/>
    <w:rsid w:val="002C029E"/>
    <w:rsid w:val="002C02C7"/>
    <w:rsid w:val="002C0380"/>
    <w:rsid w:val="002C077D"/>
    <w:rsid w:val="002C0931"/>
    <w:rsid w:val="002C10CE"/>
    <w:rsid w:val="002C1246"/>
    <w:rsid w:val="002C1393"/>
    <w:rsid w:val="002C179E"/>
    <w:rsid w:val="002C1B55"/>
    <w:rsid w:val="002C1C98"/>
    <w:rsid w:val="002C1ED9"/>
    <w:rsid w:val="002C2AC0"/>
    <w:rsid w:val="002C362D"/>
    <w:rsid w:val="002C3BCC"/>
    <w:rsid w:val="002C420F"/>
    <w:rsid w:val="002C426A"/>
    <w:rsid w:val="002C47BE"/>
    <w:rsid w:val="002C48CD"/>
    <w:rsid w:val="002C4ACD"/>
    <w:rsid w:val="002C51FF"/>
    <w:rsid w:val="002C5267"/>
    <w:rsid w:val="002C5815"/>
    <w:rsid w:val="002C5863"/>
    <w:rsid w:val="002C5BCB"/>
    <w:rsid w:val="002C5C27"/>
    <w:rsid w:val="002C5EC5"/>
    <w:rsid w:val="002C6327"/>
    <w:rsid w:val="002C656E"/>
    <w:rsid w:val="002C686F"/>
    <w:rsid w:val="002C6B91"/>
    <w:rsid w:val="002C6BA2"/>
    <w:rsid w:val="002C6CA2"/>
    <w:rsid w:val="002C6F2A"/>
    <w:rsid w:val="002C70B9"/>
    <w:rsid w:val="002C716C"/>
    <w:rsid w:val="002C78F7"/>
    <w:rsid w:val="002C7C1C"/>
    <w:rsid w:val="002D02AE"/>
    <w:rsid w:val="002D06D3"/>
    <w:rsid w:val="002D074A"/>
    <w:rsid w:val="002D0A34"/>
    <w:rsid w:val="002D13A2"/>
    <w:rsid w:val="002D1513"/>
    <w:rsid w:val="002D1592"/>
    <w:rsid w:val="002D1932"/>
    <w:rsid w:val="002D194C"/>
    <w:rsid w:val="002D1A4A"/>
    <w:rsid w:val="002D202D"/>
    <w:rsid w:val="002D219F"/>
    <w:rsid w:val="002D2442"/>
    <w:rsid w:val="002D26ED"/>
    <w:rsid w:val="002D2901"/>
    <w:rsid w:val="002D2BDD"/>
    <w:rsid w:val="002D2D26"/>
    <w:rsid w:val="002D2F9B"/>
    <w:rsid w:val="002D3267"/>
    <w:rsid w:val="002D33E0"/>
    <w:rsid w:val="002D3400"/>
    <w:rsid w:val="002D3674"/>
    <w:rsid w:val="002D4119"/>
    <w:rsid w:val="002D424E"/>
    <w:rsid w:val="002D432D"/>
    <w:rsid w:val="002D4FCA"/>
    <w:rsid w:val="002D53FA"/>
    <w:rsid w:val="002D5439"/>
    <w:rsid w:val="002D5710"/>
    <w:rsid w:val="002D57DD"/>
    <w:rsid w:val="002D582F"/>
    <w:rsid w:val="002D5B8B"/>
    <w:rsid w:val="002D5BE6"/>
    <w:rsid w:val="002D655C"/>
    <w:rsid w:val="002D69C3"/>
    <w:rsid w:val="002D6EB1"/>
    <w:rsid w:val="002D7226"/>
    <w:rsid w:val="002D779F"/>
    <w:rsid w:val="002D77A7"/>
    <w:rsid w:val="002D7C5E"/>
    <w:rsid w:val="002E070D"/>
    <w:rsid w:val="002E073E"/>
    <w:rsid w:val="002E0DCF"/>
    <w:rsid w:val="002E1352"/>
    <w:rsid w:val="002E1417"/>
    <w:rsid w:val="002E1873"/>
    <w:rsid w:val="002E2774"/>
    <w:rsid w:val="002E27E7"/>
    <w:rsid w:val="002E29CE"/>
    <w:rsid w:val="002E2B15"/>
    <w:rsid w:val="002E30EE"/>
    <w:rsid w:val="002E3651"/>
    <w:rsid w:val="002E367B"/>
    <w:rsid w:val="002E43EB"/>
    <w:rsid w:val="002E44A8"/>
    <w:rsid w:val="002E4627"/>
    <w:rsid w:val="002E4B6E"/>
    <w:rsid w:val="002E4E4E"/>
    <w:rsid w:val="002E5146"/>
    <w:rsid w:val="002E5748"/>
    <w:rsid w:val="002E57CF"/>
    <w:rsid w:val="002E595A"/>
    <w:rsid w:val="002E5991"/>
    <w:rsid w:val="002E5CE7"/>
    <w:rsid w:val="002E64B4"/>
    <w:rsid w:val="002E64FC"/>
    <w:rsid w:val="002E701E"/>
    <w:rsid w:val="002E7020"/>
    <w:rsid w:val="002E73C6"/>
    <w:rsid w:val="002E7CC8"/>
    <w:rsid w:val="002F0135"/>
    <w:rsid w:val="002F0446"/>
    <w:rsid w:val="002F0A87"/>
    <w:rsid w:val="002F0EA1"/>
    <w:rsid w:val="002F2242"/>
    <w:rsid w:val="002F244C"/>
    <w:rsid w:val="002F24CE"/>
    <w:rsid w:val="002F24D8"/>
    <w:rsid w:val="002F27FC"/>
    <w:rsid w:val="002F299B"/>
    <w:rsid w:val="002F2A3F"/>
    <w:rsid w:val="002F2C51"/>
    <w:rsid w:val="002F3890"/>
    <w:rsid w:val="002F3B20"/>
    <w:rsid w:val="002F4ABE"/>
    <w:rsid w:val="002F4AE9"/>
    <w:rsid w:val="002F51E1"/>
    <w:rsid w:val="002F561B"/>
    <w:rsid w:val="002F5B3D"/>
    <w:rsid w:val="002F697E"/>
    <w:rsid w:val="002F6A2E"/>
    <w:rsid w:val="002F6B4E"/>
    <w:rsid w:val="002F73AB"/>
    <w:rsid w:val="002F73AD"/>
    <w:rsid w:val="00300059"/>
    <w:rsid w:val="00300393"/>
    <w:rsid w:val="00300520"/>
    <w:rsid w:val="00300AE4"/>
    <w:rsid w:val="00300C62"/>
    <w:rsid w:val="00301756"/>
    <w:rsid w:val="0030185F"/>
    <w:rsid w:val="00302229"/>
    <w:rsid w:val="00302636"/>
    <w:rsid w:val="0030267A"/>
    <w:rsid w:val="00302715"/>
    <w:rsid w:val="00302957"/>
    <w:rsid w:val="00302C9E"/>
    <w:rsid w:val="003034DA"/>
    <w:rsid w:val="0030355A"/>
    <w:rsid w:val="00303866"/>
    <w:rsid w:val="00303CC6"/>
    <w:rsid w:val="00303CF1"/>
    <w:rsid w:val="0030453B"/>
    <w:rsid w:val="00304577"/>
    <w:rsid w:val="00304656"/>
    <w:rsid w:val="003048BD"/>
    <w:rsid w:val="00304ABA"/>
    <w:rsid w:val="00304C1B"/>
    <w:rsid w:val="00304D42"/>
    <w:rsid w:val="0030564B"/>
    <w:rsid w:val="00305A04"/>
    <w:rsid w:val="00305AD9"/>
    <w:rsid w:val="00305F70"/>
    <w:rsid w:val="00306641"/>
    <w:rsid w:val="003069A8"/>
    <w:rsid w:val="0030711A"/>
    <w:rsid w:val="003073A2"/>
    <w:rsid w:val="003078C4"/>
    <w:rsid w:val="00307E91"/>
    <w:rsid w:val="003102EC"/>
    <w:rsid w:val="00310786"/>
    <w:rsid w:val="003111E6"/>
    <w:rsid w:val="00311634"/>
    <w:rsid w:val="003117DF"/>
    <w:rsid w:val="00311D65"/>
    <w:rsid w:val="0031223E"/>
    <w:rsid w:val="00312ECF"/>
    <w:rsid w:val="00313BDB"/>
    <w:rsid w:val="00314148"/>
    <w:rsid w:val="00314648"/>
    <w:rsid w:val="0031470E"/>
    <w:rsid w:val="00314B94"/>
    <w:rsid w:val="0031590F"/>
    <w:rsid w:val="00315B98"/>
    <w:rsid w:val="00315BBF"/>
    <w:rsid w:val="00316376"/>
    <w:rsid w:val="003163DD"/>
    <w:rsid w:val="00316455"/>
    <w:rsid w:val="003168F4"/>
    <w:rsid w:val="00316FBB"/>
    <w:rsid w:val="00317A0A"/>
    <w:rsid w:val="00317AE6"/>
    <w:rsid w:val="00317CEC"/>
    <w:rsid w:val="0032048A"/>
    <w:rsid w:val="003206E0"/>
    <w:rsid w:val="003209CB"/>
    <w:rsid w:val="00320BAD"/>
    <w:rsid w:val="00320D0B"/>
    <w:rsid w:val="00320FE8"/>
    <w:rsid w:val="0032121F"/>
    <w:rsid w:val="00321788"/>
    <w:rsid w:val="00321BE4"/>
    <w:rsid w:val="00322892"/>
    <w:rsid w:val="0032292D"/>
    <w:rsid w:val="0032298C"/>
    <w:rsid w:val="003237A6"/>
    <w:rsid w:val="0032395B"/>
    <w:rsid w:val="00323C16"/>
    <w:rsid w:val="00323C42"/>
    <w:rsid w:val="00323E89"/>
    <w:rsid w:val="00324107"/>
    <w:rsid w:val="00324521"/>
    <w:rsid w:val="003247C9"/>
    <w:rsid w:val="00324E8B"/>
    <w:rsid w:val="00325027"/>
    <w:rsid w:val="0032527A"/>
    <w:rsid w:val="00325376"/>
    <w:rsid w:val="003253C8"/>
    <w:rsid w:val="00325C4E"/>
    <w:rsid w:val="00325D50"/>
    <w:rsid w:val="00325E0B"/>
    <w:rsid w:val="00325E3B"/>
    <w:rsid w:val="00326A49"/>
    <w:rsid w:val="00326D45"/>
    <w:rsid w:val="0032718E"/>
    <w:rsid w:val="003271F0"/>
    <w:rsid w:val="00327D5E"/>
    <w:rsid w:val="003304C7"/>
    <w:rsid w:val="00330516"/>
    <w:rsid w:val="00330519"/>
    <w:rsid w:val="003309C5"/>
    <w:rsid w:val="00330CB0"/>
    <w:rsid w:val="003316AF"/>
    <w:rsid w:val="00331E19"/>
    <w:rsid w:val="00332332"/>
    <w:rsid w:val="0033241E"/>
    <w:rsid w:val="003324DE"/>
    <w:rsid w:val="003326CC"/>
    <w:rsid w:val="003327C5"/>
    <w:rsid w:val="003328E3"/>
    <w:rsid w:val="00332D03"/>
    <w:rsid w:val="0033305D"/>
    <w:rsid w:val="003339B9"/>
    <w:rsid w:val="00333F11"/>
    <w:rsid w:val="0033402E"/>
    <w:rsid w:val="0033461F"/>
    <w:rsid w:val="003349B3"/>
    <w:rsid w:val="00334CFD"/>
    <w:rsid w:val="00334E1E"/>
    <w:rsid w:val="00335004"/>
    <w:rsid w:val="0033521F"/>
    <w:rsid w:val="00335FB8"/>
    <w:rsid w:val="00336166"/>
    <w:rsid w:val="003361B1"/>
    <w:rsid w:val="00336E33"/>
    <w:rsid w:val="00336EBB"/>
    <w:rsid w:val="0033762D"/>
    <w:rsid w:val="003379BA"/>
    <w:rsid w:val="00340303"/>
    <w:rsid w:val="0034038D"/>
    <w:rsid w:val="0034089C"/>
    <w:rsid w:val="00340BEA"/>
    <w:rsid w:val="00340F89"/>
    <w:rsid w:val="00341B3D"/>
    <w:rsid w:val="00341B8F"/>
    <w:rsid w:val="00341CA3"/>
    <w:rsid w:val="00341E5D"/>
    <w:rsid w:val="003420C4"/>
    <w:rsid w:val="00342233"/>
    <w:rsid w:val="00342728"/>
    <w:rsid w:val="00342C76"/>
    <w:rsid w:val="00342D6B"/>
    <w:rsid w:val="00343340"/>
    <w:rsid w:val="00343361"/>
    <w:rsid w:val="00343912"/>
    <w:rsid w:val="00343C82"/>
    <w:rsid w:val="0034409F"/>
    <w:rsid w:val="00344407"/>
    <w:rsid w:val="00344B74"/>
    <w:rsid w:val="00344C48"/>
    <w:rsid w:val="00344F44"/>
    <w:rsid w:val="00344FE7"/>
    <w:rsid w:val="00345955"/>
    <w:rsid w:val="00345C33"/>
    <w:rsid w:val="00345FAA"/>
    <w:rsid w:val="00346459"/>
    <w:rsid w:val="0034649F"/>
    <w:rsid w:val="003468F1"/>
    <w:rsid w:val="00346C32"/>
    <w:rsid w:val="00347072"/>
    <w:rsid w:val="00347414"/>
    <w:rsid w:val="003475C1"/>
    <w:rsid w:val="00347782"/>
    <w:rsid w:val="003479AF"/>
    <w:rsid w:val="00350390"/>
    <w:rsid w:val="003508FF"/>
    <w:rsid w:val="00350B83"/>
    <w:rsid w:val="00350E61"/>
    <w:rsid w:val="003512E5"/>
    <w:rsid w:val="0035147C"/>
    <w:rsid w:val="00351B63"/>
    <w:rsid w:val="00352144"/>
    <w:rsid w:val="003523AB"/>
    <w:rsid w:val="00352581"/>
    <w:rsid w:val="00352EA7"/>
    <w:rsid w:val="00353DAF"/>
    <w:rsid w:val="0035474A"/>
    <w:rsid w:val="00354CC4"/>
    <w:rsid w:val="00354D0C"/>
    <w:rsid w:val="00354DAE"/>
    <w:rsid w:val="00355241"/>
    <w:rsid w:val="0035528E"/>
    <w:rsid w:val="0035578E"/>
    <w:rsid w:val="00355825"/>
    <w:rsid w:val="00355A16"/>
    <w:rsid w:val="00355B51"/>
    <w:rsid w:val="00356626"/>
    <w:rsid w:val="00357023"/>
    <w:rsid w:val="003574E3"/>
    <w:rsid w:val="003575E6"/>
    <w:rsid w:val="00357E81"/>
    <w:rsid w:val="0036014A"/>
    <w:rsid w:val="00360153"/>
    <w:rsid w:val="00360316"/>
    <w:rsid w:val="00360AE9"/>
    <w:rsid w:val="00360F70"/>
    <w:rsid w:val="003610ED"/>
    <w:rsid w:val="00361DC0"/>
    <w:rsid w:val="00361F12"/>
    <w:rsid w:val="00362096"/>
    <w:rsid w:val="003620D8"/>
    <w:rsid w:val="00362421"/>
    <w:rsid w:val="00362C25"/>
    <w:rsid w:val="003630CC"/>
    <w:rsid w:val="0036312D"/>
    <w:rsid w:val="003634C1"/>
    <w:rsid w:val="00363BA7"/>
    <w:rsid w:val="0036427D"/>
    <w:rsid w:val="00364875"/>
    <w:rsid w:val="00364C1A"/>
    <w:rsid w:val="00365813"/>
    <w:rsid w:val="00365B22"/>
    <w:rsid w:val="00365B95"/>
    <w:rsid w:val="003661C5"/>
    <w:rsid w:val="003662E5"/>
    <w:rsid w:val="003666DC"/>
    <w:rsid w:val="00366B6A"/>
    <w:rsid w:val="00366D64"/>
    <w:rsid w:val="00367233"/>
    <w:rsid w:val="0036771C"/>
    <w:rsid w:val="0036792E"/>
    <w:rsid w:val="00367A5E"/>
    <w:rsid w:val="00367B65"/>
    <w:rsid w:val="00367BB1"/>
    <w:rsid w:val="00367D24"/>
    <w:rsid w:val="0037050D"/>
    <w:rsid w:val="003709D5"/>
    <w:rsid w:val="00370AA8"/>
    <w:rsid w:val="00370AE9"/>
    <w:rsid w:val="00370C38"/>
    <w:rsid w:val="00371254"/>
    <w:rsid w:val="003713AE"/>
    <w:rsid w:val="0037198B"/>
    <w:rsid w:val="003719D1"/>
    <w:rsid w:val="0037277E"/>
    <w:rsid w:val="0037294B"/>
    <w:rsid w:val="003729AD"/>
    <w:rsid w:val="00372E11"/>
    <w:rsid w:val="00372FAB"/>
    <w:rsid w:val="0037308D"/>
    <w:rsid w:val="003730B9"/>
    <w:rsid w:val="00373885"/>
    <w:rsid w:val="00373EB0"/>
    <w:rsid w:val="00374017"/>
    <w:rsid w:val="003745F4"/>
    <w:rsid w:val="00374661"/>
    <w:rsid w:val="00374992"/>
    <w:rsid w:val="00374E6B"/>
    <w:rsid w:val="00375D55"/>
    <w:rsid w:val="00375FF5"/>
    <w:rsid w:val="0037627E"/>
    <w:rsid w:val="003762D9"/>
    <w:rsid w:val="003765F0"/>
    <w:rsid w:val="00376A21"/>
    <w:rsid w:val="00376DA8"/>
    <w:rsid w:val="003770B5"/>
    <w:rsid w:val="003771CB"/>
    <w:rsid w:val="0037766D"/>
    <w:rsid w:val="00377B1E"/>
    <w:rsid w:val="00377BFB"/>
    <w:rsid w:val="00377DA9"/>
    <w:rsid w:val="0038016B"/>
    <w:rsid w:val="0038022C"/>
    <w:rsid w:val="00380683"/>
    <w:rsid w:val="003809C8"/>
    <w:rsid w:val="00380F9F"/>
    <w:rsid w:val="00381607"/>
    <w:rsid w:val="00381643"/>
    <w:rsid w:val="003818C6"/>
    <w:rsid w:val="0038195D"/>
    <w:rsid w:val="00382698"/>
    <w:rsid w:val="003826DB"/>
    <w:rsid w:val="00382762"/>
    <w:rsid w:val="00382D32"/>
    <w:rsid w:val="00382E6A"/>
    <w:rsid w:val="00382F7E"/>
    <w:rsid w:val="00383059"/>
    <w:rsid w:val="003834DF"/>
    <w:rsid w:val="00383A8F"/>
    <w:rsid w:val="00383C0F"/>
    <w:rsid w:val="00383CAB"/>
    <w:rsid w:val="00383D55"/>
    <w:rsid w:val="00383E25"/>
    <w:rsid w:val="00384120"/>
    <w:rsid w:val="0038419E"/>
    <w:rsid w:val="00384865"/>
    <w:rsid w:val="00384C56"/>
    <w:rsid w:val="00384CE5"/>
    <w:rsid w:val="003857F4"/>
    <w:rsid w:val="00385BC6"/>
    <w:rsid w:val="00385EF9"/>
    <w:rsid w:val="00386415"/>
    <w:rsid w:val="003865C8"/>
    <w:rsid w:val="00386C60"/>
    <w:rsid w:val="00386D01"/>
    <w:rsid w:val="00387529"/>
    <w:rsid w:val="0039035E"/>
    <w:rsid w:val="003903F6"/>
    <w:rsid w:val="00390620"/>
    <w:rsid w:val="0039065B"/>
    <w:rsid w:val="00390732"/>
    <w:rsid w:val="00390AEA"/>
    <w:rsid w:val="0039104A"/>
    <w:rsid w:val="0039143C"/>
    <w:rsid w:val="0039174F"/>
    <w:rsid w:val="0039199B"/>
    <w:rsid w:val="003921FB"/>
    <w:rsid w:val="00392300"/>
    <w:rsid w:val="0039255E"/>
    <w:rsid w:val="00392796"/>
    <w:rsid w:val="00392C21"/>
    <w:rsid w:val="00393210"/>
    <w:rsid w:val="0039331E"/>
    <w:rsid w:val="00393882"/>
    <w:rsid w:val="003946D6"/>
    <w:rsid w:val="0039479A"/>
    <w:rsid w:val="00394B90"/>
    <w:rsid w:val="0039578A"/>
    <w:rsid w:val="00395D20"/>
    <w:rsid w:val="00395D28"/>
    <w:rsid w:val="003962B1"/>
    <w:rsid w:val="003962EA"/>
    <w:rsid w:val="00396F81"/>
    <w:rsid w:val="003972DA"/>
    <w:rsid w:val="0039753D"/>
    <w:rsid w:val="003976A2"/>
    <w:rsid w:val="003978EB"/>
    <w:rsid w:val="00397951"/>
    <w:rsid w:val="00397BEA"/>
    <w:rsid w:val="003A073D"/>
    <w:rsid w:val="003A0CDC"/>
    <w:rsid w:val="003A0D57"/>
    <w:rsid w:val="003A0E08"/>
    <w:rsid w:val="003A1183"/>
    <w:rsid w:val="003A120F"/>
    <w:rsid w:val="003A1A56"/>
    <w:rsid w:val="003A25AD"/>
    <w:rsid w:val="003A26E3"/>
    <w:rsid w:val="003A2CE5"/>
    <w:rsid w:val="003A2F62"/>
    <w:rsid w:val="003A2F68"/>
    <w:rsid w:val="003A33D8"/>
    <w:rsid w:val="003A3782"/>
    <w:rsid w:val="003A37C9"/>
    <w:rsid w:val="003A39AA"/>
    <w:rsid w:val="003A3C8A"/>
    <w:rsid w:val="003A3F32"/>
    <w:rsid w:val="003A40BC"/>
    <w:rsid w:val="003A4BD5"/>
    <w:rsid w:val="003A4BE5"/>
    <w:rsid w:val="003A4F03"/>
    <w:rsid w:val="003A4FAF"/>
    <w:rsid w:val="003A4FDF"/>
    <w:rsid w:val="003A5141"/>
    <w:rsid w:val="003A5689"/>
    <w:rsid w:val="003A56A2"/>
    <w:rsid w:val="003A6049"/>
    <w:rsid w:val="003A6B12"/>
    <w:rsid w:val="003A6D26"/>
    <w:rsid w:val="003A6E2C"/>
    <w:rsid w:val="003A715A"/>
    <w:rsid w:val="003A7594"/>
    <w:rsid w:val="003A7659"/>
    <w:rsid w:val="003A7B3A"/>
    <w:rsid w:val="003A7D64"/>
    <w:rsid w:val="003B0061"/>
    <w:rsid w:val="003B014D"/>
    <w:rsid w:val="003B0537"/>
    <w:rsid w:val="003B0D57"/>
    <w:rsid w:val="003B0E1F"/>
    <w:rsid w:val="003B169B"/>
    <w:rsid w:val="003B1A50"/>
    <w:rsid w:val="003B23DC"/>
    <w:rsid w:val="003B2A0B"/>
    <w:rsid w:val="003B2C6B"/>
    <w:rsid w:val="003B2E04"/>
    <w:rsid w:val="003B2FCA"/>
    <w:rsid w:val="003B36CB"/>
    <w:rsid w:val="003B37EE"/>
    <w:rsid w:val="003B3A4F"/>
    <w:rsid w:val="003B3C7C"/>
    <w:rsid w:val="003B3DE4"/>
    <w:rsid w:val="003B3F00"/>
    <w:rsid w:val="003B442D"/>
    <w:rsid w:val="003B4BAE"/>
    <w:rsid w:val="003B4DE1"/>
    <w:rsid w:val="003B4F0F"/>
    <w:rsid w:val="003B4F75"/>
    <w:rsid w:val="003B5210"/>
    <w:rsid w:val="003B5364"/>
    <w:rsid w:val="003B5410"/>
    <w:rsid w:val="003B55B3"/>
    <w:rsid w:val="003B56ED"/>
    <w:rsid w:val="003B5A9C"/>
    <w:rsid w:val="003B5BC4"/>
    <w:rsid w:val="003B5E5E"/>
    <w:rsid w:val="003B5F5B"/>
    <w:rsid w:val="003B60A5"/>
    <w:rsid w:val="003B61F9"/>
    <w:rsid w:val="003B6275"/>
    <w:rsid w:val="003B6519"/>
    <w:rsid w:val="003B6568"/>
    <w:rsid w:val="003B6AC6"/>
    <w:rsid w:val="003B755C"/>
    <w:rsid w:val="003B7E25"/>
    <w:rsid w:val="003B7ECB"/>
    <w:rsid w:val="003C010A"/>
    <w:rsid w:val="003C0C11"/>
    <w:rsid w:val="003C12D1"/>
    <w:rsid w:val="003C12E3"/>
    <w:rsid w:val="003C1324"/>
    <w:rsid w:val="003C1F60"/>
    <w:rsid w:val="003C2148"/>
    <w:rsid w:val="003C2320"/>
    <w:rsid w:val="003C236F"/>
    <w:rsid w:val="003C27A5"/>
    <w:rsid w:val="003C2BDF"/>
    <w:rsid w:val="003C2DC1"/>
    <w:rsid w:val="003C2E43"/>
    <w:rsid w:val="003C2F9E"/>
    <w:rsid w:val="003C32C5"/>
    <w:rsid w:val="003C3604"/>
    <w:rsid w:val="003C3631"/>
    <w:rsid w:val="003C39C7"/>
    <w:rsid w:val="003C3AAC"/>
    <w:rsid w:val="003C404C"/>
    <w:rsid w:val="003C41CE"/>
    <w:rsid w:val="003C44AD"/>
    <w:rsid w:val="003C4624"/>
    <w:rsid w:val="003C49A2"/>
    <w:rsid w:val="003C4C7E"/>
    <w:rsid w:val="003C4FFE"/>
    <w:rsid w:val="003C5049"/>
    <w:rsid w:val="003C558A"/>
    <w:rsid w:val="003C55C6"/>
    <w:rsid w:val="003C55E3"/>
    <w:rsid w:val="003C5C3F"/>
    <w:rsid w:val="003C5E38"/>
    <w:rsid w:val="003C6397"/>
    <w:rsid w:val="003C6399"/>
    <w:rsid w:val="003C63C2"/>
    <w:rsid w:val="003C652A"/>
    <w:rsid w:val="003C665E"/>
    <w:rsid w:val="003C69FB"/>
    <w:rsid w:val="003C71DE"/>
    <w:rsid w:val="003C7209"/>
    <w:rsid w:val="003C730A"/>
    <w:rsid w:val="003C7384"/>
    <w:rsid w:val="003C767E"/>
    <w:rsid w:val="003C78AA"/>
    <w:rsid w:val="003C79C7"/>
    <w:rsid w:val="003C7B15"/>
    <w:rsid w:val="003C7DAE"/>
    <w:rsid w:val="003C7F87"/>
    <w:rsid w:val="003C7FC2"/>
    <w:rsid w:val="003D000D"/>
    <w:rsid w:val="003D006D"/>
    <w:rsid w:val="003D033A"/>
    <w:rsid w:val="003D051B"/>
    <w:rsid w:val="003D0A61"/>
    <w:rsid w:val="003D0FB8"/>
    <w:rsid w:val="003D1616"/>
    <w:rsid w:val="003D16EF"/>
    <w:rsid w:val="003D2023"/>
    <w:rsid w:val="003D21E7"/>
    <w:rsid w:val="003D23FD"/>
    <w:rsid w:val="003D2477"/>
    <w:rsid w:val="003D2826"/>
    <w:rsid w:val="003D2915"/>
    <w:rsid w:val="003D298E"/>
    <w:rsid w:val="003D2E40"/>
    <w:rsid w:val="003D2ECA"/>
    <w:rsid w:val="003D3467"/>
    <w:rsid w:val="003D3668"/>
    <w:rsid w:val="003D3A89"/>
    <w:rsid w:val="003D3AF3"/>
    <w:rsid w:val="003D42F1"/>
    <w:rsid w:val="003D4486"/>
    <w:rsid w:val="003D4D1D"/>
    <w:rsid w:val="003D4EDC"/>
    <w:rsid w:val="003D4FF9"/>
    <w:rsid w:val="003D507F"/>
    <w:rsid w:val="003D5530"/>
    <w:rsid w:val="003D560C"/>
    <w:rsid w:val="003D5961"/>
    <w:rsid w:val="003D5A56"/>
    <w:rsid w:val="003D5CE8"/>
    <w:rsid w:val="003D5E09"/>
    <w:rsid w:val="003D64A6"/>
    <w:rsid w:val="003D6C63"/>
    <w:rsid w:val="003D6D36"/>
    <w:rsid w:val="003D6ED6"/>
    <w:rsid w:val="003D751B"/>
    <w:rsid w:val="003D76E5"/>
    <w:rsid w:val="003D781E"/>
    <w:rsid w:val="003D7A02"/>
    <w:rsid w:val="003D7C32"/>
    <w:rsid w:val="003D7C90"/>
    <w:rsid w:val="003E06F6"/>
    <w:rsid w:val="003E079F"/>
    <w:rsid w:val="003E097D"/>
    <w:rsid w:val="003E0A4E"/>
    <w:rsid w:val="003E0FBF"/>
    <w:rsid w:val="003E10D0"/>
    <w:rsid w:val="003E1131"/>
    <w:rsid w:val="003E137F"/>
    <w:rsid w:val="003E14C9"/>
    <w:rsid w:val="003E18C3"/>
    <w:rsid w:val="003E26ED"/>
    <w:rsid w:val="003E2A10"/>
    <w:rsid w:val="003E2D28"/>
    <w:rsid w:val="003E2FF0"/>
    <w:rsid w:val="003E337B"/>
    <w:rsid w:val="003E3AB7"/>
    <w:rsid w:val="003E4923"/>
    <w:rsid w:val="003E4D74"/>
    <w:rsid w:val="003E51A4"/>
    <w:rsid w:val="003E5319"/>
    <w:rsid w:val="003E58C2"/>
    <w:rsid w:val="003E5916"/>
    <w:rsid w:val="003E5A76"/>
    <w:rsid w:val="003E6376"/>
    <w:rsid w:val="003E6687"/>
    <w:rsid w:val="003E6B27"/>
    <w:rsid w:val="003E6B9D"/>
    <w:rsid w:val="003E72B1"/>
    <w:rsid w:val="003E764F"/>
    <w:rsid w:val="003E7A12"/>
    <w:rsid w:val="003E7DC6"/>
    <w:rsid w:val="003F00DF"/>
    <w:rsid w:val="003F02CB"/>
    <w:rsid w:val="003F0522"/>
    <w:rsid w:val="003F0FD9"/>
    <w:rsid w:val="003F12EC"/>
    <w:rsid w:val="003F14FD"/>
    <w:rsid w:val="003F172A"/>
    <w:rsid w:val="003F1C3D"/>
    <w:rsid w:val="003F1FDA"/>
    <w:rsid w:val="003F23D3"/>
    <w:rsid w:val="003F25E9"/>
    <w:rsid w:val="003F2602"/>
    <w:rsid w:val="003F2678"/>
    <w:rsid w:val="003F2797"/>
    <w:rsid w:val="003F2FAE"/>
    <w:rsid w:val="003F33C3"/>
    <w:rsid w:val="003F37AB"/>
    <w:rsid w:val="003F387F"/>
    <w:rsid w:val="003F3ABA"/>
    <w:rsid w:val="003F3E96"/>
    <w:rsid w:val="003F452D"/>
    <w:rsid w:val="003F45D6"/>
    <w:rsid w:val="003F4BFE"/>
    <w:rsid w:val="003F4F25"/>
    <w:rsid w:val="003F5BE6"/>
    <w:rsid w:val="003F5BEA"/>
    <w:rsid w:val="003F60FD"/>
    <w:rsid w:val="003F6D16"/>
    <w:rsid w:val="003F6D25"/>
    <w:rsid w:val="003F6F5A"/>
    <w:rsid w:val="003F7448"/>
    <w:rsid w:val="003F7603"/>
    <w:rsid w:val="003F788F"/>
    <w:rsid w:val="003F797D"/>
    <w:rsid w:val="003F7A45"/>
    <w:rsid w:val="0040000C"/>
    <w:rsid w:val="004001E8"/>
    <w:rsid w:val="00400302"/>
    <w:rsid w:val="004009D9"/>
    <w:rsid w:val="00400F52"/>
    <w:rsid w:val="00401764"/>
    <w:rsid w:val="0040189C"/>
    <w:rsid w:val="00401C21"/>
    <w:rsid w:val="00402A89"/>
    <w:rsid w:val="00403293"/>
    <w:rsid w:val="0040338B"/>
    <w:rsid w:val="004035DD"/>
    <w:rsid w:val="004038B3"/>
    <w:rsid w:val="0040398A"/>
    <w:rsid w:val="00403CA0"/>
    <w:rsid w:val="00403E2F"/>
    <w:rsid w:val="00404BDC"/>
    <w:rsid w:val="00404D7B"/>
    <w:rsid w:val="00404E4D"/>
    <w:rsid w:val="00405871"/>
    <w:rsid w:val="00405CD9"/>
    <w:rsid w:val="0040653F"/>
    <w:rsid w:val="00406651"/>
    <w:rsid w:val="00406703"/>
    <w:rsid w:val="00406B25"/>
    <w:rsid w:val="00406BCD"/>
    <w:rsid w:val="0040736D"/>
    <w:rsid w:val="00407382"/>
    <w:rsid w:val="0040745B"/>
    <w:rsid w:val="0040758D"/>
    <w:rsid w:val="00407E97"/>
    <w:rsid w:val="00410065"/>
    <w:rsid w:val="00411FC4"/>
    <w:rsid w:val="0041234E"/>
    <w:rsid w:val="0041253D"/>
    <w:rsid w:val="00412813"/>
    <w:rsid w:val="004129C0"/>
    <w:rsid w:val="00412EE0"/>
    <w:rsid w:val="0041338E"/>
    <w:rsid w:val="004133C3"/>
    <w:rsid w:val="00413660"/>
    <w:rsid w:val="004137F1"/>
    <w:rsid w:val="0041384B"/>
    <w:rsid w:val="004138A4"/>
    <w:rsid w:val="00414055"/>
    <w:rsid w:val="004143E8"/>
    <w:rsid w:val="004144CF"/>
    <w:rsid w:val="0041463A"/>
    <w:rsid w:val="0041476E"/>
    <w:rsid w:val="00414823"/>
    <w:rsid w:val="004152CD"/>
    <w:rsid w:val="0041555C"/>
    <w:rsid w:val="00415A63"/>
    <w:rsid w:val="00415AC4"/>
    <w:rsid w:val="00415ED1"/>
    <w:rsid w:val="0041620C"/>
    <w:rsid w:val="00416BBD"/>
    <w:rsid w:val="00416C06"/>
    <w:rsid w:val="00416C36"/>
    <w:rsid w:val="004172A8"/>
    <w:rsid w:val="0041733C"/>
    <w:rsid w:val="0041772B"/>
    <w:rsid w:val="004179DB"/>
    <w:rsid w:val="004179EA"/>
    <w:rsid w:val="00417D4E"/>
    <w:rsid w:val="004200C3"/>
    <w:rsid w:val="00420212"/>
    <w:rsid w:val="00420865"/>
    <w:rsid w:val="00420A55"/>
    <w:rsid w:val="00420A5C"/>
    <w:rsid w:val="00420E60"/>
    <w:rsid w:val="0042178F"/>
    <w:rsid w:val="0042190C"/>
    <w:rsid w:val="004219A7"/>
    <w:rsid w:val="00422049"/>
    <w:rsid w:val="00422232"/>
    <w:rsid w:val="0042226E"/>
    <w:rsid w:val="004222F3"/>
    <w:rsid w:val="00423192"/>
    <w:rsid w:val="00423816"/>
    <w:rsid w:val="00423B70"/>
    <w:rsid w:val="00423BE9"/>
    <w:rsid w:val="00423D75"/>
    <w:rsid w:val="0042453A"/>
    <w:rsid w:val="0042465E"/>
    <w:rsid w:val="00424683"/>
    <w:rsid w:val="004246C9"/>
    <w:rsid w:val="00424B98"/>
    <w:rsid w:val="00424B9C"/>
    <w:rsid w:val="00425006"/>
    <w:rsid w:val="004255E5"/>
    <w:rsid w:val="00425DEC"/>
    <w:rsid w:val="004263BC"/>
    <w:rsid w:val="004270FE"/>
    <w:rsid w:val="0042793F"/>
    <w:rsid w:val="00427D7C"/>
    <w:rsid w:val="00430378"/>
    <w:rsid w:val="00430858"/>
    <w:rsid w:val="00430BD9"/>
    <w:rsid w:val="0043106B"/>
    <w:rsid w:val="0043119A"/>
    <w:rsid w:val="004312B6"/>
    <w:rsid w:val="0043178A"/>
    <w:rsid w:val="004317C7"/>
    <w:rsid w:val="00431A22"/>
    <w:rsid w:val="0043230A"/>
    <w:rsid w:val="0043233C"/>
    <w:rsid w:val="00432422"/>
    <w:rsid w:val="004324FB"/>
    <w:rsid w:val="00432B97"/>
    <w:rsid w:val="004336E6"/>
    <w:rsid w:val="004337C6"/>
    <w:rsid w:val="0043393D"/>
    <w:rsid w:val="00433D25"/>
    <w:rsid w:val="00433D3E"/>
    <w:rsid w:val="00433F16"/>
    <w:rsid w:val="00434140"/>
    <w:rsid w:val="00434275"/>
    <w:rsid w:val="004346A9"/>
    <w:rsid w:val="00434904"/>
    <w:rsid w:val="00434B5B"/>
    <w:rsid w:val="00434B6E"/>
    <w:rsid w:val="00434EAB"/>
    <w:rsid w:val="00435761"/>
    <w:rsid w:val="00435AD6"/>
    <w:rsid w:val="004362B0"/>
    <w:rsid w:val="00436464"/>
    <w:rsid w:val="0043651B"/>
    <w:rsid w:val="004367C1"/>
    <w:rsid w:val="00436EBA"/>
    <w:rsid w:val="00436F1D"/>
    <w:rsid w:val="00436F32"/>
    <w:rsid w:val="00436F50"/>
    <w:rsid w:val="004373A2"/>
    <w:rsid w:val="0043769C"/>
    <w:rsid w:val="004376DB"/>
    <w:rsid w:val="004376EE"/>
    <w:rsid w:val="00437764"/>
    <w:rsid w:val="00437925"/>
    <w:rsid w:val="00437AA7"/>
    <w:rsid w:val="00437ABF"/>
    <w:rsid w:val="00437E05"/>
    <w:rsid w:val="00440608"/>
    <w:rsid w:val="004406EE"/>
    <w:rsid w:val="00440855"/>
    <w:rsid w:val="00440F2E"/>
    <w:rsid w:val="00441251"/>
    <w:rsid w:val="00441324"/>
    <w:rsid w:val="004413AD"/>
    <w:rsid w:val="004414B8"/>
    <w:rsid w:val="0044178A"/>
    <w:rsid w:val="004418A6"/>
    <w:rsid w:val="00441A2F"/>
    <w:rsid w:val="00441F70"/>
    <w:rsid w:val="004426B8"/>
    <w:rsid w:val="004428CE"/>
    <w:rsid w:val="00442EC7"/>
    <w:rsid w:val="00442F62"/>
    <w:rsid w:val="00443120"/>
    <w:rsid w:val="00443D7E"/>
    <w:rsid w:val="00443E53"/>
    <w:rsid w:val="00443E6D"/>
    <w:rsid w:val="0044411D"/>
    <w:rsid w:val="004442B5"/>
    <w:rsid w:val="00444A3B"/>
    <w:rsid w:val="00444C15"/>
    <w:rsid w:val="00444DE6"/>
    <w:rsid w:val="00444FE2"/>
    <w:rsid w:val="00445828"/>
    <w:rsid w:val="00445954"/>
    <w:rsid w:val="00445DC2"/>
    <w:rsid w:val="00445F43"/>
    <w:rsid w:val="004467D3"/>
    <w:rsid w:val="00446B0F"/>
    <w:rsid w:val="00446DC5"/>
    <w:rsid w:val="00446E09"/>
    <w:rsid w:val="00446EBD"/>
    <w:rsid w:val="00447030"/>
    <w:rsid w:val="00447884"/>
    <w:rsid w:val="00447B74"/>
    <w:rsid w:val="00447E6B"/>
    <w:rsid w:val="00447EB2"/>
    <w:rsid w:val="00447F8E"/>
    <w:rsid w:val="00450AEA"/>
    <w:rsid w:val="00450FDD"/>
    <w:rsid w:val="0045175C"/>
    <w:rsid w:val="00451C3D"/>
    <w:rsid w:val="00452298"/>
    <w:rsid w:val="004526DA"/>
    <w:rsid w:val="00452C33"/>
    <w:rsid w:val="00452C7B"/>
    <w:rsid w:val="00452CD6"/>
    <w:rsid w:val="0045334B"/>
    <w:rsid w:val="0045456C"/>
    <w:rsid w:val="004545B7"/>
    <w:rsid w:val="00454FF5"/>
    <w:rsid w:val="004551A9"/>
    <w:rsid w:val="0045595B"/>
    <w:rsid w:val="004559AE"/>
    <w:rsid w:val="00455D79"/>
    <w:rsid w:val="00455F0E"/>
    <w:rsid w:val="00456453"/>
    <w:rsid w:val="00456B60"/>
    <w:rsid w:val="00456B6B"/>
    <w:rsid w:val="00456BE5"/>
    <w:rsid w:val="00456DFE"/>
    <w:rsid w:val="00457149"/>
    <w:rsid w:val="004573E5"/>
    <w:rsid w:val="00457544"/>
    <w:rsid w:val="00457999"/>
    <w:rsid w:val="00457A73"/>
    <w:rsid w:val="00457E4A"/>
    <w:rsid w:val="00457F43"/>
    <w:rsid w:val="00460642"/>
    <w:rsid w:val="00460A31"/>
    <w:rsid w:val="00460B3B"/>
    <w:rsid w:val="00460B68"/>
    <w:rsid w:val="00461CC8"/>
    <w:rsid w:val="00462038"/>
    <w:rsid w:val="0046286D"/>
    <w:rsid w:val="004629AB"/>
    <w:rsid w:val="00463171"/>
    <w:rsid w:val="004633E0"/>
    <w:rsid w:val="0046387D"/>
    <w:rsid w:val="004638DB"/>
    <w:rsid w:val="004642B4"/>
    <w:rsid w:val="0046486E"/>
    <w:rsid w:val="00464A42"/>
    <w:rsid w:val="00464CAE"/>
    <w:rsid w:val="00464E42"/>
    <w:rsid w:val="0046502C"/>
    <w:rsid w:val="004650E4"/>
    <w:rsid w:val="004655C6"/>
    <w:rsid w:val="00465634"/>
    <w:rsid w:val="004656BF"/>
    <w:rsid w:val="00465D17"/>
    <w:rsid w:val="004664DB"/>
    <w:rsid w:val="0046658D"/>
    <w:rsid w:val="00466FB5"/>
    <w:rsid w:val="004703E1"/>
    <w:rsid w:val="004709B2"/>
    <w:rsid w:val="00470BAF"/>
    <w:rsid w:val="00470C96"/>
    <w:rsid w:val="00470D00"/>
    <w:rsid w:val="00471B00"/>
    <w:rsid w:val="00472AE1"/>
    <w:rsid w:val="00472EA9"/>
    <w:rsid w:val="00473157"/>
    <w:rsid w:val="00473176"/>
    <w:rsid w:val="004734B6"/>
    <w:rsid w:val="004734C5"/>
    <w:rsid w:val="0047364B"/>
    <w:rsid w:val="0047374E"/>
    <w:rsid w:val="00473B3D"/>
    <w:rsid w:val="00473E7E"/>
    <w:rsid w:val="00473E90"/>
    <w:rsid w:val="00473EBB"/>
    <w:rsid w:val="004741F7"/>
    <w:rsid w:val="004742BB"/>
    <w:rsid w:val="004744DB"/>
    <w:rsid w:val="0047477B"/>
    <w:rsid w:val="0047497B"/>
    <w:rsid w:val="00474C6B"/>
    <w:rsid w:val="00475321"/>
    <w:rsid w:val="0047565B"/>
    <w:rsid w:val="0047634F"/>
    <w:rsid w:val="00476358"/>
    <w:rsid w:val="00476B07"/>
    <w:rsid w:val="00476C35"/>
    <w:rsid w:val="00476FD3"/>
    <w:rsid w:val="00477808"/>
    <w:rsid w:val="004779D0"/>
    <w:rsid w:val="00477C19"/>
    <w:rsid w:val="00477DBB"/>
    <w:rsid w:val="004801E0"/>
    <w:rsid w:val="00480BB7"/>
    <w:rsid w:val="00480EE3"/>
    <w:rsid w:val="004812FB"/>
    <w:rsid w:val="004816CA"/>
    <w:rsid w:val="004817BE"/>
    <w:rsid w:val="00481E5F"/>
    <w:rsid w:val="00481E92"/>
    <w:rsid w:val="004826AF"/>
    <w:rsid w:val="0048272F"/>
    <w:rsid w:val="00482D54"/>
    <w:rsid w:val="00483271"/>
    <w:rsid w:val="004835C2"/>
    <w:rsid w:val="00483859"/>
    <w:rsid w:val="00483B46"/>
    <w:rsid w:val="00483D3B"/>
    <w:rsid w:val="004845F1"/>
    <w:rsid w:val="004850B3"/>
    <w:rsid w:val="004857E7"/>
    <w:rsid w:val="00486130"/>
    <w:rsid w:val="004865A8"/>
    <w:rsid w:val="00486ADC"/>
    <w:rsid w:val="00486B96"/>
    <w:rsid w:val="00486C58"/>
    <w:rsid w:val="0048777D"/>
    <w:rsid w:val="004879AF"/>
    <w:rsid w:val="00487D18"/>
    <w:rsid w:val="00490038"/>
    <w:rsid w:val="00490059"/>
    <w:rsid w:val="00490162"/>
    <w:rsid w:val="004904F7"/>
    <w:rsid w:val="00490A5D"/>
    <w:rsid w:val="00491030"/>
    <w:rsid w:val="004910AC"/>
    <w:rsid w:val="004914D8"/>
    <w:rsid w:val="004919E8"/>
    <w:rsid w:val="00491E18"/>
    <w:rsid w:val="00491F91"/>
    <w:rsid w:val="00491FF6"/>
    <w:rsid w:val="00492145"/>
    <w:rsid w:val="004928CE"/>
    <w:rsid w:val="00492A2F"/>
    <w:rsid w:val="00492BA1"/>
    <w:rsid w:val="00492D7E"/>
    <w:rsid w:val="00493540"/>
    <w:rsid w:val="00493607"/>
    <w:rsid w:val="004939E4"/>
    <w:rsid w:val="00493D36"/>
    <w:rsid w:val="00493E35"/>
    <w:rsid w:val="00494AD6"/>
    <w:rsid w:val="00495120"/>
    <w:rsid w:val="00495E67"/>
    <w:rsid w:val="004963F9"/>
    <w:rsid w:val="0049698A"/>
    <w:rsid w:val="00496B4E"/>
    <w:rsid w:val="00496DE2"/>
    <w:rsid w:val="00497448"/>
    <w:rsid w:val="004975AA"/>
    <w:rsid w:val="00497935"/>
    <w:rsid w:val="004A034A"/>
    <w:rsid w:val="004A0476"/>
    <w:rsid w:val="004A07D7"/>
    <w:rsid w:val="004A0A69"/>
    <w:rsid w:val="004A0F9E"/>
    <w:rsid w:val="004A10D4"/>
    <w:rsid w:val="004A1130"/>
    <w:rsid w:val="004A1219"/>
    <w:rsid w:val="004A1A77"/>
    <w:rsid w:val="004A1DAA"/>
    <w:rsid w:val="004A23D2"/>
    <w:rsid w:val="004A25A0"/>
    <w:rsid w:val="004A285D"/>
    <w:rsid w:val="004A2D1D"/>
    <w:rsid w:val="004A302B"/>
    <w:rsid w:val="004A3242"/>
    <w:rsid w:val="004A3838"/>
    <w:rsid w:val="004A4467"/>
    <w:rsid w:val="004A4957"/>
    <w:rsid w:val="004A5258"/>
    <w:rsid w:val="004A5467"/>
    <w:rsid w:val="004A5AE2"/>
    <w:rsid w:val="004A5BB1"/>
    <w:rsid w:val="004A5CB1"/>
    <w:rsid w:val="004A5E3E"/>
    <w:rsid w:val="004A5EAA"/>
    <w:rsid w:val="004A638D"/>
    <w:rsid w:val="004A64EC"/>
    <w:rsid w:val="004A695F"/>
    <w:rsid w:val="004A697B"/>
    <w:rsid w:val="004A6A35"/>
    <w:rsid w:val="004A6EA6"/>
    <w:rsid w:val="004A7550"/>
    <w:rsid w:val="004A7966"/>
    <w:rsid w:val="004A7A54"/>
    <w:rsid w:val="004B0239"/>
    <w:rsid w:val="004B0379"/>
    <w:rsid w:val="004B0A69"/>
    <w:rsid w:val="004B0D1E"/>
    <w:rsid w:val="004B0E2E"/>
    <w:rsid w:val="004B1604"/>
    <w:rsid w:val="004B1701"/>
    <w:rsid w:val="004B1804"/>
    <w:rsid w:val="004B18CC"/>
    <w:rsid w:val="004B2609"/>
    <w:rsid w:val="004B2722"/>
    <w:rsid w:val="004B2F3D"/>
    <w:rsid w:val="004B32A0"/>
    <w:rsid w:val="004B36C1"/>
    <w:rsid w:val="004B3A60"/>
    <w:rsid w:val="004B3FCD"/>
    <w:rsid w:val="004B4C62"/>
    <w:rsid w:val="004B4D15"/>
    <w:rsid w:val="004B5064"/>
    <w:rsid w:val="004B5078"/>
    <w:rsid w:val="004B5096"/>
    <w:rsid w:val="004B51DA"/>
    <w:rsid w:val="004B54EF"/>
    <w:rsid w:val="004B592E"/>
    <w:rsid w:val="004B5CE2"/>
    <w:rsid w:val="004B5DAC"/>
    <w:rsid w:val="004B6147"/>
    <w:rsid w:val="004B6184"/>
    <w:rsid w:val="004B6634"/>
    <w:rsid w:val="004B67BB"/>
    <w:rsid w:val="004B67F1"/>
    <w:rsid w:val="004B6812"/>
    <w:rsid w:val="004B7293"/>
    <w:rsid w:val="004B7DD1"/>
    <w:rsid w:val="004C0096"/>
    <w:rsid w:val="004C00A3"/>
    <w:rsid w:val="004C00F4"/>
    <w:rsid w:val="004C037B"/>
    <w:rsid w:val="004C082A"/>
    <w:rsid w:val="004C0830"/>
    <w:rsid w:val="004C085B"/>
    <w:rsid w:val="004C0BDA"/>
    <w:rsid w:val="004C1472"/>
    <w:rsid w:val="004C165E"/>
    <w:rsid w:val="004C1BF9"/>
    <w:rsid w:val="004C1C3E"/>
    <w:rsid w:val="004C23BD"/>
    <w:rsid w:val="004C2498"/>
    <w:rsid w:val="004C331E"/>
    <w:rsid w:val="004C333F"/>
    <w:rsid w:val="004C33BC"/>
    <w:rsid w:val="004C3D19"/>
    <w:rsid w:val="004C3FC0"/>
    <w:rsid w:val="004C42C9"/>
    <w:rsid w:val="004C4D54"/>
    <w:rsid w:val="004C5B42"/>
    <w:rsid w:val="004C5ECB"/>
    <w:rsid w:val="004C6672"/>
    <w:rsid w:val="004C68B6"/>
    <w:rsid w:val="004C74F1"/>
    <w:rsid w:val="004D039F"/>
    <w:rsid w:val="004D04F6"/>
    <w:rsid w:val="004D0ED5"/>
    <w:rsid w:val="004D12A8"/>
    <w:rsid w:val="004D1906"/>
    <w:rsid w:val="004D1C16"/>
    <w:rsid w:val="004D203B"/>
    <w:rsid w:val="004D240F"/>
    <w:rsid w:val="004D2434"/>
    <w:rsid w:val="004D2710"/>
    <w:rsid w:val="004D29CC"/>
    <w:rsid w:val="004D2AB8"/>
    <w:rsid w:val="004D2D7A"/>
    <w:rsid w:val="004D37B3"/>
    <w:rsid w:val="004D391B"/>
    <w:rsid w:val="004D3E11"/>
    <w:rsid w:val="004D4043"/>
    <w:rsid w:val="004D4304"/>
    <w:rsid w:val="004D470B"/>
    <w:rsid w:val="004D4CD1"/>
    <w:rsid w:val="004D4E73"/>
    <w:rsid w:val="004D503B"/>
    <w:rsid w:val="004D50AB"/>
    <w:rsid w:val="004D514C"/>
    <w:rsid w:val="004D524E"/>
    <w:rsid w:val="004D5266"/>
    <w:rsid w:val="004D54B7"/>
    <w:rsid w:val="004D60DF"/>
    <w:rsid w:val="004D6786"/>
    <w:rsid w:val="004D69E1"/>
    <w:rsid w:val="004D7869"/>
    <w:rsid w:val="004D7EE4"/>
    <w:rsid w:val="004E0137"/>
    <w:rsid w:val="004E11CF"/>
    <w:rsid w:val="004E121B"/>
    <w:rsid w:val="004E18E7"/>
    <w:rsid w:val="004E1E29"/>
    <w:rsid w:val="004E1ECE"/>
    <w:rsid w:val="004E1EF5"/>
    <w:rsid w:val="004E23F7"/>
    <w:rsid w:val="004E24D1"/>
    <w:rsid w:val="004E2A73"/>
    <w:rsid w:val="004E2B5D"/>
    <w:rsid w:val="004E3268"/>
    <w:rsid w:val="004E33F8"/>
    <w:rsid w:val="004E368A"/>
    <w:rsid w:val="004E3801"/>
    <w:rsid w:val="004E39C9"/>
    <w:rsid w:val="004E417F"/>
    <w:rsid w:val="004E41A1"/>
    <w:rsid w:val="004E4391"/>
    <w:rsid w:val="004E46F5"/>
    <w:rsid w:val="004E4CA8"/>
    <w:rsid w:val="004E4D78"/>
    <w:rsid w:val="004E4E20"/>
    <w:rsid w:val="004E500B"/>
    <w:rsid w:val="004E5153"/>
    <w:rsid w:val="004E5C65"/>
    <w:rsid w:val="004E650F"/>
    <w:rsid w:val="004E687B"/>
    <w:rsid w:val="004E70F3"/>
    <w:rsid w:val="004E713A"/>
    <w:rsid w:val="004E7649"/>
    <w:rsid w:val="004E79EC"/>
    <w:rsid w:val="004E7AD7"/>
    <w:rsid w:val="004E7B2E"/>
    <w:rsid w:val="004E7BDD"/>
    <w:rsid w:val="004F01D5"/>
    <w:rsid w:val="004F0439"/>
    <w:rsid w:val="004F0738"/>
    <w:rsid w:val="004F0A17"/>
    <w:rsid w:val="004F115C"/>
    <w:rsid w:val="004F13A0"/>
    <w:rsid w:val="004F17D0"/>
    <w:rsid w:val="004F1BB6"/>
    <w:rsid w:val="004F2044"/>
    <w:rsid w:val="004F20DC"/>
    <w:rsid w:val="004F23BA"/>
    <w:rsid w:val="004F33A6"/>
    <w:rsid w:val="004F35B2"/>
    <w:rsid w:val="004F35D6"/>
    <w:rsid w:val="004F3982"/>
    <w:rsid w:val="004F3A47"/>
    <w:rsid w:val="004F3AE1"/>
    <w:rsid w:val="004F3C71"/>
    <w:rsid w:val="004F3CDC"/>
    <w:rsid w:val="004F4537"/>
    <w:rsid w:val="004F4797"/>
    <w:rsid w:val="004F5068"/>
    <w:rsid w:val="004F51E9"/>
    <w:rsid w:val="004F54F5"/>
    <w:rsid w:val="004F551A"/>
    <w:rsid w:val="004F5C06"/>
    <w:rsid w:val="004F5FCC"/>
    <w:rsid w:val="004F63CD"/>
    <w:rsid w:val="004F63D5"/>
    <w:rsid w:val="004F64E4"/>
    <w:rsid w:val="004F662E"/>
    <w:rsid w:val="004F6A3A"/>
    <w:rsid w:val="004F6D13"/>
    <w:rsid w:val="004F6D20"/>
    <w:rsid w:val="004F6E61"/>
    <w:rsid w:val="004F71AC"/>
    <w:rsid w:val="004F75B7"/>
    <w:rsid w:val="004F783D"/>
    <w:rsid w:val="004F798E"/>
    <w:rsid w:val="005004E2"/>
    <w:rsid w:val="005009D1"/>
    <w:rsid w:val="005012E6"/>
    <w:rsid w:val="00501B88"/>
    <w:rsid w:val="0050246A"/>
    <w:rsid w:val="005025AD"/>
    <w:rsid w:val="005029B4"/>
    <w:rsid w:val="005033B1"/>
    <w:rsid w:val="0050348C"/>
    <w:rsid w:val="005039C8"/>
    <w:rsid w:val="00503A7E"/>
    <w:rsid w:val="00503ADE"/>
    <w:rsid w:val="00503BA8"/>
    <w:rsid w:val="00504660"/>
    <w:rsid w:val="00504D6A"/>
    <w:rsid w:val="00505BCC"/>
    <w:rsid w:val="00505CD4"/>
    <w:rsid w:val="00506869"/>
    <w:rsid w:val="00506974"/>
    <w:rsid w:val="00506E52"/>
    <w:rsid w:val="005072C5"/>
    <w:rsid w:val="005078D1"/>
    <w:rsid w:val="00510003"/>
    <w:rsid w:val="00510174"/>
    <w:rsid w:val="005104D5"/>
    <w:rsid w:val="0051091F"/>
    <w:rsid w:val="00510AC0"/>
    <w:rsid w:val="00511028"/>
    <w:rsid w:val="0051115B"/>
    <w:rsid w:val="00511482"/>
    <w:rsid w:val="00511611"/>
    <w:rsid w:val="005117FB"/>
    <w:rsid w:val="00511A63"/>
    <w:rsid w:val="00511A77"/>
    <w:rsid w:val="00511AC5"/>
    <w:rsid w:val="00512305"/>
    <w:rsid w:val="00512844"/>
    <w:rsid w:val="00512B6C"/>
    <w:rsid w:val="00512C52"/>
    <w:rsid w:val="00512FFF"/>
    <w:rsid w:val="00513075"/>
    <w:rsid w:val="0051350B"/>
    <w:rsid w:val="00513592"/>
    <w:rsid w:val="00513851"/>
    <w:rsid w:val="00513D9B"/>
    <w:rsid w:val="00514152"/>
    <w:rsid w:val="0051436F"/>
    <w:rsid w:val="0051498D"/>
    <w:rsid w:val="00514D56"/>
    <w:rsid w:val="00514F71"/>
    <w:rsid w:val="005158B6"/>
    <w:rsid w:val="005158C0"/>
    <w:rsid w:val="005159D9"/>
    <w:rsid w:val="00515A24"/>
    <w:rsid w:val="00515C7D"/>
    <w:rsid w:val="00515DD3"/>
    <w:rsid w:val="00515E0B"/>
    <w:rsid w:val="00515ED5"/>
    <w:rsid w:val="00516523"/>
    <w:rsid w:val="005166CD"/>
    <w:rsid w:val="00516705"/>
    <w:rsid w:val="005169BC"/>
    <w:rsid w:val="00516B0E"/>
    <w:rsid w:val="00517A06"/>
    <w:rsid w:val="00517BD2"/>
    <w:rsid w:val="00517CD1"/>
    <w:rsid w:val="00517FA7"/>
    <w:rsid w:val="0052026F"/>
    <w:rsid w:val="005203C5"/>
    <w:rsid w:val="0052042A"/>
    <w:rsid w:val="00520AA1"/>
    <w:rsid w:val="005213EA"/>
    <w:rsid w:val="00521578"/>
    <w:rsid w:val="00521BA2"/>
    <w:rsid w:val="0052217F"/>
    <w:rsid w:val="00522204"/>
    <w:rsid w:val="0052237E"/>
    <w:rsid w:val="0052269D"/>
    <w:rsid w:val="00522E94"/>
    <w:rsid w:val="00522EEE"/>
    <w:rsid w:val="005231EC"/>
    <w:rsid w:val="005233DC"/>
    <w:rsid w:val="00523E4B"/>
    <w:rsid w:val="005241BC"/>
    <w:rsid w:val="00524468"/>
    <w:rsid w:val="00524EDE"/>
    <w:rsid w:val="0052534A"/>
    <w:rsid w:val="005255A6"/>
    <w:rsid w:val="005255B4"/>
    <w:rsid w:val="00526648"/>
    <w:rsid w:val="005266F3"/>
    <w:rsid w:val="0052770D"/>
    <w:rsid w:val="00527EBA"/>
    <w:rsid w:val="00527FDA"/>
    <w:rsid w:val="00530135"/>
    <w:rsid w:val="005302FC"/>
    <w:rsid w:val="00530B8F"/>
    <w:rsid w:val="005315C8"/>
    <w:rsid w:val="005315E4"/>
    <w:rsid w:val="005316DB"/>
    <w:rsid w:val="00531966"/>
    <w:rsid w:val="00532066"/>
    <w:rsid w:val="005321A2"/>
    <w:rsid w:val="0053222A"/>
    <w:rsid w:val="00532396"/>
    <w:rsid w:val="00532417"/>
    <w:rsid w:val="00532418"/>
    <w:rsid w:val="0053254C"/>
    <w:rsid w:val="00532933"/>
    <w:rsid w:val="00532A29"/>
    <w:rsid w:val="00532BC4"/>
    <w:rsid w:val="00533380"/>
    <w:rsid w:val="005337F7"/>
    <w:rsid w:val="00533A0B"/>
    <w:rsid w:val="00533C23"/>
    <w:rsid w:val="00533C90"/>
    <w:rsid w:val="00534950"/>
    <w:rsid w:val="00534A0C"/>
    <w:rsid w:val="00534B75"/>
    <w:rsid w:val="00534E2E"/>
    <w:rsid w:val="005351E4"/>
    <w:rsid w:val="00535465"/>
    <w:rsid w:val="005355A6"/>
    <w:rsid w:val="0053561B"/>
    <w:rsid w:val="00535AC6"/>
    <w:rsid w:val="00535BD2"/>
    <w:rsid w:val="00535FD3"/>
    <w:rsid w:val="005360FC"/>
    <w:rsid w:val="005363F4"/>
    <w:rsid w:val="00536F72"/>
    <w:rsid w:val="00537690"/>
    <w:rsid w:val="00537A6F"/>
    <w:rsid w:val="00537B0E"/>
    <w:rsid w:val="00537EFF"/>
    <w:rsid w:val="00540565"/>
    <w:rsid w:val="00540AA0"/>
    <w:rsid w:val="0054113C"/>
    <w:rsid w:val="0054195C"/>
    <w:rsid w:val="00541BCD"/>
    <w:rsid w:val="00541CAA"/>
    <w:rsid w:val="00542522"/>
    <w:rsid w:val="00542AA2"/>
    <w:rsid w:val="00542B06"/>
    <w:rsid w:val="00542B7D"/>
    <w:rsid w:val="00542BCC"/>
    <w:rsid w:val="00542E14"/>
    <w:rsid w:val="00542FA8"/>
    <w:rsid w:val="00543058"/>
    <w:rsid w:val="00543BA1"/>
    <w:rsid w:val="00543FFA"/>
    <w:rsid w:val="00544148"/>
    <w:rsid w:val="00544398"/>
    <w:rsid w:val="0054463A"/>
    <w:rsid w:val="00544845"/>
    <w:rsid w:val="005448C9"/>
    <w:rsid w:val="00544B14"/>
    <w:rsid w:val="0054518F"/>
    <w:rsid w:val="00545300"/>
    <w:rsid w:val="0054571A"/>
    <w:rsid w:val="005457D4"/>
    <w:rsid w:val="0054591C"/>
    <w:rsid w:val="00545B9B"/>
    <w:rsid w:val="00545CBC"/>
    <w:rsid w:val="00545DF4"/>
    <w:rsid w:val="00545FB6"/>
    <w:rsid w:val="005463A2"/>
    <w:rsid w:val="0054677C"/>
    <w:rsid w:val="005469A6"/>
    <w:rsid w:val="00546B77"/>
    <w:rsid w:val="00547AA9"/>
    <w:rsid w:val="00550112"/>
    <w:rsid w:val="0055100A"/>
    <w:rsid w:val="005516B3"/>
    <w:rsid w:val="00551800"/>
    <w:rsid w:val="00551AE2"/>
    <w:rsid w:val="00551B81"/>
    <w:rsid w:val="00551C21"/>
    <w:rsid w:val="0055250F"/>
    <w:rsid w:val="00552BF6"/>
    <w:rsid w:val="005534FA"/>
    <w:rsid w:val="00553CA4"/>
    <w:rsid w:val="00554897"/>
    <w:rsid w:val="005550CA"/>
    <w:rsid w:val="0055522B"/>
    <w:rsid w:val="00555785"/>
    <w:rsid w:val="00555BDF"/>
    <w:rsid w:val="00555D4A"/>
    <w:rsid w:val="00555FBA"/>
    <w:rsid w:val="00556368"/>
    <w:rsid w:val="0055742C"/>
    <w:rsid w:val="00557471"/>
    <w:rsid w:val="005578D0"/>
    <w:rsid w:val="00557AA6"/>
    <w:rsid w:val="00560BA8"/>
    <w:rsid w:val="005610E1"/>
    <w:rsid w:val="005618E0"/>
    <w:rsid w:val="005619AA"/>
    <w:rsid w:val="00561B6E"/>
    <w:rsid w:val="00561C59"/>
    <w:rsid w:val="00562394"/>
    <w:rsid w:val="00562BE1"/>
    <w:rsid w:val="00563106"/>
    <w:rsid w:val="00563255"/>
    <w:rsid w:val="00563563"/>
    <w:rsid w:val="005635AA"/>
    <w:rsid w:val="00563762"/>
    <w:rsid w:val="00563C9E"/>
    <w:rsid w:val="005640B5"/>
    <w:rsid w:val="005644F1"/>
    <w:rsid w:val="0056462D"/>
    <w:rsid w:val="00564A38"/>
    <w:rsid w:val="00564B47"/>
    <w:rsid w:val="00564B73"/>
    <w:rsid w:val="00564E65"/>
    <w:rsid w:val="00564E90"/>
    <w:rsid w:val="00564F88"/>
    <w:rsid w:val="00565212"/>
    <w:rsid w:val="005652AF"/>
    <w:rsid w:val="005652C6"/>
    <w:rsid w:val="00565929"/>
    <w:rsid w:val="00565AF7"/>
    <w:rsid w:val="00565E5B"/>
    <w:rsid w:val="00565E87"/>
    <w:rsid w:val="00566273"/>
    <w:rsid w:val="005662BC"/>
    <w:rsid w:val="005665DB"/>
    <w:rsid w:val="00566A09"/>
    <w:rsid w:val="00566A47"/>
    <w:rsid w:val="00566ACF"/>
    <w:rsid w:val="00566AE8"/>
    <w:rsid w:val="00566DA7"/>
    <w:rsid w:val="0057069F"/>
    <w:rsid w:val="00570776"/>
    <w:rsid w:val="00570FAD"/>
    <w:rsid w:val="00570FE4"/>
    <w:rsid w:val="00571B29"/>
    <w:rsid w:val="00571E28"/>
    <w:rsid w:val="0057277D"/>
    <w:rsid w:val="00572ACB"/>
    <w:rsid w:val="00572CEF"/>
    <w:rsid w:val="00572E2C"/>
    <w:rsid w:val="00573117"/>
    <w:rsid w:val="0057350C"/>
    <w:rsid w:val="00573BD3"/>
    <w:rsid w:val="00573D00"/>
    <w:rsid w:val="00573E67"/>
    <w:rsid w:val="00573F30"/>
    <w:rsid w:val="00574AA0"/>
    <w:rsid w:val="00574FCC"/>
    <w:rsid w:val="00575587"/>
    <w:rsid w:val="00575AAB"/>
    <w:rsid w:val="005769B5"/>
    <w:rsid w:val="00576CC9"/>
    <w:rsid w:val="00577116"/>
    <w:rsid w:val="00577515"/>
    <w:rsid w:val="005775E2"/>
    <w:rsid w:val="00577816"/>
    <w:rsid w:val="00577A1C"/>
    <w:rsid w:val="00577B64"/>
    <w:rsid w:val="005800B7"/>
    <w:rsid w:val="005802D0"/>
    <w:rsid w:val="005804DF"/>
    <w:rsid w:val="005807D8"/>
    <w:rsid w:val="00580CE8"/>
    <w:rsid w:val="00580D6B"/>
    <w:rsid w:val="00581383"/>
    <w:rsid w:val="00581737"/>
    <w:rsid w:val="00581C48"/>
    <w:rsid w:val="00581FC5"/>
    <w:rsid w:val="005820A6"/>
    <w:rsid w:val="0058212D"/>
    <w:rsid w:val="00582229"/>
    <w:rsid w:val="005822C5"/>
    <w:rsid w:val="00582516"/>
    <w:rsid w:val="00582C63"/>
    <w:rsid w:val="0058361C"/>
    <w:rsid w:val="00583778"/>
    <w:rsid w:val="0058383C"/>
    <w:rsid w:val="005838B8"/>
    <w:rsid w:val="0058391D"/>
    <w:rsid w:val="0058398E"/>
    <w:rsid w:val="00583C90"/>
    <w:rsid w:val="00584505"/>
    <w:rsid w:val="00584604"/>
    <w:rsid w:val="005846A8"/>
    <w:rsid w:val="005847E6"/>
    <w:rsid w:val="00584806"/>
    <w:rsid w:val="00584831"/>
    <w:rsid w:val="00584A09"/>
    <w:rsid w:val="00584A21"/>
    <w:rsid w:val="00584AB8"/>
    <w:rsid w:val="00584D83"/>
    <w:rsid w:val="005852EB"/>
    <w:rsid w:val="00585768"/>
    <w:rsid w:val="00585A42"/>
    <w:rsid w:val="00585F27"/>
    <w:rsid w:val="00586120"/>
    <w:rsid w:val="00586531"/>
    <w:rsid w:val="00586A0A"/>
    <w:rsid w:val="00586E21"/>
    <w:rsid w:val="00586EA5"/>
    <w:rsid w:val="00586F35"/>
    <w:rsid w:val="0058704D"/>
    <w:rsid w:val="00587430"/>
    <w:rsid w:val="0058746A"/>
    <w:rsid w:val="005874A3"/>
    <w:rsid w:val="00587C9D"/>
    <w:rsid w:val="00587D7C"/>
    <w:rsid w:val="00587DC2"/>
    <w:rsid w:val="00590176"/>
    <w:rsid w:val="00590567"/>
    <w:rsid w:val="00590750"/>
    <w:rsid w:val="00590BDF"/>
    <w:rsid w:val="00590F26"/>
    <w:rsid w:val="005913B3"/>
    <w:rsid w:val="00591656"/>
    <w:rsid w:val="00592157"/>
    <w:rsid w:val="005929EA"/>
    <w:rsid w:val="005929EC"/>
    <w:rsid w:val="00592CF7"/>
    <w:rsid w:val="00592EB2"/>
    <w:rsid w:val="00592F94"/>
    <w:rsid w:val="005934AC"/>
    <w:rsid w:val="0059365F"/>
    <w:rsid w:val="00593788"/>
    <w:rsid w:val="0059391A"/>
    <w:rsid w:val="00593A5A"/>
    <w:rsid w:val="00593C45"/>
    <w:rsid w:val="0059453A"/>
    <w:rsid w:val="00594AE8"/>
    <w:rsid w:val="00594B4B"/>
    <w:rsid w:val="00594BDC"/>
    <w:rsid w:val="005953E3"/>
    <w:rsid w:val="0059564B"/>
    <w:rsid w:val="005956AF"/>
    <w:rsid w:val="00595C9E"/>
    <w:rsid w:val="005960EF"/>
    <w:rsid w:val="005961D5"/>
    <w:rsid w:val="005962B7"/>
    <w:rsid w:val="00596420"/>
    <w:rsid w:val="005969C4"/>
    <w:rsid w:val="005969EC"/>
    <w:rsid w:val="005972A7"/>
    <w:rsid w:val="00597639"/>
    <w:rsid w:val="0059772F"/>
    <w:rsid w:val="00597DBA"/>
    <w:rsid w:val="005A02B1"/>
    <w:rsid w:val="005A057F"/>
    <w:rsid w:val="005A059E"/>
    <w:rsid w:val="005A05B4"/>
    <w:rsid w:val="005A06B0"/>
    <w:rsid w:val="005A0A58"/>
    <w:rsid w:val="005A0C38"/>
    <w:rsid w:val="005A0F4F"/>
    <w:rsid w:val="005A0FCF"/>
    <w:rsid w:val="005A183D"/>
    <w:rsid w:val="005A1A1F"/>
    <w:rsid w:val="005A1AF5"/>
    <w:rsid w:val="005A1D6F"/>
    <w:rsid w:val="005A242A"/>
    <w:rsid w:val="005A26CC"/>
    <w:rsid w:val="005A2B28"/>
    <w:rsid w:val="005A31F6"/>
    <w:rsid w:val="005A39B7"/>
    <w:rsid w:val="005A3AAC"/>
    <w:rsid w:val="005A4ACE"/>
    <w:rsid w:val="005A4E51"/>
    <w:rsid w:val="005A4FD2"/>
    <w:rsid w:val="005A5104"/>
    <w:rsid w:val="005A52C4"/>
    <w:rsid w:val="005A5975"/>
    <w:rsid w:val="005A59E3"/>
    <w:rsid w:val="005A663A"/>
    <w:rsid w:val="005A69B8"/>
    <w:rsid w:val="005A6B60"/>
    <w:rsid w:val="005A6DB1"/>
    <w:rsid w:val="005A729F"/>
    <w:rsid w:val="005A7396"/>
    <w:rsid w:val="005A73F3"/>
    <w:rsid w:val="005A7824"/>
    <w:rsid w:val="005A7E09"/>
    <w:rsid w:val="005A7F44"/>
    <w:rsid w:val="005B08FF"/>
    <w:rsid w:val="005B0F65"/>
    <w:rsid w:val="005B1334"/>
    <w:rsid w:val="005B19CD"/>
    <w:rsid w:val="005B2C14"/>
    <w:rsid w:val="005B2C54"/>
    <w:rsid w:val="005B3B48"/>
    <w:rsid w:val="005B4580"/>
    <w:rsid w:val="005B489D"/>
    <w:rsid w:val="005B4A6E"/>
    <w:rsid w:val="005B4C2D"/>
    <w:rsid w:val="005B5739"/>
    <w:rsid w:val="005B5791"/>
    <w:rsid w:val="005B6005"/>
    <w:rsid w:val="005B6213"/>
    <w:rsid w:val="005B62F3"/>
    <w:rsid w:val="005B7047"/>
    <w:rsid w:val="005B711D"/>
    <w:rsid w:val="005B7276"/>
    <w:rsid w:val="005B785B"/>
    <w:rsid w:val="005B7BD0"/>
    <w:rsid w:val="005B7BEE"/>
    <w:rsid w:val="005B7D6D"/>
    <w:rsid w:val="005C0072"/>
    <w:rsid w:val="005C009B"/>
    <w:rsid w:val="005C01D9"/>
    <w:rsid w:val="005C0ACF"/>
    <w:rsid w:val="005C0C7B"/>
    <w:rsid w:val="005C0D5D"/>
    <w:rsid w:val="005C118D"/>
    <w:rsid w:val="005C126B"/>
    <w:rsid w:val="005C18B8"/>
    <w:rsid w:val="005C1B14"/>
    <w:rsid w:val="005C1F09"/>
    <w:rsid w:val="005C216F"/>
    <w:rsid w:val="005C244F"/>
    <w:rsid w:val="005C2625"/>
    <w:rsid w:val="005C26BE"/>
    <w:rsid w:val="005C29F5"/>
    <w:rsid w:val="005C2E8B"/>
    <w:rsid w:val="005C3959"/>
    <w:rsid w:val="005C3ADC"/>
    <w:rsid w:val="005C4A8B"/>
    <w:rsid w:val="005C4D91"/>
    <w:rsid w:val="005C6369"/>
    <w:rsid w:val="005C7170"/>
    <w:rsid w:val="005C743D"/>
    <w:rsid w:val="005D05B7"/>
    <w:rsid w:val="005D17FB"/>
    <w:rsid w:val="005D1956"/>
    <w:rsid w:val="005D1973"/>
    <w:rsid w:val="005D1E51"/>
    <w:rsid w:val="005D24BC"/>
    <w:rsid w:val="005D26BD"/>
    <w:rsid w:val="005D28C6"/>
    <w:rsid w:val="005D2D22"/>
    <w:rsid w:val="005D34C9"/>
    <w:rsid w:val="005D34D5"/>
    <w:rsid w:val="005D37C7"/>
    <w:rsid w:val="005D41AA"/>
    <w:rsid w:val="005D4771"/>
    <w:rsid w:val="005D47AD"/>
    <w:rsid w:val="005D47E4"/>
    <w:rsid w:val="005D485D"/>
    <w:rsid w:val="005D4955"/>
    <w:rsid w:val="005D4DAC"/>
    <w:rsid w:val="005D51CD"/>
    <w:rsid w:val="005D5337"/>
    <w:rsid w:val="005D53B1"/>
    <w:rsid w:val="005D53BB"/>
    <w:rsid w:val="005D562A"/>
    <w:rsid w:val="005D5685"/>
    <w:rsid w:val="005D5831"/>
    <w:rsid w:val="005D589A"/>
    <w:rsid w:val="005D5ADE"/>
    <w:rsid w:val="005D5DC7"/>
    <w:rsid w:val="005D60F5"/>
    <w:rsid w:val="005D6411"/>
    <w:rsid w:val="005D6595"/>
    <w:rsid w:val="005D68E0"/>
    <w:rsid w:val="005D6C85"/>
    <w:rsid w:val="005D6D4E"/>
    <w:rsid w:val="005D707A"/>
    <w:rsid w:val="005D7268"/>
    <w:rsid w:val="005D7480"/>
    <w:rsid w:val="005D7556"/>
    <w:rsid w:val="005D78D0"/>
    <w:rsid w:val="005D7CCD"/>
    <w:rsid w:val="005D7D5E"/>
    <w:rsid w:val="005E0545"/>
    <w:rsid w:val="005E0829"/>
    <w:rsid w:val="005E08C6"/>
    <w:rsid w:val="005E08F5"/>
    <w:rsid w:val="005E0CA4"/>
    <w:rsid w:val="005E10A1"/>
    <w:rsid w:val="005E1164"/>
    <w:rsid w:val="005E11A1"/>
    <w:rsid w:val="005E12A3"/>
    <w:rsid w:val="005E1625"/>
    <w:rsid w:val="005E18E3"/>
    <w:rsid w:val="005E20EE"/>
    <w:rsid w:val="005E29DC"/>
    <w:rsid w:val="005E2C13"/>
    <w:rsid w:val="005E2DA3"/>
    <w:rsid w:val="005E3316"/>
    <w:rsid w:val="005E33FF"/>
    <w:rsid w:val="005E3455"/>
    <w:rsid w:val="005E365F"/>
    <w:rsid w:val="005E3A8B"/>
    <w:rsid w:val="005E3D47"/>
    <w:rsid w:val="005E3D69"/>
    <w:rsid w:val="005E413B"/>
    <w:rsid w:val="005E4150"/>
    <w:rsid w:val="005E4453"/>
    <w:rsid w:val="005E473D"/>
    <w:rsid w:val="005E4916"/>
    <w:rsid w:val="005E50A7"/>
    <w:rsid w:val="005E50F0"/>
    <w:rsid w:val="005E653B"/>
    <w:rsid w:val="005E6D07"/>
    <w:rsid w:val="005E6F38"/>
    <w:rsid w:val="005E6F3B"/>
    <w:rsid w:val="005E7606"/>
    <w:rsid w:val="005E7E61"/>
    <w:rsid w:val="005E7F69"/>
    <w:rsid w:val="005F00AF"/>
    <w:rsid w:val="005F00B0"/>
    <w:rsid w:val="005F0960"/>
    <w:rsid w:val="005F0CB7"/>
    <w:rsid w:val="005F0EF2"/>
    <w:rsid w:val="005F1083"/>
    <w:rsid w:val="005F1784"/>
    <w:rsid w:val="005F17B1"/>
    <w:rsid w:val="005F2955"/>
    <w:rsid w:val="005F3115"/>
    <w:rsid w:val="005F31C7"/>
    <w:rsid w:val="005F3411"/>
    <w:rsid w:val="005F3517"/>
    <w:rsid w:val="005F3752"/>
    <w:rsid w:val="005F380F"/>
    <w:rsid w:val="005F40C3"/>
    <w:rsid w:val="005F4128"/>
    <w:rsid w:val="005F42F9"/>
    <w:rsid w:val="005F4347"/>
    <w:rsid w:val="005F435C"/>
    <w:rsid w:val="005F49A9"/>
    <w:rsid w:val="005F4ABE"/>
    <w:rsid w:val="005F4C78"/>
    <w:rsid w:val="005F4F1D"/>
    <w:rsid w:val="005F5735"/>
    <w:rsid w:val="005F5A1F"/>
    <w:rsid w:val="005F65BC"/>
    <w:rsid w:val="005F6645"/>
    <w:rsid w:val="005F67A3"/>
    <w:rsid w:val="005F6C8C"/>
    <w:rsid w:val="005F6CE5"/>
    <w:rsid w:val="005F6D92"/>
    <w:rsid w:val="005F7012"/>
    <w:rsid w:val="005F7017"/>
    <w:rsid w:val="005F7A87"/>
    <w:rsid w:val="005F7AD7"/>
    <w:rsid w:val="005F7DD2"/>
    <w:rsid w:val="006004F3"/>
    <w:rsid w:val="00600653"/>
    <w:rsid w:val="00600996"/>
    <w:rsid w:val="0060184C"/>
    <w:rsid w:val="00601E0D"/>
    <w:rsid w:val="006020F1"/>
    <w:rsid w:val="006022C7"/>
    <w:rsid w:val="00602778"/>
    <w:rsid w:val="00602D87"/>
    <w:rsid w:val="00602F91"/>
    <w:rsid w:val="00603232"/>
    <w:rsid w:val="006036B2"/>
    <w:rsid w:val="00603754"/>
    <w:rsid w:val="00603E5C"/>
    <w:rsid w:val="00603F06"/>
    <w:rsid w:val="0060439D"/>
    <w:rsid w:val="006043A8"/>
    <w:rsid w:val="00604BBE"/>
    <w:rsid w:val="0060605D"/>
    <w:rsid w:val="00606236"/>
    <w:rsid w:val="00606886"/>
    <w:rsid w:val="00606B99"/>
    <w:rsid w:val="00606CB7"/>
    <w:rsid w:val="00607705"/>
    <w:rsid w:val="00607B52"/>
    <w:rsid w:val="00607F14"/>
    <w:rsid w:val="006102A2"/>
    <w:rsid w:val="006109BB"/>
    <w:rsid w:val="0061106D"/>
    <w:rsid w:val="0061109B"/>
    <w:rsid w:val="0061134E"/>
    <w:rsid w:val="006113BD"/>
    <w:rsid w:val="006113CC"/>
    <w:rsid w:val="006117B4"/>
    <w:rsid w:val="00611953"/>
    <w:rsid w:val="00611C90"/>
    <w:rsid w:val="00611F6C"/>
    <w:rsid w:val="00612578"/>
    <w:rsid w:val="0061258B"/>
    <w:rsid w:val="006127BF"/>
    <w:rsid w:val="006128F8"/>
    <w:rsid w:val="00612A80"/>
    <w:rsid w:val="00612F0B"/>
    <w:rsid w:val="006130A6"/>
    <w:rsid w:val="0061356B"/>
    <w:rsid w:val="006137F8"/>
    <w:rsid w:val="006137FE"/>
    <w:rsid w:val="0061394D"/>
    <w:rsid w:val="00613C48"/>
    <w:rsid w:val="00613E3B"/>
    <w:rsid w:val="00613F1E"/>
    <w:rsid w:val="00614695"/>
    <w:rsid w:val="00614A56"/>
    <w:rsid w:val="00614CC2"/>
    <w:rsid w:val="00615085"/>
    <w:rsid w:val="0061540E"/>
    <w:rsid w:val="00615C24"/>
    <w:rsid w:val="00615D1F"/>
    <w:rsid w:val="00616442"/>
    <w:rsid w:val="006164D9"/>
    <w:rsid w:val="006164F3"/>
    <w:rsid w:val="00616661"/>
    <w:rsid w:val="00616747"/>
    <w:rsid w:val="00616BDB"/>
    <w:rsid w:val="00616C25"/>
    <w:rsid w:val="00616CE0"/>
    <w:rsid w:val="00616D73"/>
    <w:rsid w:val="00617728"/>
    <w:rsid w:val="006177F6"/>
    <w:rsid w:val="00617B24"/>
    <w:rsid w:val="00617C47"/>
    <w:rsid w:val="00617D7E"/>
    <w:rsid w:val="00617F8D"/>
    <w:rsid w:val="0062124C"/>
    <w:rsid w:val="0062157E"/>
    <w:rsid w:val="006218CE"/>
    <w:rsid w:val="006219C5"/>
    <w:rsid w:val="00621AEC"/>
    <w:rsid w:val="00622144"/>
    <w:rsid w:val="006231ED"/>
    <w:rsid w:val="0062388A"/>
    <w:rsid w:val="006238CC"/>
    <w:rsid w:val="006243E7"/>
    <w:rsid w:val="006245CA"/>
    <w:rsid w:val="00624EEE"/>
    <w:rsid w:val="00624F7C"/>
    <w:rsid w:val="00625077"/>
    <w:rsid w:val="00625DC4"/>
    <w:rsid w:val="00626112"/>
    <w:rsid w:val="006262C6"/>
    <w:rsid w:val="0062643E"/>
    <w:rsid w:val="00626D56"/>
    <w:rsid w:val="00627100"/>
    <w:rsid w:val="00627384"/>
    <w:rsid w:val="006276AF"/>
    <w:rsid w:val="00627745"/>
    <w:rsid w:val="0062791F"/>
    <w:rsid w:val="00627B83"/>
    <w:rsid w:val="00627E57"/>
    <w:rsid w:val="00631C65"/>
    <w:rsid w:val="00631E20"/>
    <w:rsid w:val="00632A22"/>
    <w:rsid w:val="00632C95"/>
    <w:rsid w:val="006332A7"/>
    <w:rsid w:val="006336AF"/>
    <w:rsid w:val="00633874"/>
    <w:rsid w:val="00633889"/>
    <w:rsid w:val="006339D0"/>
    <w:rsid w:val="00633EAA"/>
    <w:rsid w:val="006340C6"/>
    <w:rsid w:val="006341ED"/>
    <w:rsid w:val="00634454"/>
    <w:rsid w:val="0063447D"/>
    <w:rsid w:val="00634937"/>
    <w:rsid w:val="00634D37"/>
    <w:rsid w:val="00635016"/>
    <w:rsid w:val="0063506E"/>
    <w:rsid w:val="0063573E"/>
    <w:rsid w:val="00636005"/>
    <w:rsid w:val="006360B8"/>
    <w:rsid w:val="006360F9"/>
    <w:rsid w:val="00636168"/>
    <w:rsid w:val="00636241"/>
    <w:rsid w:val="006362D3"/>
    <w:rsid w:val="00636812"/>
    <w:rsid w:val="00636BBD"/>
    <w:rsid w:val="0063767F"/>
    <w:rsid w:val="00637827"/>
    <w:rsid w:val="00637D54"/>
    <w:rsid w:val="00640005"/>
    <w:rsid w:val="00640498"/>
    <w:rsid w:val="006405D7"/>
    <w:rsid w:val="00640834"/>
    <w:rsid w:val="006416F0"/>
    <w:rsid w:val="00641707"/>
    <w:rsid w:val="00641B8D"/>
    <w:rsid w:val="00641BA2"/>
    <w:rsid w:val="00642092"/>
    <w:rsid w:val="006421AD"/>
    <w:rsid w:val="0064283F"/>
    <w:rsid w:val="00642A9B"/>
    <w:rsid w:val="00642D02"/>
    <w:rsid w:val="00642EB6"/>
    <w:rsid w:val="0064301A"/>
    <w:rsid w:val="006435FD"/>
    <w:rsid w:val="00643AA2"/>
    <w:rsid w:val="00643BDB"/>
    <w:rsid w:val="00643DE7"/>
    <w:rsid w:val="00644900"/>
    <w:rsid w:val="006449E0"/>
    <w:rsid w:val="00644CF6"/>
    <w:rsid w:val="00644DFE"/>
    <w:rsid w:val="00644ED1"/>
    <w:rsid w:val="00645360"/>
    <w:rsid w:val="006455AE"/>
    <w:rsid w:val="006457D8"/>
    <w:rsid w:val="00645B7E"/>
    <w:rsid w:val="00645D75"/>
    <w:rsid w:val="00645DBA"/>
    <w:rsid w:val="006461EB"/>
    <w:rsid w:val="006467A3"/>
    <w:rsid w:val="00646CCB"/>
    <w:rsid w:val="006471E1"/>
    <w:rsid w:val="0064734F"/>
    <w:rsid w:val="006475B9"/>
    <w:rsid w:val="00647C50"/>
    <w:rsid w:val="00647D2A"/>
    <w:rsid w:val="00647D74"/>
    <w:rsid w:val="006500A7"/>
    <w:rsid w:val="00650265"/>
    <w:rsid w:val="006503F5"/>
    <w:rsid w:val="006504E2"/>
    <w:rsid w:val="00650FEF"/>
    <w:rsid w:val="006511C7"/>
    <w:rsid w:val="006512F6"/>
    <w:rsid w:val="0065169A"/>
    <w:rsid w:val="006517D6"/>
    <w:rsid w:val="0065193C"/>
    <w:rsid w:val="00652167"/>
    <w:rsid w:val="00652396"/>
    <w:rsid w:val="00652DEF"/>
    <w:rsid w:val="00653332"/>
    <w:rsid w:val="00653422"/>
    <w:rsid w:val="00653476"/>
    <w:rsid w:val="006534CF"/>
    <w:rsid w:val="0065370B"/>
    <w:rsid w:val="00653EA6"/>
    <w:rsid w:val="0065404E"/>
    <w:rsid w:val="006540D0"/>
    <w:rsid w:val="006540FC"/>
    <w:rsid w:val="006544F2"/>
    <w:rsid w:val="00654D04"/>
    <w:rsid w:val="00655518"/>
    <w:rsid w:val="00655BCB"/>
    <w:rsid w:val="00655F5B"/>
    <w:rsid w:val="0065646A"/>
    <w:rsid w:val="006565CD"/>
    <w:rsid w:val="00656770"/>
    <w:rsid w:val="00656B4A"/>
    <w:rsid w:val="00656B78"/>
    <w:rsid w:val="00657024"/>
    <w:rsid w:val="006575CD"/>
    <w:rsid w:val="006578EA"/>
    <w:rsid w:val="00657AA5"/>
    <w:rsid w:val="00657B78"/>
    <w:rsid w:val="00657C90"/>
    <w:rsid w:val="0066003A"/>
    <w:rsid w:val="00660633"/>
    <w:rsid w:val="0066082F"/>
    <w:rsid w:val="006609D4"/>
    <w:rsid w:val="00660B05"/>
    <w:rsid w:val="00660E90"/>
    <w:rsid w:val="006611BE"/>
    <w:rsid w:val="00661248"/>
    <w:rsid w:val="00661277"/>
    <w:rsid w:val="00661D96"/>
    <w:rsid w:val="00661E48"/>
    <w:rsid w:val="00662122"/>
    <w:rsid w:val="006621A9"/>
    <w:rsid w:val="006628A0"/>
    <w:rsid w:val="00662E06"/>
    <w:rsid w:val="0066382F"/>
    <w:rsid w:val="006638A6"/>
    <w:rsid w:val="00663988"/>
    <w:rsid w:val="0066433A"/>
    <w:rsid w:val="00664451"/>
    <w:rsid w:val="006645CA"/>
    <w:rsid w:val="00664AEE"/>
    <w:rsid w:val="00664B59"/>
    <w:rsid w:val="00664BEE"/>
    <w:rsid w:val="00664CBC"/>
    <w:rsid w:val="00664D95"/>
    <w:rsid w:val="0066517F"/>
    <w:rsid w:val="00665353"/>
    <w:rsid w:val="00666221"/>
    <w:rsid w:val="006665C4"/>
    <w:rsid w:val="006666CE"/>
    <w:rsid w:val="006669DB"/>
    <w:rsid w:val="00666DA4"/>
    <w:rsid w:val="006671C9"/>
    <w:rsid w:val="0066761D"/>
    <w:rsid w:val="0066762D"/>
    <w:rsid w:val="00667634"/>
    <w:rsid w:val="00667C8A"/>
    <w:rsid w:val="00667ED5"/>
    <w:rsid w:val="00670501"/>
    <w:rsid w:val="00670855"/>
    <w:rsid w:val="00670B9E"/>
    <w:rsid w:val="00670BBD"/>
    <w:rsid w:val="00670BEE"/>
    <w:rsid w:val="00670D0F"/>
    <w:rsid w:val="00670DCE"/>
    <w:rsid w:val="00670F29"/>
    <w:rsid w:val="00670F9D"/>
    <w:rsid w:val="006716EC"/>
    <w:rsid w:val="00672825"/>
    <w:rsid w:val="0067295B"/>
    <w:rsid w:val="00672A42"/>
    <w:rsid w:val="00672B92"/>
    <w:rsid w:val="00672DD7"/>
    <w:rsid w:val="00673092"/>
    <w:rsid w:val="0067398F"/>
    <w:rsid w:val="00673C4F"/>
    <w:rsid w:val="0067423D"/>
    <w:rsid w:val="00674B54"/>
    <w:rsid w:val="006751ED"/>
    <w:rsid w:val="006751F0"/>
    <w:rsid w:val="00675A29"/>
    <w:rsid w:val="00675E7A"/>
    <w:rsid w:val="00675EF9"/>
    <w:rsid w:val="00676167"/>
    <w:rsid w:val="006762C1"/>
    <w:rsid w:val="006768A0"/>
    <w:rsid w:val="00676D1E"/>
    <w:rsid w:val="00676F7A"/>
    <w:rsid w:val="0067702C"/>
    <w:rsid w:val="00677172"/>
    <w:rsid w:val="00677637"/>
    <w:rsid w:val="00677F91"/>
    <w:rsid w:val="0068009E"/>
    <w:rsid w:val="0068014B"/>
    <w:rsid w:val="006807EC"/>
    <w:rsid w:val="00680991"/>
    <w:rsid w:val="00680E0A"/>
    <w:rsid w:val="00681108"/>
    <w:rsid w:val="00681688"/>
    <w:rsid w:val="00681D9D"/>
    <w:rsid w:val="0068227D"/>
    <w:rsid w:val="006822C1"/>
    <w:rsid w:val="00682346"/>
    <w:rsid w:val="006825BB"/>
    <w:rsid w:val="00682A3E"/>
    <w:rsid w:val="00682F54"/>
    <w:rsid w:val="00683084"/>
    <w:rsid w:val="0068336A"/>
    <w:rsid w:val="00683988"/>
    <w:rsid w:val="006839C4"/>
    <w:rsid w:val="0068426D"/>
    <w:rsid w:val="0068481E"/>
    <w:rsid w:val="00684AA5"/>
    <w:rsid w:val="00684DA6"/>
    <w:rsid w:val="00684FBB"/>
    <w:rsid w:val="00685310"/>
    <w:rsid w:val="0068569E"/>
    <w:rsid w:val="00685B0A"/>
    <w:rsid w:val="00686A94"/>
    <w:rsid w:val="00686F3B"/>
    <w:rsid w:val="00687341"/>
    <w:rsid w:val="00687611"/>
    <w:rsid w:val="00687FB5"/>
    <w:rsid w:val="006902BA"/>
    <w:rsid w:val="006902EB"/>
    <w:rsid w:val="0069037C"/>
    <w:rsid w:val="00690EB0"/>
    <w:rsid w:val="006910C3"/>
    <w:rsid w:val="00691133"/>
    <w:rsid w:val="00691AD0"/>
    <w:rsid w:val="00691BCD"/>
    <w:rsid w:val="00691D8B"/>
    <w:rsid w:val="0069207C"/>
    <w:rsid w:val="00692305"/>
    <w:rsid w:val="006928BA"/>
    <w:rsid w:val="006929A8"/>
    <w:rsid w:val="00692C58"/>
    <w:rsid w:val="0069313E"/>
    <w:rsid w:val="00693C16"/>
    <w:rsid w:val="006941C5"/>
    <w:rsid w:val="006943A3"/>
    <w:rsid w:val="0069492A"/>
    <w:rsid w:val="0069495B"/>
    <w:rsid w:val="00694A7C"/>
    <w:rsid w:val="00694A90"/>
    <w:rsid w:val="00694C07"/>
    <w:rsid w:val="00694CA9"/>
    <w:rsid w:val="006951A5"/>
    <w:rsid w:val="006954B0"/>
    <w:rsid w:val="0069567D"/>
    <w:rsid w:val="00695E0E"/>
    <w:rsid w:val="00696680"/>
    <w:rsid w:val="006967E0"/>
    <w:rsid w:val="00696C25"/>
    <w:rsid w:val="00696FCD"/>
    <w:rsid w:val="0069764B"/>
    <w:rsid w:val="00697D72"/>
    <w:rsid w:val="00697DDD"/>
    <w:rsid w:val="00697F54"/>
    <w:rsid w:val="006A06A3"/>
    <w:rsid w:val="006A0A11"/>
    <w:rsid w:val="006A0C5B"/>
    <w:rsid w:val="006A0EEF"/>
    <w:rsid w:val="006A11A6"/>
    <w:rsid w:val="006A11E4"/>
    <w:rsid w:val="006A121F"/>
    <w:rsid w:val="006A1BC4"/>
    <w:rsid w:val="006A21E5"/>
    <w:rsid w:val="006A21F4"/>
    <w:rsid w:val="006A22C1"/>
    <w:rsid w:val="006A28B6"/>
    <w:rsid w:val="006A2D65"/>
    <w:rsid w:val="006A300A"/>
    <w:rsid w:val="006A359D"/>
    <w:rsid w:val="006A36AE"/>
    <w:rsid w:val="006A38CF"/>
    <w:rsid w:val="006A3B7B"/>
    <w:rsid w:val="006A3DD4"/>
    <w:rsid w:val="006A4A8C"/>
    <w:rsid w:val="006A4F9B"/>
    <w:rsid w:val="006A5031"/>
    <w:rsid w:val="006A5658"/>
    <w:rsid w:val="006A579F"/>
    <w:rsid w:val="006A57FB"/>
    <w:rsid w:val="006A61AA"/>
    <w:rsid w:val="006A6377"/>
    <w:rsid w:val="006A6C5B"/>
    <w:rsid w:val="006A7950"/>
    <w:rsid w:val="006A7D15"/>
    <w:rsid w:val="006B03DF"/>
    <w:rsid w:val="006B0587"/>
    <w:rsid w:val="006B061A"/>
    <w:rsid w:val="006B0F57"/>
    <w:rsid w:val="006B1017"/>
    <w:rsid w:val="006B12A7"/>
    <w:rsid w:val="006B1390"/>
    <w:rsid w:val="006B1499"/>
    <w:rsid w:val="006B157C"/>
    <w:rsid w:val="006B162E"/>
    <w:rsid w:val="006B17AD"/>
    <w:rsid w:val="006B1847"/>
    <w:rsid w:val="006B19C4"/>
    <w:rsid w:val="006B1C99"/>
    <w:rsid w:val="006B1CAE"/>
    <w:rsid w:val="006B204A"/>
    <w:rsid w:val="006B2954"/>
    <w:rsid w:val="006B2A89"/>
    <w:rsid w:val="006B3C78"/>
    <w:rsid w:val="006B40F4"/>
    <w:rsid w:val="006B4337"/>
    <w:rsid w:val="006B4774"/>
    <w:rsid w:val="006B47BE"/>
    <w:rsid w:val="006B4829"/>
    <w:rsid w:val="006B53A4"/>
    <w:rsid w:val="006B5481"/>
    <w:rsid w:val="006B59E3"/>
    <w:rsid w:val="006B5D8F"/>
    <w:rsid w:val="006B61D0"/>
    <w:rsid w:val="006B62D9"/>
    <w:rsid w:val="006B6E64"/>
    <w:rsid w:val="006B7096"/>
    <w:rsid w:val="006B767C"/>
    <w:rsid w:val="006B79CB"/>
    <w:rsid w:val="006B7F05"/>
    <w:rsid w:val="006C04E7"/>
    <w:rsid w:val="006C069F"/>
    <w:rsid w:val="006C0907"/>
    <w:rsid w:val="006C10E5"/>
    <w:rsid w:val="006C1FD2"/>
    <w:rsid w:val="006C20D0"/>
    <w:rsid w:val="006C28F0"/>
    <w:rsid w:val="006C294B"/>
    <w:rsid w:val="006C2E24"/>
    <w:rsid w:val="006C32D8"/>
    <w:rsid w:val="006C35BE"/>
    <w:rsid w:val="006C39D5"/>
    <w:rsid w:val="006C3B47"/>
    <w:rsid w:val="006C3BDD"/>
    <w:rsid w:val="006C3E21"/>
    <w:rsid w:val="006C44F0"/>
    <w:rsid w:val="006C4525"/>
    <w:rsid w:val="006C4717"/>
    <w:rsid w:val="006C5726"/>
    <w:rsid w:val="006C58DA"/>
    <w:rsid w:val="006C5DC5"/>
    <w:rsid w:val="006C607C"/>
    <w:rsid w:val="006C6147"/>
    <w:rsid w:val="006C6364"/>
    <w:rsid w:val="006C642F"/>
    <w:rsid w:val="006C647D"/>
    <w:rsid w:val="006C668E"/>
    <w:rsid w:val="006C67C5"/>
    <w:rsid w:val="006C67CF"/>
    <w:rsid w:val="006C69B2"/>
    <w:rsid w:val="006C6A64"/>
    <w:rsid w:val="006C730B"/>
    <w:rsid w:val="006C7548"/>
    <w:rsid w:val="006C7B7A"/>
    <w:rsid w:val="006C7FC1"/>
    <w:rsid w:val="006D06D3"/>
    <w:rsid w:val="006D1003"/>
    <w:rsid w:val="006D11D6"/>
    <w:rsid w:val="006D163F"/>
    <w:rsid w:val="006D17AB"/>
    <w:rsid w:val="006D17B1"/>
    <w:rsid w:val="006D209B"/>
    <w:rsid w:val="006D2420"/>
    <w:rsid w:val="006D2602"/>
    <w:rsid w:val="006D2944"/>
    <w:rsid w:val="006D2BB9"/>
    <w:rsid w:val="006D3175"/>
    <w:rsid w:val="006D3280"/>
    <w:rsid w:val="006D3472"/>
    <w:rsid w:val="006D3550"/>
    <w:rsid w:val="006D35A6"/>
    <w:rsid w:val="006D36F5"/>
    <w:rsid w:val="006D374C"/>
    <w:rsid w:val="006D3AC0"/>
    <w:rsid w:val="006D3D8F"/>
    <w:rsid w:val="006D3E5D"/>
    <w:rsid w:val="006D466B"/>
    <w:rsid w:val="006D4759"/>
    <w:rsid w:val="006D48BE"/>
    <w:rsid w:val="006D4B29"/>
    <w:rsid w:val="006D4F5A"/>
    <w:rsid w:val="006D52DC"/>
    <w:rsid w:val="006D5332"/>
    <w:rsid w:val="006D5460"/>
    <w:rsid w:val="006D54F5"/>
    <w:rsid w:val="006D5BAB"/>
    <w:rsid w:val="006D6DD3"/>
    <w:rsid w:val="006D7828"/>
    <w:rsid w:val="006D7FA2"/>
    <w:rsid w:val="006E0038"/>
    <w:rsid w:val="006E0125"/>
    <w:rsid w:val="006E0197"/>
    <w:rsid w:val="006E04C4"/>
    <w:rsid w:val="006E0CFD"/>
    <w:rsid w:val="006E1253"/>
    <w:rsid w:val="006E1338"/>
    <w:rsid w:val="006E1592"/>
    <w:rsid w:val="006E15C8"/>
    <w:rsid w:val="006E1614"/>
    <w:rsid w:val="006E1622"/>
    <w:rsid w:val="006E1BEA"/>
    <w:rsid w:val="006E1E35"/>
    <w:rsid w:val="006E2007"/>
    <w:rsid w:val="006E245B"/>
    <w:rsid w:val="006E249C"/>
    <w:rsid w:val="006E2680"/>
    <w:rsid w:val="006E2822"/>
    <w:rsid w:val="006E2A83"/>
    <w:rsid w:val="006E2E7D"/>
    <w:rsid w:val="006E3CAC"/>
    <w:rsid w:val="006E44EC"/>
    <w:rsid w:val="006E4C29"/>
    <w:rsid w:val="006E4DBD"/>
    <w:rsid w:val="006E4EA2"/>
    <w:rsid w:val="006E5545"/>
    <w:rsid w:val="006E5D4C"/>
    <w:rsid w:val="006E6041"/>
    <w:rsid w:val="006E6049"/>
    <w:rsid w:val="006E6419"/>
    <w:rsid w:val="006E695F"/>
    <w:rsid w:val="006E6ED9"/>
    <w:rsid w:val="006E719C"/>
    <w:rsid w:val="006E7271"/>
    <w:rsid w:val="006E76A3"/>
    <w:rsid w:val="006E7B09"/>
    <w:rsid w:val="006E7ED0"/>
    <w:rsid w:val="006E7FD1"/>
    <w:rsid w:val="006F0138"/>
    <w:rsid w:val="006F0480"/>
    <w:rsid w:val="006F0553"/>
    <w:rsid w:val="006F0583"/>
    <w:rsid w:val="006F0889"/>
    <w:rsid w:val="006F0DD8"/>
    <w:rsid w:val="006F10BB"/>
    <w:rsid w:val="006F127E"/>
    <w:rsid w:val="006F15F0"/>
    <w:rsid w:val="006F179F"/>
    <w:rsid w:val="006F1A7B"/>
    <w:rsid w:val="006F2133"/>
    <w:rsid w:val="006F22B9"/>
    <w:rsid w:val="006F2609"/>
    <w:rsid w:val="006F2B36"/>
    <w:rsid w:val="006F3123"/>
    <w:rsid w:val="006F32E8"/>
    <w:rsid w:val="006F446C"/>
    <w:rsid w:val="006F4BAD"/>
    <w:rsid w:val="006F4C36"/>
    <w:rsid w:val="006F51D6"/>
    <w:rsid w:val="006F5232"/>
    <w:rsid w:val="006F59AB"/>
    <w:rsid w:val="006F5B61"/>
    <w:rsid w:val="006F61CA"/>
    <w:rsid w:val="006F658F"/>
    <w:rsid w:val="006F6A40"/>
    <w:rsid w:val="006F6B5E"/>
    <w:rsid w:val="006F6BF0"/>
    <w:rsid w:val="006F6EC3"/>
    <w:rsid w:val="006F6F3F"/>
    <w:rsid w:val="006F70E1"/>
    <w:rsid w:val="006F7301"/>
    <w:rsid w:val="006F7AA6"/>
    <w:rsid w:val="006F7B37"/>
    <w:rsid w:val="006F7BB6"/>
    <w:rsid w:val="00700038"/>
    <w:rsid w:val="0070050E"/>
    <w:rsid w:val="00700D7D"/>
    <w:rsid w:val="00701C61"/>
    <w:rsid w:val="00702087"/>
    <w:rsid w:val="007024B9"/>
    <w:rsid w:val="007028BD"/>
    <w:rsid w:val="00702929"/>
    <w:rsid w:val="00702C18"/>
    <w:rsid w:val="00702DC4"/>
    <w:rsid w:val="0070330F"/>
    <w:rsid w:val="00703351"/>
    <w:rsid w:val="00703D71"/>
    <w:rsid w:val="00703DCE"/>
    <w:rsid w:val="00704754"/>
    <w:rsid w:val="00704AA2"/>
    <w:rsid w:val="00704C4A"/>
    <w:rsid w:val="00704EFC"/>
    <w:rsid w:val="0070507B"/>
    <w:rsid w:val="0070543F"/>
    <w:rsid w:val="0070555E"/>
    <w:rsid w:val="00705E66"/>
    <w:rsid w:val="00706047"/>
    <w:rsid w:val="0070633E"/>
    <w:rsid w:val="007073F3"/>
    <w:rsid w:val="00707ABF"/>
    <w:rsid w:val="00707F9A"/>
    <w:rsid w:val="0071061B"/>
    <w:rsid w:val="00710A1C"/>
    <w:rsid w:val="00710AC1"/>
    <w:rsid w:val="00710E84"/>
    <w:rsid w:val="007111FD"/>
    <w:rsid w:val="00711290"/>
    <w:rsid w:val="00711489"/>
    <w:rsid w:val="007114B5"/>
    <w:rsid w:val="0071190A"/>
    <w:rsid w:val="00711B79"/>
    <w:rsid w:val="00711C32"/>
    <w:rsid w:val="00712386"/>
    <w:rsid w:val="0071239A"/>
    <w:rsid w:val="00712607"/>
    <w:rsid w:val="007126C3"/>
    <w:rsid w:val="007129FF"/>
    <w:rsid w:val="0071309D"/>
    <w:rsid w:val="0071314E"/>
    <w:rsid w:val="0071326B"/>
    <w:rsid w:val="00713717"/>
    <w:rsid w:val="00713CEF"/>
    <w:rsid w:val="00714233"/>
    <w:rsid w:val="007143A4"/>
    <w:rsid w:val="007147E9"/>
    <w:rsid w:val="007149EF"/>
    <w:rsid w:val="00715192"/>
    <w:rsid w:val="007152F9"/>
    <w:rsid w:val="007162D2"/>
    <w:rsid w:val="00716310"/>
    <w:rsid w:val="007165ED"/>
    <w:rsid w:val="00716F0E"/>
    <w:rsid w:val="00716F5A"/>
    <w:rsid w:val="00717404"/>
    <w:rsid w:val="00717F5C"/>
    <w:rsid w:val="007200F4"/>
    <w:rsid w:val="00720508"/>
    <w:rsid w:val="00720CFB"/>
    <w:rsid w:val="00720DBC"/>
    <w:rsid w:val="00720F9E"/>
    <w:rsid w:val="007216AD"/>
    <w:rsid w:val="00721979"/>
    <w:rsid w:val="00721C39"/>
    <w:rsid w:val="00721E0E"/>
    <w:rsid w:val="00721E59"/>
    <w:rsid w:val="00721F48"/>
    <w:rsid w:val="00721FE3"/>
    <w:rsid w:val="007222C0"/>
    <w:rsid w:val="00722492"/>
    <w:rsid w:val="00723718"/>
    <w:rsid w:val="00723804"/>
    <w:rsid w:val="007239DF"/>
    <w:rsid w:val="007239F0"/>
    <w:rsid w:val="00723A5B"/>
    <w:rsid w:val="007240B5"/>
    <w:rsid w:val="00724C16"/>
    <w:rsid w:val="00724DB0"/>
    <w:rsid w:val="00724FFA"/>
    <w:rsid w:val="0072515F"/>
    <w:rsid w:val="00725667"/>
    <w:rsid w:val="00725D10"/>
    <w:rsid w:val="007266AB"/>
    <w:rsid w:val="007266C9"/>
    <w:rsid w:val="00726F37"/>
    <w:rsid w:val="00727412"/>
    <w:rsid w:val="00727574"/>
    <w:rsid w:val="007276AA"/>
    <w:rsid w:val="00727945"/>
    <w:rsid w:val="00727D6A"/>
    <w:rsid w:val="007300AE"/>
    <w:rsid w:val="007307F0"/>
    <w:rsid w:val="007308A7"/>
    <w:rsid w:val="00730A2B"/>
    <w:rsid w:val="007313DB"/>
    <w:rsid w:val="007314D9"/>
    <w:rsid w:val="007318B3"/>
    <w:rsid w:val="00731F81"/>
    <w:rsid w:val="0073224D"/>
    <w:rsid w:val="00732821"/>
    <w:rsid w:val="00732B14"/>
    <w:rsid w:val="00732BF8"/>
    <w:rsid w:val="00732CB5"/>
    <w:rsid w:val="00732FFC"/>
    <w:rsid w:val="0073324D"/>
    <w:rsid w:val="00733251"/>
    <w:rsid w:val="00733268"/>
    <w:rsid w:val="007335E3"/>
    <w:rsid w:val="007344D8"/>
    <w:rsid w:val="007349B7"/>
    <w:rsid w:val="00734BA5"/>
    <w:rsid w:val="007352A1"/>
    <w:rsid w:val="007355BF"/>
    <w:rsid w:val="0073564E"/>
    <w:rsid w:val="00735AD3"/>
    <w:rsid w:val="00735D01"/>
    <w:rsid w:val="00736681"/>
    <w:rsid w:val="0073687D"/>
    <w:rsid w:val="00736F50"/>
    <w:rsid w:val="00737B4A"/>
    <w:rsid w:val="00737DEF"/>
    <w:rsid w:val="00740010"/>
    <w:rsid w:val="00740792"/>
    <w:rsid w:val="00740FC8"/>
    <w:rsid w:val="0074116E"/>
    <w:rsid w:val="00741435"/>
    <w:rsid w:val="0074196C"/>
    <w:rsid w:val="00741ED9"/>
    <w:rsid w:val="007420DA"/>
    <w:rsid w:val="007428FB"/>
    <w:rsid w:val="00742B09"/>
    <w:rsid w:val="00742EEF"/>
    <w:rsid w:val="0074320A"/>
    <w:rsid w:val="0074324C"/>
    <w:rsid w:val="00743672"/>
    <w:rsid w:val="00743D92"/>
    <w:rsid w:val="0074432D"/>
    <w:rsid w:val="00744734"/>
    <w:rsid w:val="00744952"/>
    <w:rsid w:val="007452E4"/>
    <w:rsid w:val="007456E9"/>
    <w:rsid w:val="007459DD"/>
    <w:rsid w:val="00745A08"/>
    <w:rsid w:val="00745CDE"/>
    <w:rsid w:val="00745D6A"/>
    <w:rsid w:val="00745E43"/>
    <w:rsid w:val="00745EE1"/>
    <w:rsid w:val="00745F11"/>
    <w:rsid w:val="0074665A"/>
    <w:rsid w:val="00746E70"/>
    <w:rsid w:val="00747176"/>
    <w:rsid w:val="0074747A"/>
    <w:rsid w:val="00747490"/>
    <w:rsid w:val="00750192"/>
    <w:rsid w:val="007504A5"/>
    <w:rsid w:val="007505C2"/>
    <w:rsid w:val="00751158"/>
    <w:rsid w:val="007513C1"/>
    <w:rsid w:val="00751892"/>
    <w:rsid w:val="00751C2D"/>
    <w:rsid w:val="00752816"/>
    <w:rsid w:val="00752D52"/>
    <w:rsid w:val="0075322A"/>
    <w:rsid w:val="0075377E"/>
    <w:rsid w:val="00753CB8"/>
    <w:rsid w:val="007542D4"/>
    <w:rsid w:val="00754CFD"/>
    <w:rsid w:val="00754F18"/>
    <w:rsid w:val="007552AF"/>
    <w:rsid w:val="00755374"/>
    <w:rsid w:val="00755481"/>
    <w:rsid w:val="00755516"/>
    <w:rsid w:val="00755553"/>
    <w:rsid w:val="00755678"/>
    <w:rsid w:val="00755DFE"/>
    <w:rsid w:val="0075625C"/>
    <w:rsid w:val="007575DC"/>
    <w:rsid w:val="007575E8"/>
    <w:rsid w:val="007602A0"/>
    <w:rsid w:val="007604E1"/>
    <w:rsid w:val="00760725"/>
    <w:rsid w:val="00761385"/>
    <w:rsid w:val="00761730"/>
    <w:rsid w:val="0076181A"/>
    <w:rsid w:val="007619C2"/>
    <w:rsid w:val="007619DE"/>
    <w:rsid w:val="00761B35"/>
    <w:rsid w:val="00761B5A"/>
    <w:rsid w:val="0076201F"/>
    <w:rsid w:val="00762372"/>
    <w:rsid w:val="00762837"/>
    <w:rsid w:val="00762AA6"/>
    <w:rsid w:val="00762D57"/>
    <w:rsid w:val="0076318A"/>
    <w:rsid w:val="007637C1"/>
    <w:rsid w:val="0076397D"/>
    <w:rsid w:val="00763A76"/>
    <w:rsid w:val="0076416B"/>
    <w:rsid w:val="00764E4B"/>
    <w:rsid w:val="007653D8"/>
    <w:rsid w:val="00765643"/>
    <w:rsid w:val="00765708"/>
    <w:rsid w:val="00765917"/>
    <w:rsid w:val="007659BA"/>
    <w:rsid w:val="007659EB"/>
    <w:rsid w:val="00765E87"/>
    <w:rsid w:val="007660E3"/>
    <w:rsid w:val="00766384"/>
    <w:rsid w:val="007664FC"/>
    <w:rsid w:val="00766931"/>
    <w:rsid w:val="007669E5"/>
    <w:rsid w:val="00766EC6"/>
    <w:rsid w:val="00767779"/>
    <w:rsid w:val="007678A0"/>
    <w:rsid w:val="00767A1F"/>
    <w:rsid w:val="00767AE4"/>
    <w:rsid w:val="00767BBB"/>
    <w:rsid w:val="00770172"/>
    <w:rsid w:val="00770D87"/>
    <w:rsid w:val="0077105B"/>
    <w:rsid w:val="00771C67"/>
    <w:rsid w:val="00771FEF"/>
    <w:rsid w:val="0077261B"/>
    <w:rsid w:val="00772C12"/>
    <w:rsid w:val="0077321D"/>
    <w:rsid w:val="007735F8"/>
    <w:rsid w:val="00773854"/>
    <w:rsid w:val="00773DB6"/>
    <w:rsid w:val="007740A5"/>
    <w:rsid w:val="007740F7"/>
    <w:rsid w:val="0077410C"/>
    <w:rsid w:val="0077443C"/>
    <w:rsid w:val="00774746"/>
    <w:rsid w:val="00774C25"/>
    <w:rsid w:val="00774FDB"/>
    <w:rsid w:val="0077559D"/>
    <w:rsid w:val="00775AA8"/>
    <w:rsid w:val="00775B75"/>
    <w:rsid w:val="00775E64"/>
    <w:rsid w:val="00776D2B"/>
    <w:rsid w:val="00776E2C"/>
    <w:rsid w:val="007772EF"/>
    <w:rsid w:val="00777432"/>
    <w:rsid w:val="00777986"/>
    <w:rsid w:val="00777BFE"/>
    <w:rsid w:val="00780897"/>
    <w:rsid w:val="007815ED"/>
    <w:rsid w:val="0078192A"/>
    <w:rsid w:val="00781C68"/>
    <w:rsid w:val="00781E69"/>
    <w:rsid w:val="007821C1"/>
    <w:rsid w:val="00782D62"/>
    <w:rsid w:val="007838FF"/>
    <w:rsid w:val="00783EBB"/>
    <w:rsid w:val="0078438B"/>
    <w:rsid w:val="0078451D"/>
    <w:rsid w:val="00784A2B"/>
    <w:rsid w:val="00784CAD"/>
    <w:rsid w:val="00784D68"/>
    <w:rsid w:val="007851A8"/>
    <w:rsid w:val="0078531C"/>
    <w:rsid w:val="0078544D"/>
    <w:rsid w:val="00785788"/>
    <w:rsid w:val="00785862"/>
    <w:rsid w:val="0078649D"/>
    <w:rsid w:val="007864C1"/>
    <w:rsid w:val="007865A6"/>
    <w:rsid w:val="00786A09"/>
    <w:rsid w:val="00786EAA"/>
    <w:rsid w:val="007871CA"/>
    <w:rsid w:val="007874F6"/>
    <w:rsid w:val="00787A69"/>
    <w:rsid w:val="00787EEF"/>
    <w:rsid w:val="0079034C"/>
    <w:rsid w:val="0079040F"/>
    <w:rsid w:val="0079062A"/>
    <w:rsid w:val="00790899"/>
    <w:rsid w:val="00791007"/>
    <w:rsid w:val="007912F9"/>
    <w:rsid w:val="00791DD8"/>
    <w:rsid w:val="00792041"/>
    <w:rsid w:val="00792444"/>
    <w:rsid w:val="007924E3"/>
    <w:rsid w:val="0079273F"/>
    <w:rsid w:val="00792899"/>
    <w:rsid w:val="00792BAF"/>
    <w:rsid w:val="00792D5D"/>
    <w:rsid w:val="007930B2"/>
    <w:rsid w:val="007930F4"/>
    <w:rsid w:val="00793975"/>
    <w:rsid w:val="007943EE"/>
    <w:rsid w:val="00794469"/>
    <w:rsid w:val="00795383"/>
    <w:rsid w:val="0079692E"/>
    <w:rsid w:val="00796942"/>
    <w:rsid w:val="00796A34"/>
    <w:rsid w:val="00797011"/>
    <w:rsid w:val="007974B5"/>
    <w:rsid w:val="00797AB1"/>
    <w:rsid w:val="00797BC8"/>
    <w:rsid w:val="00797F59"/>
    <w:rsid w:val="007A0036"/>
    <w:rsid w:val="007A0284"/>
    <w:rsid w:val="007A02BC"/>
    <w:rsid w:val="007A05D5"/>
    <w:rsid w:val="007A069F"/>
    <w:rsid w:val="007A08D1"/>
    <w:rsid w:val="007A0C74"/>
    <w:rsid w:val="007A0E8E"/>
    <w:rsid w:val="007A128E"/>
    <w:rsid w:val="007A14A3"/>
    <w:rsid w:val="007A1DCB"/>
    <w:rsid w:val="007A20B9"/>
    <w:rsid w:val="007A235A"/>
    <w:rsid w:val="007A28AB"/>
    <w:rsid w:val="007A28EC"/>
    <w:rsid w:val="007A2A3A"/>
    <w:rsid w:val="007A2D8C"/>
    <w:rsid w:val="007A34AE"/>
    <w:rsid w:val="007A35CD"/>
    <w:rsid w:val="007A3A9B"/>
    <w:rsid w:val="007A3AD9"/>
    <w:rsid w:val="007A3B98"/>
    <w:rsid w:val="007A3E1C"/>
    <w:rsid w:val="007A43DE"/>
    <w:rsid w:val="007A4682"/>
    <w:rsid w:val="007A47C1"/>
    <w:rsid w:val="007A48A3"/>
    <w:rsid w:val="007A4CC8"/>
    <w:rsid w:val="007A4DFF"/>
    <w:rsid w:val="007A54C5"/>
    <w:rsid w:val="007A5B1C"/>
    <w:rsid w:val="007A5D40"/>
    <w:rsid w:val="007A62BB"/>
    <w:rsid w:val="007A63C1"/>
    <w:rsid w:val="007A6501"/>
    <w:rsid w:val="007A65BD"/>
    <w:rsid w:val="007A67B3"/>
    <w:rsid w:val="007A6FCF"/>
    <w:rsid w:val="007A736E"/>
    <w:rsid w:val="007A77E8"/>
    <w:rsid w:val="007A7857"/>
    <w:rsid w:val="007B01E9"/>
    <w:rsid w:val="007B0265"/>
    <w:rsid w:val="007B0DAA"/>
    <w:rsid w:val="007B0EF2"/>
    <w:rsid w:val="007B10A8"/>
    <w:rsid w:val="007B1429"/>
    <w:rsid w:val="007B1811"/>
    <w:rsid w:val="007B21C2"/>
    <w:rsid w:val="007B225A"/>
    <w:rsid w:val="007B2492"/>
    <w:rsid w:val="007B2504"/>
    <w:rsid w:val="007B2F5E"/>
    <w:rsid w:val="007B32BA"/>
    <w:rsid w:val="007B3B23"/>
    <w:rsid w:val="007B4164"/>
    <w:rsid w:val="007B42CE"/>
    <w:rsid w:val="007B556F"/>
    <w:rsid w:val="007B55D6"/>
    <w:rsid w:val="007B55E8"/>
    <w:rsid w:val="007B59C2"/>
    <w:rsid w:val="007B5B27"/>
    <w:rsid w:val="007B5D6B"/>
    <w:rsid w:val="007B5F5F"/>
    <w:rsid w:val="007B63FA"/>
    <w:rsid w:val="007B6524"/>
    <w:rsid w:val="007B7166"/>
    <w:rsid w:val="007B7278"/>
    <w:rsid w:val="007B73AA"/>
    <w:rsid w:val="007B7420"/>
    <w:rsid w:val="007B79E7"/>
    <w:rsid w:val="007B79F1"/>
    <w:rsid w:val="007B7B93"/>
    <w:rsid w:val="007B7F30"/>
    <w:rsid w:val="007C04A5"/>
    <w:rsid w:val="007C07F7"/>
    <w:rsid w:val="007C0FAA"/>
    <w:rsid w:val="007C16B2"/>
    <w:rsid w:val="007C1AA6"/>
    <w:rsid w:val="007C2536"/>
    <w:rsid w:val="007C2C3F"/>
    <w:rsid w:val="007C2CAF"/>
    <w:rsid w:val="007C35C9"/>
    <w:rsid w:val="007C3A5D"/>
    <w:rsid w:val="007C3CF5"/>
    <w:rsid w:val="007C4012"/>
    <w:rsid w:val="007C4633"/>
    <w:rsid w:val="007C4CA0"/>
    <w:rsid w:val="007C4DF0"/>
    <w:rsid w:val="007C5F2F"/>
    <w:rsid w:val="007C5F78"/>
    <w:rsid w:val="007C6163"/>
    <w:rsid w:val="007C6177"/>
    <w:rsid w:val="007C65F9"/>
    <w:rsid w:val="007C7529"/>
    <w:rsid w:val="007C762F"/>
    <w:rsid w:val="007C7A1B"/>
    <w:rsid w:val="007C7C71"/>
    <w:rsid w:val="007C7CA6"/>
    <w:rsid w:val="007C7D00"/>
    <w:rsid w:val="007C7E05"/>
    <w:rsid w:val="007D01FD"/>
    <w:rsid w:val="007D0289"/>
    <w:rsid w:val="007D0382"/>
    <w:rsid w:val="007D06B1"/>
    <w:rsid w:val="007D120C"/>
    <w:rsid w:val="007D14CF"/>
    <w:rsid w:val="007D16FA"/>
    <w:rsid w:val="007D1855"/>
    <w:rsid w:val="007D193D"/>
    <w:rsid w:val="007D1EA4"/>
    <w:rsid w:val="007D2332"/>
    <w:rsid w:val="007D24BA"/>
    <w:rsid w:val="007D2579"/>
    <w:rsid w:val="007D2656"/>
    <w:rsid w:val="007D2940"/>
    <w:rsid w:val="007D2D22"/>
    <w:rsid w:val="007D3125"/>
    <w:rsid w:val="007D3B5C"/>
    <w:rsid w:val="007D3D59"/>
    <w:rsid w:val="007D4266"/>
    <w:rsid w:val="007D43EC"/>
    <w:rsid w:val="007D4529"/>
    <w:rsid w:val="007D45C3"/>
    <w:rsid w:val="007D46BA"/>
    <w:rsid w:val="007D46FC"/>
    <w:rsid w:val="007D4886"/>
    <w:rsid w:val="007D4971"/>
    <w:rsid w:val="007D4ABA"/>
    <w:rsid w:val="007D4F32"/>
    <w:rsid w:val="007D5037"/>
    <w:rsid w:val="007D54B3"/>
    <w:rsid w:val="007D57E8"/>
    <w:rsid w:val="007D5C6F"/>
    <w:rsid w:val="007D5F20"/>
    <w:rsid w:val="007D6142"/>
    <w:rsid w:val="007D61F3"/>
    <w:rsid w:val="007D6740"/>
    <w:rsid w:val="007D6ACF"/>
    <w:rsid w:val="007D6BCD"/>
    <w:rsid w:val="007D702F"/>
    <w:rsid w:val="007D73D7"/>
    <w:rsid w:val="007D7D67"/>
    <w:rsid w:val="007E01ED"/>
    <w:rsid w:val="007E0374"/>
    <w:rsid w:val="007E0D0E"/>
    <w:rsid w:val="007E1314"/>
    <w:rsid w:val="007E13FF"/>
    <w:rsid w:val="007E2120"/>
    <w:rsid w:val="007E2130"/>
    <w:rsid w:val="007E237C"/>
    <w:rsid w:val="007E260F"/>
    <w:rsid w:val="007E2FCF"/>
    <w:rsid w:val="007E3C41"/>
    <w:rsid w:val="007E3C8C"/>
    <w:rsid w:val="007E3F39"/>
    <w:rsid w:val="007E418F"/>
    <w:rsid w:val="007E44B7"/>
    <w:rsid w:val="007E47F6"/>
    <w:rsid w:val="007E5EAC"/>
    <w:rsid w:val="007E5EC6"/>
    <w:rsid w:val="007E613A"/>
    <w:rsid w:val="007E6291"/>
    <w:rsid w:val="007E7408"/>
    <w:rsid w:val="007E7AE8"/>
    <w:rsid w:val="007E7C36"/>
    <w:rsid w:val="007F05D4"/>
    <w:rsid w:val="007F0E97"/>
    <w:rsid w:val="007F109F"/>
    <w:rsid w:val="007F1200"/>
    <w:rsid w:val="007F167E"/>
    <w:rsid w:val="007F16D4"/>
    <w:rsid w:val="007F17EC"/>
    <w:rsid w:val="007F1A02"/>
    <w:rsid w:val="007F2273"/>
    <w:rsid w:val="007F2285"/>
    <w:rsid w:val="007F261E"/>
    <w:rsid w:val="007F262C"/>
    <w:rsid w:val="007F2B77"/>
    <w:rsid w:val="007F3B8F"/>
    <w:rsid w:val="007F45FE"/>
    <w:rsid w:val="007F4AC8"/>
    <w:rsid w:val="007F4C18"/>
    <w:rsid w:val="007F4E4C"/>
    <w:rsid w:val="007F6156"/>
    <w:rsid w:val="007F6379"/>
    <w:rsid w:val="007F648B"/>
    <w:rsid w:val="007F6657"/>
    <w:rsid w:val="007F6805"/>
    <w:rsid w:val="007F6B57"/>
    <w:rsid w:val="007F6C13"/>
    <w:rsid w:val="007F7043"/>
    <w:rsid w:val="007F7190"/>
    <w:rsid w:val="007F72C9"/>
    <w:rsid w:val="007F744F"/>
    <w:rsid w:val="007F7A92"/>
    <w:rsid w:val="00800A3E"/>
    <w:rsid w:val="00800C44"/>
    <w:rsid w:val="00800CDA"/>
    <w:rsid w:val="00800D86"/>
    <w:rsid w:val="00800EA0"/>
    <w:rsid w:val="0080117E"/>
    <w:rsid w:val="008013C4"/>
    <w:rsid w:val="008014E9"/>
    <w:rsid w:val="0080160E"/>
    <w:rsid w:val="00801802"/>
    <w:rsid w:val="00801C6C"/>
    <w:rsid w:val="00801D40"/>
    <w:rsid w:val="00801E11"/>
    <w:rsid w:val="00801EAB"/>
    <w:rsid w:val="00802064"/>
    <w:rsid w:val="008024AA"/>
    <w:rsid w:val="00802FC4"/>
    <w:rsid w:val="00803ADC"/>
    <w:rsid w:val="00803E8D"/>
    <w:rsid w:val="0080410C"/>
    <w:rsid w:val="00804389"/>
    <w:rsid w:val="0080446C"/>
    <w:rsid w:val="008044AA"/>
    <w:rsid w:val="008058D7"/>
    <w:rsid w:val="00805D04"/>
    <w:rsid w:val="00805E7F"/>
    <w:rsid w:val="00806081"/>
    <w:rsid w:val="0080637B"/>
    <w:rsid w:val="00806819"/>
    <w:rsid w:val="00807036"/>
    <w:rsid w:val="0080755F"/>
    <w:rsid w:val="0080760E"/>
    <w:rsid w:val="0080764B"/>
    <w:rsid w:val="008077E2"/>
    <w:rsid w:val="00807C7C"/>
    <w:rsid w:val="00810386"/>
    <w:rsid w:val="008115DE"/>
    <w:rsid w:val="008118BE"/>
    <w:rsid w:val="00811CCA"/>
    <w:rsid w:val="00811EE5"/>
    <w:rsid w:val="00811EF9"/>
    <w:rsid w:val="008120EE"/>
    <w:rsid w:val="00812296"/>
    <w:rsid w:val="0081272F"/>
    <w:rsid w:val="00812A22"/>
    <w:rsid w:val="00813256"/>
    <w:rsid w:val="00813950"/>
    <w:rsid w:val="008140BB"/>
    <w:rsid w:val="00814138"/>
    <w:rsid w:val="0081419D"/>
    <w:rsid w:val="00815261"/>
    <w:rsid w:val="00815348"/>
    <w:rsid w:val="0081564B"/>
    <w:rsid w:val="0081572D"/>
    <w:rsid w:val="00815B1A"/>
    <w:rsid w:val="00815BDA"/>
    <w:rsid w:val="008162D4"/>
    <w:rsid w:val="00816332"/>
    <w:rsid w:val="008167D6"/>
    <w:rsid w:val="00816CA6"/>
    <w:rsid w:val="00816DCD"/>
    <w:rsid w:val="00816FD8"/>
    <w:rsid w:val="00816FFA"/>
    <w:rsid w:val="0081722D"/>
    <w:rsid w:val="00817513"/>
    <w:rsid w:val="00817E9A"/>
    <w:rsid w:val="00817EA6"/>
    <w:rsid w:val="00817EF0"/>
    <w:rsid w:val="008200F3"/>
    <w:rsid w:val="008203CF"/>
    <w:rsid w:val="008205DB"/>
    <w:rsid w:val="0082114F"/>
    <w:rsid w:val="008219AF"/>
    <w:rsid w:val="00821CF6"/>
    <w:rsid w:val="008222E0"/>
    <w:rsid w:val="00822D87"/>
    <w:rsid w:val="008231F9"/>
    <w:rsid w:val="0082356F"/>
    <w:rsid w:val="0082358D"/>
    <w:rsid w:val="008236D2"/>
    <w:rsid w:val="0082374B"/>
    <w:rsid w:val="00823CDA"/>
    <w:rsid w:val="00824072"/>
    <w:rsid w:val="0082413A"/>
    <w:rsid w:val="00824508"/>
    <w:rsid w:val="0082454E"/>
    <w:rsid w:val="0082518B"/>
    <w:rsid w:val="00826469"/>
    <w:rsid w:val="008264C2"/>
    <w:rsid w:val="00826C10"/>
    <w:rsid w:val="00826C96"/>
    <w:rsid w:val="00826DF0"/>
    <w:rsid w:val="008275D0"/>
    <w:rsid w:val="0082772E"/>
    <w:rsid w:val="00830052"/>
    <w:rsid w:val="00830080"/>
    <w:rsid w:val="008302CC"/>
    <w:rsid w:val="00830A0D"/>
    <w:rsid w:val="00830C70"/>
    <w:rsid w:val="008311BD"/>
    <w:rsid w:val="008315B7"/>
    <w:rsid w:val="00831779"/>
    <w:rsid w:val="00831923"/>
    <w:rsid w:val="00831A40"/>
    <w:rsid w:val="00831B61"/>
    <w:rsid w:val="00831CE6"/>
    <w:rsid w:val="00831F58"/>
    <w:rsid w:val="00832044"/>
    <w:rsid w:val="008325B8"/>
    <w:rsid w:val="008326F6"/>
    <w:rsid w:val="0083296B"/>
    <w:rsid w:val="008329A9"/>
    <w:rsid w:val="00833A9F"/>
    <w:rsid w:val="00833D24"/>
    <w:rsid w:val="00833E52"/>
    <w:rsid w:val="00833ED5"/>
    <w:rsid w:val="00834730"/>
    <w:rsid w:val="0083475D"/>
    <w:rsid w:val="008348F3"/>
    <w:rsid w:val="00834C6B"/>
    <w:rsid w:val="008351BD"/>
    <w:rsid w:val="00835CA0"/>
    <w:rsid w:val="00835D55"/>
    <w:rsid w:val="00835DE8"/>
    <w:rsid w:val="0083720E"/>
    <w:rsid w:val="008376DB"/>
    <w:rsid w:val="0083774D"/>
    <w:rsid w:val="00837B3C"/>
    <w:rsid w:val="00837E2F"/>
    <w:rsid w:val="008402F2"/>
    <w:rsid w:val="0084050F"/>
    <w:rsid w:val="00840C10"/>
    <w:rsid w:val="00840CF5"/>
    <w:rsid w:val="00840E91"/>
    <w:rsid w:val="00840F0C"/>
    <w:rsid w:val="008410BE"/>
    <w:rsid w:val="00841211"/>
    <w:rsid w:val="008413CD"/>
    <w:rsid w:val="008416DD"/>
    <w:rsid w:val="008419EA"/>
    <w:rsid w:val="00841A8D"/>
    <w:rsid w:val="008422A9"/>
    <w:rsid w:val="00842CC4"/>
    <w:rsid w:val="00842F2F"/>
    <w:rsid w:val="008438AF"/>
    <w:rsid w:val="00843B03"/>
    <w:rsid w:val="00843C94"/>
    <w:rsid w:val="00844BBD"/>
    <w:rsid w:val="00844C51"/>
    <w:rsid w:val="00845809"/>
    <w:rsid w:val="00845D05"/>
    <w:rsid w:val="008465C4"/>
    <w:rsid w:val="00846694"/>
    <w:rsid w:val="00846721"/>
    <w:rsid w:val="008471EB"/>
    <w:rsid w:val="00847300"/>
    <w:rsid w:val="00847436"/>
    <w:rsid w:val="00847590"/>
    <w:rsid w:val="008475A0"/>
    <w:rsid w:val="008475B5"/>
    <w:rsid w:val="0084769B"/>
    <w:rsid w:val="00847B76"/>
    <w:rsid w:val="00847E48"/>
    <w:rsid w:val="00850CA7"/>
    <w:rsid w:val="00850EF5"/>
    <w:rsid w:val="008517B6"/>
    <w:rsid w:val="00851F99"/>
    <w:rsid w:val="00852428"/>
    <w:rsid w:val="00852858"/>
    <w:rsid w:val="00852B24"/>
    <w:rsid w:val="00852CAE"/>
    <w:rsid w:val="00852D6D"/>
    <w:rsid w:val="00852EDF"/>
    <w:rsid w:val="00853444"/>
    <w:rsid w:val="008534E6"/>
    <w:rsid w:val="008536B8"/>
    <w:rsid w:val="008537D9"/>
    <w:rsid w:val="0085389A"/>
    <w:rsid w:val="00854075"/>
    <w:rsid w:val="008549A6"/>
    <w:rsid w:val="008549DE"/>
    <w:rsid w:val="00855A18"/>
    <w:rsid w:val="00855DD9"/>
    <w:rsid w:val="00855DFD"/>
    <w:rsid w:val="00856387"/>
    <w:rsid w:val="008565A6"/>
    <w:rsid w:val="00856A2D"/>
    <w:rsid w:val="00856AF6"/>
    <w:rsid w:val="00856DC4"/>
    <w:rsid w:val="0085707D"/>
    <w:rsid w:val="008572A0"/>
    <w:rsid w:val="0085730B"/>
    <w:rsid w:val="00857596"/>
    <w:rsid w:val="00857A80"/>
    <w:rsid w:val="00857A96"/>
    <w:rsid w:val="00857B28"/>
    <w:rsid w:val="00860317"/>
    <w:rsid w:val="008603FA"/>
    <w:rsid w:val="00860B89"/>
    <w:rsid w:val="0086166B"/>
    <w:rsid w:val="00861A2B"/>
    <w:rsid w:val="00861B19"/>
    <w:rsid w:val="008628EA"/>
    <w:rsid w:val="00862949"/>
    <w:rsid w:val="00862DA5"/>
    <w:rsid w:val="008639F3"/>
    <w:rsid w:val="00863DF2"/>
    <w:rsid w:val="00863FB2"/>
    <w:rsid w:val="008641C5"/>
    <w:rsid w:val="00864E63"/>
    <w:rsid w:val="00864EFD"/>
    <w:rsid w:val="0086523C"/>
    <w:rsid w:val="0086535C"/>
    <w:rsid w:val="00865C9B"/>
    <w:rsid w:val="0086624C"/>
    <w:rsid w:val="008664B3"/>
    <w:rsid w:val="0086687C"/>
    <w:rsid w:val="00866CC6"/>
    <w:rsid w:val="00866EC0"/>
    <w:rsid w:val="00867047"/>
    <w:rsid w:val="0086711E"/>
    <w:rsid w:val="0086791E"/>
    <w:rsid w:val="008679CB"/>
    <w:rsid w:val="00867EB0"/>
    <w:rsid w:val="008706AE"/>
    <w:rsid w:val="0087171C"/>
    <w:rsid w:val="008718F2"/>
    <w:rsid w:val="00871AD3"/>
    <w:rsid w:val="00871B10"/>
    <w:rsid w:val="00872220"/>
    <w:rsid w:val="0087223E"/>
    <w:rsid w:val="008725F3"/>
    <w:rsid w:val="008726B8"/>
    <w:rsid w:val="008733E0"/>
    <w:rsid w:val="00873539"/>
    <w:rsid w:val="008737DA"/>
    <w:rsid w:val="00873827"/>
    <w:rsid w:val="0087419B"/>
    <w:rsid w:val="008743BB"/>
    <w:rsid w:val="00874644"/>
    <w:rsid w:val="00874730"/>
    <w:rsid w:val="00875C0D"/>
    <w:rsid w:val="00875EF1"/>
    <w:rsid w:val="00875FCC"/>
    <w:rsid w:val="00876025"/>
    <w:rsid w:val="008760F3"/>
    <w:rsid w:val="00876482"/>
    <w:rsid w:val="0087675C"/>
    <w:rsid w:val="00877191"/>
    <w:rsid w:val="008773F4"/>
    <w:rsid w:val="00877421"/>
    <w:rsid w:val="00877433"/>
    <w:rsid w:val="008774A9"/>
    <w:rsid w:val="008774CB"/>
    <w:rsid w:val="008779FF"/>
    <w:rsid w:val="0088039B"/>
    <w:rsid w:val="008803E8"/>
    <w:rsid w:val="00880B6F"/>
    <w:rsid w:val="0088142E"/>
    <w:rsid w:val="00881AFF"/>
    <w:rsid w:val="00881B49"/>
    <w:rsid w:val="00882366"/>
    <w:rsid w:val="0088251A"/>
    <w:rsid w:val="00882692"/>
    <w:rsid w:val="008828FA"/>
    <w:rsid w:val="00882A68"/>
    <w:rsid w:val="00882C58"/>
    <w:rsid w:val="00882FDE"/>
    <w:rsid w:val="00883035"/>
    <w:rsid w:val="008831BD"/>
    <w:rsid w:val="00883214"/>
    <w:rsid w:val="0088328C"/>
    <w:rsid w:val="008834FB"/>
    <w:rsid w:val="008835A8"/>
    <w:rsid w:val="0088374E"/>
    <w:rsid w:val="00884080"/>
    <w:rsid w:val="00884218"/>
    <w:rsid w:val="0088422E"/>
    <w:rsid w:val="0088425A"/>
    <w:rsid w:val="00884BEA"/>
    <w:rsid w:val="00884C0E"/>
    <w:rsid w:val="00884CB4"/>
    <w:rsid w:val="00884E51"/>
    <w:rsid w:val="00885CAE"/>
    <w:rsid w:val="00885E17"/>
    <w:rsid w:val="00885FC2"/>
    <w:rsid w:val="008860CC"/>
    <w:rsid w:val="00886CB7"/>
    <w:rsid w:val="008870B3"/>
    <w:rsid w:val="0088780F"/>
    <w:rsid w:val="00887A91"/>
    <w:rsid w:val="00887CEB"/>
    <w:rsid w:val="0089017C"/>
    <w:rsid w:val="008903FB"/>
    <w:rsid w:val="00890BEB"/>
    <w:rsid w:val="00891346"/>
    <w:rsid w:val="00891CDA"/>
    <w:rsid w:val="00891D6F"/>
    <w:rsid w:val="00892841"/>
    <w:rsid w:val="00892898"/>
    <w:rsid w:val="008928C6"/>
    <w:rsid w:val="008929C9"/>
    <w:rsid w:val="00892B50"/>
    <w:rsid w:val="008930A4"/>
    <w:rsid w:val="00893101"/>
    <w:rsid w:val="00893225"/>
    <w:rsid w:val="00893A94"/>
    <w:rsid w:val="00893B13"/>
    <w:rsid w:val="00893C8C"/>
    <w:rsid w:val="00894417"/>
    <w:rsid w:val="0089449E"/>
    <w:rsid w:val="0089456A"/>
    <w:rsid w:val="0089468A"/>
    <w:rsid w:val="008949EF"/>
    <w:rsid w:val="008952F3"/>
    <w:rsid w:val="0089548F"/>
    <w:rsid w:val="00895527"/>
    <w:rsid w:val="008955A8"/>
    <w:rsid w:val="00895AC7"/>
    <w:rsid w:val="00895E29"/>
    <w:rsid w:val="0089647F"/>
    <w:rsid w:val="00896AE9"/>
    <w:rsid w:val="00896D1E"/>
    <w:rsid w:val="00896FAD"/>
    <w:rsid w:val="0089786D"/>
    <w:rsid w:val="00897936"/>
    <w:rsid w:val="008A00D2"/>
    <w:rsid w:val="008A0357"/>
    <w:rsid w:val="008A03E2"/>
    <w:rsid w:val="008A08FD"/>
    <w:rsid w:val="008A1526"/>
    <w:rsid w:val="008A15DB"/>
    <w:rsid w:val="008A17A1"/>
    <w:rsid w:val="008A1848"/>
    <w:rsid w:val="008A1977"/>
    <w:rsid w:val="008A1CA2"/>
    <w:rsid w:val="008A1D4D"/>
    <w:rsid w:val="008A1DD4"/>
    <w:rsid w:val="008A1DD5"/>
    <w:rsid w:val="008A1FDD"/>
    <w:rsid w:val="008A201A"/>
    <w:rsid w:val="008A2465"/>
    <w:rsid w:val="008A256C"/>
    <w:rsid w:val="008A2852"/>
    <w:rsid w:val="008A2AF4"/>
    <w:rsid w:val="008A2C28"/>
    <w:rsid w:val="008A2DD7"/>
    <w:rsid w:val="008A351C"/>
    <w:rsid w:val="008A3B35"/>
    <w:rsid w:val="008A40A1"/>
    <w:rsid w:val="008A4139"/>
    <w:rsid w:val="008A4323"/>
    <w:rsid w:val="008A45C1"/>
    <w:rsid w:val="008A46D1"/>
    <w:rsid w:val="008A4964"/>
    <w:rsid w:val="008A4C3C"/>
    <w:rsid w:val="008A4DF9"/>
    <w:rsid w:val="008A4E5C"/>
    <w:rsid w:val="008A517C"/>
    <w:rsid w:val="008A51D1"/>
    <w:rsid w:val="008A52C8"/>
    <w:rsid w:val="008A5AEF"/>
    <w:rsid w:val="008A5E56"/>
    <w:rsid w:val="008A63B9"/>
    <w:rsid w:val="008A70F4"/>
    <w:rsid w:val="008A7697"/>
    <w:rsid w:val="008A7745"/>
    <w:rsid w:val="008A7B18"/>
    <w:rsid w:val="008A7E9E"/>
    <w:rsid w:val="008A7EB5"/>
    <w:rsid w:val="008B0487"/>
    <w:rsid w:val="008B0646"/>
    <w:rsid w:val="008B0CB1"/>
    <w:rsid w:val="008B0EC4"/>
    <w:rsid w:val="008B18D4"/>
    <w:rsid w:val="008B1940"/>
    <w:rsid w:val="008B1E65"/>
    <w:rsid w:val="008B1FEE"/>
    <w:rsid w:val="008B23DC"/>
    <w:rsid w:val="008B2817"/>
    <w:rsid w:val="008B2867"/>
    <w:rsid w:val="008B2B54"/>
    <w:rsid w:val="008B2CA0"/>
    <w:rsid w:val="008B2CB4"/>
    <w:rsid w:val="008B2DC6"/>
    <w:rsid w:val="008B307A"/>
    <w:rsid w:val="008B36AD"/>
    <w:rsid w:val="008B4358"/>
    <w:rsid w:val="008B44C4"/>
    <w:rsid w:val="008B468E"/>
    <w:rsid w:val="008B4972"/>
    <w:rsid w:val="008B512F"/>
    <w:rsid w:val="008B517D"/>
    <w:rsid w:val="008B55BE"/>
    <w:rsid w:val="008B57AA"/>
    <w:rsid w:val="008B57E8"/>
    <w:rsid w:val="008B58AF"/>
    <w:rsid w:val="008B597B"/>
    <w:rsid w:val="008B5F6C"/>
    <w:rsid w:val="008B62C9"/>
    <w:rsid w:val="008B6862"/>
    <w:rsid w:val="008B6F06"/>
    <w:rsid w:val="008B70BC"/>
    <w:rsid w:val="008B7E06"/>
    <w:rsid w:val="008B7EF2"/>
    <w:rsid w:val="008C0444"/>
    <w:rsid w:val="008C0588"/>
    <w:rsid w:val="008C0F1A"/>
    <w:rsid w:val="008C102A"/>
    <w:rsid w:val="008C103B"/>
    <w:rsid w:val="008C137C"/>
    <w:rsid w:val="008C157A"/>
    <w:rsid w:val="008C179F"/>
    <w:rsid w:val="008C1B8A"/>
    <w:rsid w:val="008C1D02"/>
    <w:rsid w:val="008C1FD7"/>
    <w:rsid w:val="008C20A0"/>
    <w:rsid w:val="008C21B7"/>
    <w:rsid w:val="008C22F1"/>
    <w:rsid w:val="008C2379"/>
    <w:rsid w:val="008C2575"/>
    <w:rsid w:val="008C2661"/>
    <w:rsid w:val="008C2734"/>
    <w:rsid w:val="008C28F3"/>
    <w:rsid w:val="008C33C8"/>
    <w:rsid w:val="008C3519"/>
    <w:rsid w:val="008C377C"/>
    <w:rsid w:val="008C38C0"/>
    <w:rsid w:val="008C41AD"/>
    <w:rsid w:val="008C4550"/>
    <w:rsid w:val="008C456F"/>
    <w:rsid w:val="008C4E2E"/>
    <w:rsid w:val="008C5555"/>
    <w:rsid w:val="008C5B89"/>
    <w:rsid w:val="008C5E3C"/>
    <w:rsid w:val="008C6B23"/>
    <w:rsid w:val="008C6CE9"/>
    <w:rsid w:val="008C7013"/>
    <w:rsid w:val="008C7394"/>
    <w:rsid w:val="008C73EC"/>
    <w:rsid w:val="008C75A7"/>
    <w:rsid w:val="008C792A"/>
    <w:rsid w:val="008C7B89"/>
    <w:rsid w:val="008C7F97"/>
    <w:rsid w:val="008D01B9"/>
    <w:rsid w:val="008D03FB"/>
    <w:rsid w:val="008D0D3F"/>
    <w:rsid w:val="008D0E74"/>
    <w:rsid w:val="008D146A"/>
    <w:rsid w:val="008D1809"/>
    <w:rsid w:val="008D18B0"/>
    <w:rsid w:val="008D1D76"/>
    <w:rsid w:val="008D2747"/>
    <w:rsid w:val="008D390E"/>
    <w:rsid w:val="008D3EF1"/>
    <w:rsid w:val="008D3F17"/>
    <w:rsid w:val="008D426D"/>
    <w:rsid w:val="008D4460"/>
    <w:rsid w:val="008D49CA"/>
    <w:rsid w:val="008D4D53"/>
    <w:rsid w:val="008D530E"/>
    <w:rsid w:val="008D5EF0"/>
    <w:rsid w:val="008D60EF"/>
    <w:rsid w:val="008D62ED"/>
    <w:rsid w:val="008D63BE"/>
    <w:rsid w:val="008D66EC"/>
    <w:rsid w:val="008D6A94"/>
    <w:rsid w:val="008D6B34"/>
    <w:rsid w:val="008D6DCA"/>
    <w:rsid w:val="008D6DE3"/>
    <w:rsid w:val="008D6F39"/>
    <w:rsid w:val="008D78DE"/>
    <w:rsid w:val="008E015C"/>
    <w:rsid w:val="008E01E0"/>
    <w:rsid w:val="008E02E1"/>
    <w:rsid w:val="008E0610"/>
    <w:rsid w:val="008E0717"/>
    <w:rsid w:val="008E0B8B"/>
    <w:rsid w:val="008E0C83"/>
    <w:rsid w:val="008E0CC2"/>
    <w:rsid w:val="008E0EB6"/>
    <w:rsid w:val="008E10FC"/>
    <w:rsid w:val="008E1D6F"/>
    <w:rsid w:val="008E220F"/>
    <w:rsid w:val="008E267F"/>
    <w:rsid w:val="008E27DE"/>
    <w:rsid w:val="008E299C"/>
    <w:rsid w:val="008E2BCC"/>
    <w:rsid w:val="008E3077"/>
    <w:rsid w:val="008E30CF"/>
    <w:rsid w:val="008E369E"/>
    <w:rsid w:val="008E3771"/>
    <w:rsid w:val="008E383B"/>
    <w:rsid w:val="008E3E2C"/>
    <w:rsid w:val="008E4133"/>
    <w:rsid w:val="008E433C"/>
    <w:rsid w:val="008E481B"/>
    <w:rsid w:val="008E4CCB"/>
    <w:rsid w:val="008E4FFA"/>
    <w:rsid w:val="008E577C"/>
    <w:rsid w:val="008E5887"/>
    <w:rsid w:val="008E63E0"/>
    <w:rsid w:val="008E641A"/>
    <w:rsid w:val="008E70F6"/>
    <w:rsid w:val="008E7649"/>
    <w:rsid w:val="008E77F2"/>
    <w:rsid w:val="008E7D20"/>
    <w:rsid w:val="008F0E28"/>
    <w:rsid w:val="008F0F3C"/>
    <w:rsid w:val="008F10F8"/>
    <w:rsid w:val="008F1231"/>
    <w:rsid w:val="008F1300"/>
    <w:rsid w:val="008F1563"/>
    <w:rsid w:val="008F18CA"/>
    <w:rsid w:val="008F1AB0"/>
    <w:rsid w:val="008F1EA4"/>
    <w:rsid w:val="008F2666"/>
    <w:rsid w:val="008F286E"/>
    <w:rsid w:val="008F2B09"/>
    <w:rsid w:val="008F35B5"/>
    <w:rsid w:val="008F3778"/>
    <w:rsid w:val="008F3817"/>
    <w:rsid w:val="008F4146"/>
    <w:rsid w:val="008F45BE"/>
    <w:rsid w:val="008F4B49"/>
    <w:rsid w:val="008F4BE6"/>
    <w:rsid w:val="008F5026"/>
    <w:rsid w:val="008F5345"/>
    <w:rsid w:val="008F5464"/>
    <w:rsid w:val="008F54C1"/>
    <w:rsid w:val="008F54F0"/>
    <w:rsid w:val="008F5A6E"/>
    <w:rsid w:val="008F5CE6"/>
    <w:rsid w:val="008F60D5"/>
    <w:rsid w:val="008F6214"/>
    <w:rsid w:val="008F62A1"/>
    <w:rsid w:val="008F67C4"/>
    <w:rsid w:val="008F67CF"/>
    <w:rsid w:val="008F6DBC"/>
    <w:rsid w:val="008F6EE6"/>
    <w:rsid w:val="008F71BD"/>
    <w:rsid w:val="008F7378"/>
    <w:rsid w:val="008F773C"/>
    <w:rsid w:val="008F78D6"/>
    <w:rsid w:val="008F79A0"/>
    <w:rsid w:val="0090006C"/>
    <w:rsid w:val="00900B03"/>
    <w:rsid w:val="00901145"/>
    <w:rsid w:val="00901D4A"/>
    <w:rsid w:val="0090234B"/>
    <w:rsid w:val="009023F9"/>
    <w:rsid w:val="0090266F"/>
    <w:rsid w:val="00903515"/>
    <w:rsid w:val="009035B4"/>
    <w:rsid w:val="00903BCA"/>
    <w:rsid w:val="00904598"/>
    <w:rsid w:val="0090527B"/>
    <w:rsid w:val="00905620"/>
    <w:rsid w:val="00905743"/>
    <w:rsid w:val="00905ECE"/>
    <w:rsid w:val="00906333"/>
    <w:rsid w:val="00906371"/>
    <w:rsid w:val="009067C5"/>
    <w:rsid w:val="009067ED"/>
    <w:rsid w:val="00906BCE"/>
    <w:rsid w:val="0090760B"/>
    <w:rsid w:val="00907659"/>
    <w:rsid w:val="0090785F"/>
    <w:rsid w:val="00907923"/>
    <w:rsid w:val="00907EBE"/>
    <w:rsid w:val="009101B1"/>
    <w:rsid w:val="0091063B"/>
    <w:rsid w:val="00911075"/>
    <w:rsid w:val="009113E6"/>
    <w:rsid w:val="0091177F"/>
    <w:rsid w:val="00911945"/>
    <w:rsid w:val="00911DAF"/>
    <w:rsid w:val="00912637"/>
    <w:rsid w:val="00912804"/>
    <w:rsid w:val="00912A27"/>
    <w:rsid w:val="00912A5B"/>
    <w:rsid w:val="00912A6C"/>
    <w:rsid w:val="00912DA6"/>
    <w:rsid w:val="00912DC5"/>
    <w:rsid w:val="009138B1"/>
    <w:rsid w:val="009139C5"/>
    <w:rsid w:val="00913CD1"/>
    <w:rsid w:val="00913D57"/>
    <w:rsid w:val="00913DE6"/>
    <w:rsid w:val="009144AF"/>
    <w:rsid w:val="009148D3"/>
    <w:rsid w:val="00914B4C"/>
    <w:rsid w:val="00915595"/>
    <w:rsid w:val="00915752"/>
    <w:rsid w:val="00915B47"/>
    <w:rsid w:val="00915D5A"/>
    <w:rsid w:val="00915E0D"/>
    <w:rsid w:val="00916472"/>
    <w:rsid w:val="0091685C"/>
    <w:rsid w:val="00916D7B"/>
    <w:rsid w:val="00916DF0"/>
    <w:rsid w:val="00916E29"/>
    <w:rsid w:val="0091705E"/>
    <w:rsid w:val="00917223"/>
    <w:rsid w:val="0092034C"/>
    <w:rsid w:val="009207E8"/>
    <w:rsid w:val="00920943"/>
    <w:rsid w:val="0092105F"/>
    <w:rsid w:val="009214A4"/>
    <w:rsid w:val="0092153C"/>
    <w:rsid w:val="009215E6"/>
    <w:rsid w:val="00921E3B"/>
    <w:rsid w:val="009221D3"/>
    <w:rsid w:val="009225DB"/>
    <w:rsid w:val="0092328E"/>
    <w:rsid w:val="0092330C"/>
    <w:rsid w:val="00923568"/>
    <w:rsid w:val="009237C2"/>
    <w:rsid w:val="0092380A"/>
    <w:rsid w:val="00923902"/>
    <w:rsid w:val="009239E8"/>
    <w:rsid w:val="00923F5A"/>
    <w:rsid w:val="00924235"/>
    <w:rsid w:val="0092476E"/>
    <w:rsid w:val="00925205"/>
    <w:rsid w:val="009253D8"/>
    <w:rsid w:val="009257EF"/>
    <w:rsid w:val="00926664"/>
    <w:rsid w:val="009267EF"/>
    <w:rsid w:val="009268FC"/>
    <w:rsid w:val="00926A7D"/>
    <w:rsid w:val="00926F3B"/>
    <w:rsid w:val="009272DD"/>
    <w:rsid w:val="009278CF"/>
    <w:rsid w:val="00927921"/>
    <w:rsid w:val="009279CD"/>
    <w:rsid w:val="00927A35"/>
    <w:rsid w:val="00927C3C"/>
    <w:rsid w:val="00927E1F"/>
    <w:rsid w:val="00930096"/>
    <w:rsid w:val="00930D87"/>
    <w:rsid w:val="00931089"/>
    <w:rsid w:val="0093111B"/>
    <w:rsid w:val="0093178B"/>
    <w:rsid w:val="0093218B"/>
    <w:rsid w:val="00932612"/>
    <w:rsid w:val="0093266A"/>
    <w:rsid w:val="0093278B"/>
    <w:rsid w:val="00932822"/>
    <w:rsid w:val="00932828"/>
    <w:rsid w:val="009332E8"/>
    <w:rsid w:val="00933575"/>
    <w:rsid w:val="009338F8"/>
    <w:rsid w:val="00933DEB"/>
    <w:rsid w:val="00933EF0"/>
    <w:rsid w:val="009346B6"/>
    <w:rsid w:val="009348D9"/>
    <w:rsid w:val="00934C4D"/>
    <w:rsid w:val="00934C4F"/>
    <w:rsid w:val="009350C6"/>
    <w:rsid w:val="00935349"/>
    <w:rsid w:val="009353FA"/>
    <w:rsid w:val="009354D9"/>
    <w:rsid w:val="00935FEA"/>
    <w:rsid w:val="009365A5"/>
    <w:rsid w:val="00936F59"/>
    <w:rsid w:val="009370CE"/>
    <w:rsid w:val="00937272"/>
    <w:rsid w:val="00937317"/>
    <w:rsid w:val="009377C0"/>
    <w:rsid w:val="00937A99"/>
    <w:rsid w:val="009400BF"/>
    <w:rsid w:val="009409B6"/>
    <w:rsid w:val="00940B15"/>
    <w:rsid w:val="00940ED8"/>
    <w:rsid w:val="00941464"/>
    <w:rsid w:val="009414D7"/>
    <w:rsid w:val="009419CD"/>
    <w:rsid w:val="00941CB7"/>
    <w:rsid w:val="00942428"/>
    <w:rsid w:val="009429C4"/>
    <w:rsid w:val="00942C22"/>
    <w:rsid w:val="00942D96"/>
    <w:rsid w:val="00943159"/>
    <w:rsid w:val="009434B9"/>
    <w:rsid w:val="009434CE"/>
    <w:rsid w:val="009435BC"/>
    <w:rsid w:val="00943BC3"/>
    <w:rsid w:val="009444C2"/>
    <w:rsid w:val="00944673"/>
    <w:rsid w:val="00944751"/>
    <w:rsid w:val="009447E3"/>
    <w:rsid w:val="00944A91"/>
    <w:rsid w:val="0094500A"/>
    <w:rsid w:val="0094597B"/>
    <w:rsid w:val="00945F66"/>
    <w:rsid w:val="009462F5"/>
    <w:rsid w:val="0094635A"/>
    <w:rsid w:val="00946462"/>
    <w:rsid w:val="00946606"/>
    <w:rsid w:val="0094682C"/>
    <w:rsid w:val="009470DE"/>
    <w:rsid w:val="00947464"/>
    <w:rsid w:val="00947777"/>
    <w:rsid w:val="00947907"/>
    <w:rsid w:val="00947A68"/>
    <w:rsid w:val="00947D22"/>
    <w:rsid w:val="00950670"/>
    <w:rsid w:val="00952349"/>
    <w:rsid w:val="009529A0"/>
    <w:rsid w:val="00952E84"/>
    <w:rsid w:val="009530AE"/>
    <w:rsid w:val="00953574"/>
    <w:rsid w:val="0095371E"/>
    <w:rsid w:val="00953A30"/>
    <w:rsid w:val="0095418D"/>
    <w:rsid w:val="009543FF"/>
    <w:rsid w:val="00954A20"/>
    <w:rsid w:val="009551A2"/>
    <w:rsid w:val="009554F2"/>
    <w:rsid w:val="0095563D"/>
    <w:rsid w:val="0095568E"/>
    <w:rsid w:val="00955C65"/>
    <w:rsid w:val="00955E81"/>
    <w:rsid w:val="009564D1"/>
    <w:rsid w:val="00957622"/>
    <w:rsid w:val="00957CF8"/>
    <w:rsid w:val="00957EC2"/>
    <w:rsid w:val="0096028C"/>
    <w:rsid w:val="00960563"/>
    <w:rsid w:val="009605B0"/>
    <w:rsid w:val="00960791"/>
    <w:rsid w:val="00960A3D"/>
    <w:rsid w:val="00960EA8"/>
    <w:rsid w:val="00960FA5"/>
    <w:rsid w:val="00961218"/>
    <w:rsid w:val="009613C1"/>
    <w:rsid w:val="009614F1"/>
    <w:rsid w:val="0096165E"/>
    <w:rsid w:val="009616E2"/>
    <w:rsid w:val="00961B9C"/>
    <w:rsid w:val="009622F3"/>
    <w:rsid w:val="00962304"/>
    <w:rsid w:val="00962B6C"/>
    <w:rsid w:val="0096301A"/>
    <w:rsid w:val="0096313F"/>
    <w:rsid w:val="00963479"/>
    <w:rsid w:val="00964337"/>
    <w:rsid w:val="00964389"/>
    <w:rsid w:val="00964467"/>
    <w:rsid w:val="009650EF"/>
    <w:rsid w:val="00965331"/>
    <w:rsid w:val="00966052"/>
    <w:rsid w:val="009661D0"/>
    <w:rsid w:val="00966C36"/>
    <w:rsid w:val="00967139"/>
    <w:rsid w:val="0096727A"/>
    <w:rsid w:val="00967773"/>
    <w:rsid w:val="0096781B"/>
    <w:rsid w:val="00967D09"/>
    <w:rsid w:val="00970377"/>
    <w:rsid w:val="00970392"/>
    <w:rsid w:val="00970FC6"/>
    <w:rsid w:val="0097126B"/>
    <w:rsid w:val="0097157E"/>
    <w:rsid w:val="00971A21"/>
    <w:rsid w:val="00972054"/>
    <w:rsid w:val="00972C44"/>
    <w:rsid w:val="009733AE"/>
    <w:rsid w:val="00973545"/>
    <w:rsid w:val="00973CBA"/>
    <w:rsid w:val="00973F8E"/>
    <w:rsid w:val="0097465C"/>
    <w:rsid w:val="009746F4"/>
    <w:rsid w:val="00975A9A"/>
    <w:rsid w:val="0097673A"/>
    <w:rsid w:val="00976F7F"/>
    <w:rsid w:val="009770CC"/>
    <w:rsid w:val="00977ABA"/>
    <w:rsid w:val="00980128"/>
    <w:rsid w:val="009801FC"/>
    <w:rsid w:val="0098098C"/>
    <w:rsid w:val="00980EBD"/>
    <w:rsid w:val="009826D9"/>
    <w:rsid w:val="00983533"/>
    <w:rsid w:val="0098373B"/>
    <w:rsid w:val="0098393E"/>
    <w:rsid w:val="00983943"/>
    <w:rsid w:val="00983BF4"/>
    <w:rsid w:val="00983EBA"/>
    <w:rsid w:val="00983F8E"/>
    <w:rsid w:val="00984696"/>
    <w:rsid w:val="009846F6"/>
    <w:rsid w:val="00984892"/>
    <w:rsid w:val="00984D31"/>
    <w:rsid w:val="00984D7A"/>
    <w:rsid w:val="00984EE1"/>
    <w:rsid w:val="00984F46"/>
    <w:rsid w:val="009850B8"/>
    <w:rsid w:val="00985C15"/>
    <w:rsid w:val="00985F89"/>
    <w:rsid w:val="00986457"/>
    <w:rsid w:val="00986530"/>
    <w:rsid w:val="00986A78"/>
    <w:rsid w:val="00986BC0"/>
    <w:rsid w:val="00987332"/>
    <w:rsid w:val="0098777E"/>
    <w:rsid w:val="00987A64"/>
    <w:rsid w:val="00987B7F"/>
    <w:rsid w:val="00987C13"/>
    <w:rsid w:val="0099008A"/>
    <w:rsid w:val="00990411"/>
    <w:rsid w:val="00990413"/>
    <w:rsid w:val="009906A4"/>
    <w:rsid w:val="00990EE0"/>
    <w:rsid w:val="00990FC4"/>
    <w:rsid w:val="009911FD"/>
    <w:rsid w:val="0099178E"/>
    <w:rsid w:val="00991CCA"/>
    <w:rsid w:val="00992C96"/>
    <w:rsid w:val="00993226"/>
    <w:rsid w:val="0099322F"/>
    <w:rsid w:val="00993A68"/>
    <w:rsid w:val="00993DE6"/>
    <w:rsid w:val="009945B3"/>
    <w:rsid w:val="00994831"/>
    <w:rsid w:val="00994CC6"/>
    <w:rsid w:val="00995180"/>
    <w:rsid w:val="00995427"/>
    <w:rsid w:val="0099549A"/>
    <w:rsid w:val="00995CEA"/>
    <w:rsid w:val="00995D5B"/>
    <w:rsid w:val="00995F52"/>
    <w:rsid w:val="009964BA"/>
    <w:rsid w:val="0099653D"/>
    <w:rsid w:val="009967CC"/>
    <w:rsid w:val="00996DE6"/>
    <w:rsid w:val="00997235"/>
    <w:rsid w:val="00997540"/>
    <w:rsid w:val="009976BD"/>
    <w:rsid w:val="00997F4F"/>
    <w:rsid w:val="009A09B7"/>
    <w:rsid w:val="009A0ECF"/>
    <w:rsid w:val="009A1119"/>
    <w:rsid w:val="009A1369"/>
    <w:rsid w:val="009A1547"/>
    <w:rsid w:val="009A177E"/>
    <w:rsid w:val="009A1A84"/>
    <w:rsid w:val="009A28BA"/>
    <w:rsid w:val="009A2FDC"/>
    <w:rsid w:val="009A35B0"/>
    <w:rsid w:val="009A35CA"/>
    <w:rsid w:val="009A4096"/>
    <w:rsid w:val="009A4B84"/>
    <w:rsid w:val="009A4E1D"/>
    <w:rsid w:val="009A4F19"/>
    <w:rsid w:val="009A5151"/>
    <w:rsid w:val="009A58B0"/>
    <w:rsid w:val="009A5D7A"/>
    <w:rsid w:val="009A5F87"/>
    <w:rsid w:val="009A5F8E"/>
    <w:rsid w:val="009A62F4"/>
    <w:rsid w:val="009A6C43"/>
    <w:rsid w:val="009A6F6B"/>
    <w:rsid w:val="009A6FFE"/>
    <w:rsid w:val="009A774C"/>
    <w:rsid w:val="009A7C0B"/>
    <w:rsid w:val="009A7CE0"/>
    <w:rsid w:val="009A7CFC"/>
    <w:rsid w:val="009B008F"/>
    <w:rsid w:val="009B0233"/>
    <w:rsid w:val="009B043E"/>
    <w:rsid w:val="009B06CF"/>
    <w:rsid w:val="009B0B9C"/>
    <w:rsid w:val="009B0BCE"/>
    <w:rsid w:val="009B0BD8"/>
    <w:rsid w:val="009B0BF5"/>
    <w:rsid w:val="009B1134"/>
    <w:rsid w:val="009B1990"/>
    <w:rsid w:val="009B377B"/>
    <w:rsid w:val="009B3A98"/>
    <w:rsid w:val="009B3D5F"/>
    <w:rsid w:val="009B446F"/>
    <w:rsid w:val="009B4F17"/>
    <w:rsid w:val="009B4F9E"/>
    <w:rsid w:val="009B4FE5"/>
    <w:rsid w:val="009B5A8F"/>
    <w:rsid w:val="009B5D53"/>
    <w:rsid w:val="009B6113"/>
    <w:rsid w:val="009B6501"/>
    <w:rsid w:val="009B6C22"/>
    <w:rsid w:val="009B6EFC"/>
    <w:rsid w:val="009B73AE"/>
    <w:rsid w:val="009B7771"/>
    <w:rsid w:val="009B78A4"/>
    <w:rsid w:val="009B7E53"/>
    <w:rsid w:val="009B7F61"/>
    <w:rsid w:val="009C015B"/>
    <w:rsid w:val="009C01BD"/>
    <w:rsid w:val="009C01DD"/>
    <w:rsid w:val="009C06CE"/>
    <w:rsid w:val="009C1184"/>
    <w:rsid w:val="009C1390"/>
    <w:rsid w:val="009C15E8"/>
    <w:rsid w:val="009C16CD"/>
    <w:rsid w:val="009C17E5"/>
    <w:rsid w:val="009C1A1A"/>
    <w:rsid w:val="009C22D6"/>
    <w:rsid w:val="009C2581"/>
    <w:rsid w:val="009C28A4"/>
    <w:rsid w:val="009C2B38"/>
    <w:rsid w:val="009C30CF"/>
    <w:rsid w:val="009C3444"/>
    <w:rsid w:val="009C385C"/>
    <w:rsid w:val="009C3C1A"/>
    <w:rsid w:val="009C4096"/>
    <w:rsid w:val="009C4947"/>
    <w:rsid w:val="009C4C59"/>
    <w:rsid w:val="009C5383"/>
    <w:rsid w:val="009C539A"/>
    <w:rsid w:val="009C53D5"/>
    <w:rsid w:val="009C5643"/>
    <w:rsid w:val="009C5B64"/>
    <w:rsid w:val="009C5E7B"/>
    <w:rsid w:val="009C6040"/>
    <w:rsid w:val="009C6BF6"/>
    <w:rsid w:val="009C6C0E"/>
    <w:rsid w:val="009C6C69"/>
    <w:rsid w:val="009C6D9F"/>
    <w:rsid w:val="009C7264"/>
    <w:rsid w:val="009C72FB"/>
    <w:rsid w:val="009C7783"/>
    <w:rsid w:val="009C7897"/>
    <w:rsid w:val="009C7BC8"/>
    <w:rsid w:val="009D032A"/>
    <w:rsid w:val="009D04C7"/>
    <w:rsid w:val="009D05F9"/>
    <w:rsid w:val="009D08B1"/>
    <w:rsid w:val="009D0ADE"/>
    <w:rsid w:val="009D0B13"/>
    <w:rsid w:val="009D20E0"/>
    <w:rsid w:val="009D315F"/>
    <w:rsid w:val="009D33C3"/>
    <w:rsid w:val="009D3A1D"/>
    <w:rsid w:val="009D3FF3"/>
    <w:rsid w:val="009D424A"/>
    <w:rsid w:val="009D471A"/>
    <w:rsid w:val="009D4D91"/>
    <w:rsid w:val="009D4EFF"/>
    <w:rsid w:val="009D5361"/>
    <w:rsid w:val="009D564A"/>
    <w:rsid w:val="009D641B"/>
    <w:rsid w:val="009D67EF"/>
    <w:rsid w:val="009D6D1E"/>
    <w:rsid w:val="009D6E84"/>
    <w:rsid w:val="009D73F2"/>
    <w:rsid w:val="009D7B22"/>
    <w:rsid w:val="009D7E09"/>
    <w:rsid w:val="009E00C8"/>
    <w:rsid w:val="009E04D4"/>
    <w:rsid w:val="009E0708"/>
    <w:rsid w:val="009E095D"/>
    <w:rsid w:val="009E100C"/>
    <w:rsid w:val="009E1296"/>
    <w:rsid w:val="009E1888"/>
    <w:rsid w:val="009E19E0"/>
    <w:rsid w:val="009E1E01"/>
    <w:rsid w:val="009E22FD"/>
    <w:rsid w:val="009E2416"/>
    <w:rsid w:val="009E2AC9"/>
    <w:rsid w:val="009E2B1B"/>
    <w:rsid w:val="009E2F5E"/>
    <w:rsid w:val="009E2FF5"/>
    <w:rsid w:val="009E3D4A"/>
    <w:rsid w:val="009E4841"/>
    <w:rsid w:val="009E4D8C"/>
    <w:rsid w:val="009E4FC9"/>
    <w:rsid w:val="009E561F"/>
    <w:rsid w:val="009E6502"/>
    <w:rsid w:val="009E655A"/>
    <w:rsid w:val="009E6EA2"/>
    <w:rsid w:val="009E79A0"/>
    <w:rsid w:val="009E7ABF"/>
    <w:rsid w:val="009F000F"/>
    <w:rsid w:val="009F0146"/>
    <w:rsid w:val="009F1934"/>
    <w:rsid w:val="009F1B0D"/>
    <w:rsid w:val="009F1F30"/>
    <w:rsid w:val="009F224F"/>
    <w:rsid w:val="009F2467"/>
    <w:rsid w:val="009F2A02"/>
    <w:rsid w:val="009F2A77"/>
    <w:rsid w:val="009F3414"/>
    <w:rsid w:val="009F368A"/>
    <w:rsid w:val="009F3D2F"/>
    <w:rsid w:val="009F3FBC"/>
    <w:rsid w:val="009F446F"/>
    <w:rsid w:val="009F4515"/>
    <w:rsid w:val="009F4BB8"/>
    <w:rsid w:val="009F5231"/>
    <w:rsid w:val="009F587F"/>
    <w:rsid w:val="009F59B1"/>
    <w:rsid w:val="009F5CDC"/>
    <w:rsid w:val="009F5D43"/>
    <w:rsid w:val="009F6020"/>
    <w:rsid w:val="009F6877"/>
    <w:rsid w:val="009F6893"/>
    <w:rsid w:val="009F6DAD"/>
    <w:rsid w:val="009F6FCB"/>
    <w:rsid w:val="009F70F9"/>
    <w:rsid w:val="009F7710"/>
    <w:rsid w:val="009F7CAC"/>
    <w:rsid w:val="00A002FD"/>
    <w:rsid w:val="00A0046D"/>
    <w:rsid w:val="00A01161"/>
    <w:rsid w:val="00A012BB"/>
    <w:rsid w:val="00A014C3"/>
    <w:rsid w:val="00A0171C"/>
    <w:rsid w:val="00A01A51"/>
    <w:rsid w:val="00A01A6F"/>
    <w:rsid w:val="00A0260A"/>
    <w:rsid w:val="00A0268A"/>
    <w:rsid w:val="00A02AE2"/>
    <w:rsid w:val="00A032D3"/>
    <w:rsid w:val="00A038CC"/>
    <w:rsid w:val="00A044A1"/>
    <w:rsid w:val="00A05136"/>
    <w:rsid w:val="00A05F06"/>
    <w:rsid w:val="00A06219"/>
    <w:rsid w:val="00A0757A"/>
    <w:rsid w:val="00A075A3"/>
    <w:rsid w:val="00A0763F"/>
    <w:rsid w:val="00A07AB9"/>
    <w:rsid w:val="00A07AE9"/>
    <w:rsid w:val="00A07B29"/>
    <w:rsid w:val="00A1024C"/>
    <w:rsid w:val="00A102B1"/>
    <w:rsid w:val="00A1096A"/>
    <w:rsid w:val="00A109A0"/>
    <w:rsid w:val="00A10E5C"/>
    <w:rsid w:val="00A11547"/>
    <w:rsid w:val="00A115E1"/>
    <w:rsid w:val="00A11911"/>
    <w:rsid w:val="00A11A8E"/>
    <w:rsid w:val="00A11DBB"/>
    <w:rsid w:val="00A12169"/>
    <w:rsid w:val="00A122B0"/>
    <w:rsid w:val="00A122BF"/>
    <w:rsid w:val="00A12FAC"/>
    <w:rsid w:val="00A1321B"/>
    <w:rsid w:val="00A133FF"/>
    <w:rsid w:val="00A1393D"/>
    <w:rsid w:val="00A13CA8"/>
    <w:rsid w:val="00A13E0A"/>
    <w:rsid w:val="00A13FEF"/>
    <w:rsid w:val="00A14012"/>
    <w:rsid w:val="00A147EB"/>
    <w:rsid w:val="00A14992"/>
    <w:rsid w:val="00A14D22"/>
    <w:rsid w:val="00A14D61"/>
    <w:rsid w:val="00A14DF6"/>
    <w:rsid w:val="00A1576A"/>
    <w:rsid w:val="00A157AC"/>
    <w:rsid w:val="00A158D2"/>
    <w:rsid w:val="00A1660B"/>
    <w:rsid w:val="00A16640"/>
    <w:rsid w:val="00A16855"/>
    <w:rsid w:val="00A168F1"/>
    <w:rsid w:val="00A169B3"/>
    <w:rsid w:val="00A17464"/>
    <w:rsid w:val="00A1783D"/>
    <w:rsid w:val="00A178DB"/>
    <w:rsid w:val="00A2001F"/>
    <w:rsid w:val="00A20098"/>
    <w:rsid w:val="00A200FD"/>
    <w:rsid w:val="00A206A9"/>
    <w:rsid w:val="00A20828"/>
    <w:rsid w:val="00A20D6C"/>
    <w:rsid w:val="00A21058"/>
    <w:rsid w:val="00A21148"/>
    <w:rsid w:val="00A21583"/>
    <w:rsid w:val="00A219FD"/>
    <w:rsid w:val="00A21D83"/>
    <w:rsid w:val="00A2205A"/>
    <w:rsid w:val="00A2239A"/>
    <w:rsid w:val="00A22F58"/>
    <w:rsid w:val="00A23263"/>
    <w:rsid w:val="00A23358"/>
    <w:rsid w:val="00A2369F"/>
    <w:rsid w:val="00A23A9F"/>
    <w:rsid w:val="00A24335"/>
    <w:rsid w:val="00A247C5"/>
    <w:rsid w:val="00A24BBA"/>
    <w:rsid w:val="00A24CB8"/>
    <w:rsid w:val="00A24E81"/>
    <w:rsid w:val="00A24F45"/>
    <w:rsid w:val="00A252AE"/>
    <w:rsid w:val="00A253AC"/>
    <w:rsid w:val="00A2565F"/>
    <w:rsid w:val="00A257D1"/>
    <w:rsid w:val="00A25DEF"/>
    <w:rsid w:val="00A26093"/>
    <w:rsid w:val="00A26170"/>
    <w:rsid w:val="00A26177"/>
    <w:rsid w:val="00A26323"/>
    <w:rsid w:val="00A263EB"/>
    <w:rsid w:val="00A26A18"/>
    <w:rsid w:val="00A26A4C"/>
    <w:rsid w:val="00A2709E"/>
    <w:rsid w:val="00A27142"/>
    <w:rsid w:val="00A2752C"/>
    <w:rsid w:val="00A27792"/>
    <w:rsid w:val="00A27896"/>
    <w:rsid w:val="00A30290"/>
    <w:rsid w:val="00A3053B"/>
    <w:rsid w:val="00A30613"/>
    <w:rsid w:val="00A30AA2"/>
    <w:rsid w:val="00A31DBF"/>
    <w:rsid w:val="00A31E63"/>
    <w:rsid w:val="00A32465"/>
    <w:rsid w:val="00A32625"/>
    <w:rsid w:val="00A331C8"/>
    <w:rsid w:val="00A3330A"/>
    <w:rsid w:val="00A3374E"/>
    <w:rsid w:val="00A337C0"/>
    <w:rsid w:val="00A33B0C"/>
    <w:rsid w:val="00A33BD1"/>
    <w:rsid w:val="00A33FED"/>
    <w:rsid w:val="00A3414F"/>
    <w:rsid w:val="00A348A3"/>
    <w:rsid w:val="00A3499F"/>
    <w:rsid w:val="00A3558D"/>
    <w:rsid w:val="00A35BDE"/>
    <w:rsid w:val="00A35E05"/>
    <w:rsid w:val="00A35E90"/>
    <w:rsid w:val="00A35F5A"/>
    <w:rsid w:val="00A35FE9"/>
    <w:rsid w:val="00A369EF"/>
    <w:rsid w:val="00A37007"/>
    <w:rsid w:val="00A37866"/>
    <w:rsid w:val="00A37999"/>
    <w:rsid w:val="00A379C7"/>
    <w:rsid w:val="00A37C7C"/>
    <w:rsid w:val="00A408C8"/>
    <w:rsid w:val="00A40BAA"/>
    <w:rsid w:val="00A40F85"/>
    <w:rsid w:val="00A40F94"/>
    <w:rsid w:val="00A41924"/>
    <w:rsid w:val="00A41A3C"/>
    <w:rsid w:val="00A423B0"/>
    <w:rsid w:val="00A42667"/>
    <w:rsid w:val="00A42F5B"/>
    <w:rsid w:val="00A431BA"/>
    <w:rsid w:val="00A43499"/>
    <w:rsid w:val="00A43EC7"/>
    <w:rsid w:val="00A44216"/>
    <w:rsid w:val="00A44409"/>
    <w:rsid w:val="00A4457E"/>
    <w:rsid w:val="00A44871"/>
    <w:rsid w:val="00A44E6D"/>
    <w:rsid w:val="00A45015"/>
    <w:rsid w:val="00A4505B"/>
    <w:rsid w:val="00A4537B"/>
    <w:rsid w:val="00A453B0"/>
    <w:rsid w:val="00A454FC"/>
    <w:rsid w:val="00A4565F"/>
    <w:rsid w:val="00A45846"/>
    <w:rsid w:val="00A45EF0"/>
    <w:rsid w:val="00A45F6E"/>
    <w:rsid w:val="00A46195"/>
    <w:rsid w:val="00A46A4C"/>
    <w:rsid w:val="00A46E0B"/>
    <w:rsid w:val="00A4766A"/>
    <w:rsid w:val="00A502BA"/>
    <w:rsid w:val="00A50371"/>
    <w:rsid w:val="00A505C0"/>
    <w:rsid w:val="00A5060F"/>
    <w:rsid w:val="00A50660"/>
    <w:rsid w:val="00A50681"/>
    <w:rsid w:val="00A5082F"/>
    <w:rsid w:val="00A508DC"/>
    <w:rsid w:val="00A510DE"/>
    <w:rsid w:val="00A51B2A"/>
    <w:rsid w:val="00A51B53"/>
    <w:rsid w:val="00A51DBC"/>
    <w:rsid w:val="00A521C1"/>
    <w:rsid w:val="00A522B0"/>
    <w:rsid w:val="00A5235B"/>
    <w:rsid w:val="00A52966"/>
    <w:rsid w:val="00A52B98"/>
    <w:rsid w:val="00A5372B"/>
    <w:rsid w:val="00A545BF"/>
    <w:rsid w:val="00A546D0"/>
    <w:rsid w:val="00A54B50"/>
    <w:rsid w:val="00A54D6B"/>
    <w:rsid w:val="00A550B8"/>
    <w:rsid w:val="00A55A10"/>
    <w:rsid w:val="00A55DC8"/>
    <w:rsid w:val="00A55ED3"/>
    <w:rsid w:val="00A5632B"/>
    <w:rsid w:val="00A563D3"/>
    <w:rsid w:val="00A56579"/>
    <w:rsid w:val="00A56726"/>
    <w:rsid w:val="00A56765"/>
    <w:rsid w:val="00A56AC5"/>
    <w:rsid w:val="00A574F0"/>
    <w:rsid w:val="00A57755"/>
    <w:rsid w:val="00A57B63"/>
    <w:rsid w:val="00A57BA9"/>
    <w:rsid w:val="00A60132"/>
    <w:rsid w:val="00A60939"/>
    <w:rsid w:val="00A60A0F"/>
    <w:rsid w:val="00A60A69"/>
    <w:rsid w:val="00A617E7"/>
    <w:rsid w:val="00A619F3"/>
    <w:rsid w:val="00A61DC9"/>
    <w:rsid w:val="00A61F1E"/>
    <w:rsid w:val="00A61F43"/>
    <w:rsid w:val="00A62ED1"/>
    <w:rsid w:val="00A633E0"/>
    <w:rsid w:val="00A63601"/>
    <w:rsid w:val="00A63B2D"/>
    <w:rsid w:val="00A63D29"/>
    <w:rsid w:val="00A6404F"/>
    <w:rsid w:val="00A640B5"/>
    <w:rsid w:val="00A64426"/>
    <w:rsid w:val="00A64468"/>
    <w:rsid w:val="00A64728"/>
    <w:rsid w:val="00A64904"/>
    <w:rsid w:val="00A64C1C"/>
    <w:rsid w:val="00A64CBA"/>
    <w:rsid w:val="00A64E4E"/>
    <w:rsid w:val="00A659D8"/>
    <w:rsid w:val="00A65AFA"/>
    <w:rsid w:val="00A65B38"/>
    <w:rsid w:val="00A65E89"/>
    <w:rsid w:val="00A66603"/>
    <w:rsid w:val="00A66D4C"/>
    <w:rsid w:val="00A67379"/>
    <w:rsid w:val="00A67676"/>
    <w:rsid w:val="00A67BCA"/>
    <w:rsid w:val="00A67CCE"/>
    <w:rsid w:val="00A70EBC"/>
    <w:rsid w:val="00A70FE3"/>
    <w:rsid w:val="00A710D0"/>
    <w:rsid w:val="00A7118D"/>
    <w:rsid w:val="00A71339"/>
    <w:rsid w:val="00A7135B"/>
    <w:rsid w:val="00A71759"/>
    <w:rsid w:val="00A71A83"/>
    <w:rsid w:val="00A72091"/>
    <w:rsid w:val="00A723BF"/>
    <w:rsid w:val="00A72469"/>
    <w:rsid w:val="00A72829"/>
    <w:rsid w:val="00A72BFA"/>
    <w:rsid w:val="00A72CAF"/>
    <w:rsid w:val="00A730EA"/>
    <w:rsid w:val="00A73139"/>
    <w:rsid w:val="00A7374F"/>
    <w:rsid w:val="00A73894"/>
    <w:rsid w:val="00A73993"/>
    <w:rsid w:val="00A73BB9"/>
    <w:rsid w:val="00A73F82"/>
    <w:rsid w:val="00A742B1"/>
    <w:rsid w:val="00A74CDF"/>
    <w:rsid w:val="00A75408"/>
    <w:rsid w:val="00A75598"/>
    <w:rsid w:val="00A756D0"/>
    <w:rsid w:val="00A75BCB"/>
    <w:rsid w:val="00A75CC3"/>
    <w:rsid w:val="00A75F1D"/>
    <w:rsid w:val="00A75F8C"/>
    <w:rsid w:val="00A761CF"/>
    <w:rsid w:val="00A7631D"/>
    <w:rsid w:val="00A7667E"/>
    <w:rsid w:val="00A76D19"/>
    <w:rsid w:val="00A775E6"/>
    <w:rsid w:val="00A7768F"/>
    <w:rsid w:val="00A7771D"/>
    <w:rsid w:val="00A80BF6"/>
    <w:rsid w:val="00A80E98"/>
    <w:rsid w:val="00A81694"/>
    <w:rsid w:val="00A817CD"/>
    <w:rsid w:val="00A818A0"/>
    <w:rsid w:val="00A81935"/>
    <w:rsid w:val="00A82113"/>
    <w:rsid w:val="00A825A5"/>
    <w:rsid w:val="00A82899"/>
    <w:rsid w:val="00A82D87"/>
    <w:rsid w:val="00A83251"/>
    <w:rsid w:val="00A83ACB"/>
    <w:rsid w:val="00A844C2"/>
    <w:rsid w:val="00A84BBC"/>
    <w:rsid w:val="00A85698"/>
    <w:rsid w:val="00A859E4"/>
    <w:rsid w:val="00A85BDC"/>
    <w:rsid w:val="00A85C83"/>
    <w:rsid w:val="00A85CBA"/>
    <w:rsid w:val="00A861BB"/>
    <w:rsid w:val="00A8620B"/>
    <w:rsid w:val="00A866EE"/>
    <w:rsid w:val="00A8686B"/>
    <w:rsid w:val="00A875BA"/>
    <w:rsid w:val="00A875BE"/>
    <w:rsid w:val="00A87D9B"/>
    <w:rsid w:val="00A87DB4"/>
    <w:rsid w:val="00A901A1"/>
    <w:rsid w:val="00A9043C"/>
    <w:rsid w:val="00A90BEF"/>
    <w:rsid w:val="00A90D4F"/>
    <w:rsid w:val="00A90DF4"/>
    <w:rsid w:val="00A9166F"/>
    <w:rsid w:val="00A91DEE"/>
    <w:rsid w:val="00A92531"/>
    <w:rsid w:val="00A92A1A"/>
    <w:rsid w:val="00A937D2"/>
    <w:rsid w:val="00A94191"/>
    <w:rsid w:val="00A9428C"/>
    <w:rsid w:val="00A94A38"/>
    <w:rsid w:val="00A94E56"/>
    <w:rsid w:val="00A956DD"/>
    <w:rsid w:val="00A95A68"/>
    <w:rsid w:val="00A95ACC"/>
    <w:rsid w:val="00A95F24"/>
    <w:rsid w:val="00A96451"/>
    <w:rsid w:val="00A96524"/>
    <w:rsid w:val="00A9665E"/>
    <w:rsid w:val="00A96673"/>
    <w:rsid w:val="00A96DEB"/>
    <w:rsid w:val="00A96E97"/>
    <w:rsid w:val="00A96F5F"/>
    <w:rsid w:val="00A97168"/>
    <w:rsid w:val="00A9755C"/>
    <w:rsid w:val="00A978CC"/>
    <w:rsid w:val="00A97A15"/>
    <w:rsid w:val="00A97A3F"/>
    <w:rsid w:val="00A97BF0"/>
    <w:rsid w:val="00AA00E4"/>
    <w:rsid w:val="00AA0275"/>
    <w:rsid w:val="00AA04F7"/>
    <w:rsid w:val="00AA06BA"/>
    <w:rsid w:val="00AA0CBC"/>
    <w:rsid w:val="00AA0E60"/>
    <w:rsid w:val="00AA0EF1"/>
    <w:rsid w:val="00AA15D3"/>
    <w:rsid w:val="00AA1639"/>
    <w:rsid w:val="00AA165D"/>
    <w:rsid w:val="00AA1F49"/>
    <w:rsid w:val="00AA21D3"/>
    <w:rsid w:val="00AA2482"/>
    <w:rsid w:val="00AA25C1"/>
    <w:rsid w:val="00AA2730"/>
    <w:rsid w:val="00AA2EEE"/>
    <w:rsid w:val="00AA31A5"/>
    <w:rsid w:val="00AA3BB3"/>
    <w:rsid w:val="00AA42BD"/>
    <w:rsid w:val="00AA4F20"/>
    <w:rsid w:val="00AA617C"/>
    <w:rsid w:val="00AA626C"/>
    <w:rsid w:val="00AA65C9"/>
    <w:rsid w:val="00AA6BD8"/>
    <w:rsid w:val="00AA7B21"/>
    <w:rsid w:val="00AA7ED7"/>
    <w:rsid w:val="00AA7EE4"/>
    <w:rsid w:val="00AB0537"/>
    <w:rsid w:val="00AB06EC"/>
    <w:rsid w:val="00AB0845"/>
    <w:rsid w:val="00AB08D7"/>
    <w:rsid w:val="00AB0984"/>
    <w:rsid w:val="00AB0DC4"/>
    <w:rsid w:val="00AB0EFB"/>
    <w:rsid w:val="00AB28F6"/>
    <w:rsid w:val="00AB2949"/>
    <w:rsid w:val="00AB2B40"/>
    <w:rsid w:val="00AB2B51"/>
    <w:rsid w:val="00AB2C97"/>
    <w:rsid w:val="00AB304A"/>
    <w:rsid w:val="00AB331C"/>
    <w:rsid w:val="00AB34E3"/>
    <w:rsid w:val="00AB3533"/>
    <w:rsid w:val="00AB354B"/>
    <w:rsid w:val="00AB3B1C"/>
    <w:rsid w:val="00AB3B95"/>
    <w:rsid w:val="00AB45BE"/>
    <w:rsid w:val="00AB4670"/>
    <w:rsid w:val="00AB4835"/>
    <w:rsid w:val="00AB4A4E"/>
    <w:rsid w:val="00AB4CB4"/>
    <w:rsid w:val="00AB4DB7"/>
    <w:rsid w:val="00AB4EBF"/>
    <w:rsid w:val="00AB5678"/>
    <w:rsid w:val="00AB5709"/>
    <w:rsid w:val="00AB57DC"/>
    <w:rsid w:val="00AB592A"/>
    <w:rsid w:val="00AB5C1D"/>
    <w:rsid w:val="00AB5C38"/>
    <w:rsid w:val="00AB751C"/>
    <w:rsid w:val="00AB7625"/>
    <w:rsid w:val="00AB7910"/>
    <w:rsid w:val="00AB7C8E"/>
    <w:rsid w:val="00AC0214"/>
    <w:rsid w:val="00AC0251"/>
    <w:rsid w:val="00AC0646"/>
    <w:rsid w:val="00AC06D6"/>
    <w:rsid w:val="00AC0996"/>
    <w:rsid w:val="00AC0BA3"/>
    <w:rsid w:val="00AC0E98"/>
    <w:rsid w:val="00AC1341"/>
    <w:rsid w:val="00AC146B"/>
    <w:rsid w:val="00AC1919"/>
    <w:rsid w:val="00AC19A1"/>
    <w:rsid w:val="00AC1FB2"/>
    <w:rsid w:val="00AC24B4"/>
    <w:rsid w:val="00AC2A78"/>
    <w:rsid w:val="00AC2C4C"/>
    <w:rsid w:val="00AC2C5B"/>
    <w:rsid w:val="00AC2D57"/>
    <w:rsid w:val="00AC2DCB"/>
    <w:rsid w:val="00AC3531"/>
    <w:rsid w:val="00AC3665"/>
    <w:rsid w:val="00AC38A9"/>
    <w:rsid w:val="00AC3BC2"/>
    <w:rsid w:val="00AC40CC"/>
    <w:rsid w:val="00AC4122"/>
    <w:rsid w:val="00AC4C3A"/>
    <w:rsid w:val="00AC4DEF"/>
    <w:rsid w:val="00AC4F21"/>
    <w:rsid w:val="00AC4FD5"/>
    <w:rsid w:val="00AC4FF5"/>
    <w:rsid w:val="00AC547E"/>
    <w:rsid w:val="00AC54F6"/>
    <w:rsid w:val="00AC5642"/>
    <w:rsid w:val="00AC61B7"/>
    <w:rsid w:val="00AC6345"/>
    <w:rsid w:val="00AC656B"/>
    <w:rsid w:val="00AC67DD"/>
    <w:rsid w:val="00AC7039"/>
    <w:rsid w:val="00AC711A"/>
    <w:rsid w:val="00AC7174"/>
    <w:rsid w:val="00AC7595"/>
    <w:rsid w:val="00AC7801"/>
    <w:rsid w:val="00AC79F8"/>
    <w:rsid w:val="00AC7F37"/>
    <w:rsid w:val="00AD004B"/>
    <w:rsid w:val="00AD049F"/>
    <w:rsid w:val="00AD0C1E"/>
    <w:rsid w:val="00AD0E10"/>
    <w:rsid w:val="00AD12B8"/>
    <w:rsid w:val="00AD2D23"/>
    <w:rsid w:val="00AD2DBB"/>
    <w:rsid w:val="00AD2EFE"/>
    <w:rsid w:val="00AD317F"/>
    <w:rsid w:val="00AD4106"/>
    <w:rsid w:val="00AD4620"/>
    <w:rsid w:val="00AD4C1D"/>
    <w:rsid w:val="00AD5BF8"/>
    <w:rsid w:val="00AD5E5E"/>
    <w:rsid w:val="00AD602C"/>
    <w:rsid w:val="00AD6141"/>
    <w:rsid w:val="00AD62A3"/>
    <w:rsid w:val="00AD657D"/>
    <w:rsid w:val="00AD660E"/>
    <w:rsid w:val="00AD6D8B"/>
    <w:rsid w:val="00AD6FA9"/>
    <w:rsid w:val="00AD6FC8"/>
    <w:rsid w:val="00AD739E"/>
    <w:rsid w:val="00AD7C60"/>
    <w:rsid w:val="00AE013C"/>
    <w:rsid w:val="00AE0375"/>
    <w:rsid w:val="00AE044B"/>
    <w:rsid w:val="00AE061D"/>
    <w:rsid w:val="00AE06C9"/>
    <w:rsid w:val="00AE0777"/>
    <w:rsid w:val="00AE0879"/>
    <w:rsid w:val="00AE0B80"/>
    <w:rsid w:val="00AE137C"/>
    <w:rsid w:val="00AE13AD"/>
    <w:rsid w:val="00AE1601"/>
    <w:rsid w:val="00AE18EF"/>
    <w:rsid w:val="00AE20B3"/>
    <w:rsid w:val="00AE228C"/>
    <w:rsid w:val="00AE2757"/>
    <w:rsid w:val="00AE2DB2"/>
    <w:rsid w:val="00AE31F9"/>
    <w:rsid w:val="00AE3435"/>
    <w:rsid w:val="00AE34E1"/>
    <w:rsid w:val="00AE3C76"/>
    <w:rsid w:val="00AE3D7A"/>
    <w:rsid w:val="00AE4060"/>
    <w:rsid w:val="00AE4B0F"/>
    <w:rsid w:val="00AE4F52"/>
    <w:rsid w:val="00AE5F79"/>
    <w:rsid w:val="00AE6AA2"/>
    <w:rsid w:val="00AE6CA7"/>
    <w:rsid w:val="00AE7293"/>
    <w:rsid w:val="00AE761B"/>
    <w:rsid w:val="00AF0080"/>
    <w:rsid w:val="00AF020A"/>
    <w:rsid w:val="00AF0365"/>
    <w:rsid w:val="00AF0760"/>
    <w:rsid w:val="00AF0B54"/>
    <w:rsid w:val="00AF0D06"/>
    <w:rsid w:val="00AF0F01"/>
    <w:rsid w:val="00AF1227"/>
    <w:rsid w:val="00AF1AF2"/>
    <w:rsid w:val="00AF1E4E"/>
    <w:rsid w:val="00AF22DA"/>
    <w:rsid w:val="00AF306E"/>
    <w:rsid w:val="00AF3538"/>
    <w:rsid w:val="00AF387E"/>
    <w:rsid w:val="00AF39AD"/>
    <w:rsid w:val="00AF3B0A"/>
    <w:rsid w:val="00AF4055"/>
    <w:rsid w:val="00AF40DB"/>
    <w:rsid w:val="00AF4110"/>
    <w:rsid w:val="00AF45F2"/>
    <w:rsid w:val="00AF4672"/>
    <w:rsid w:val="00AF4A64"/>
    <w:rsid w:val="00AF550D"/>
    <w:rsid w:val="00AF5F2C"/>
    <w:rsid w:val="00AF6052"/>
    <w:rsid w:val="00AF614E"/>
    <w:rsid w:val="00AF638E"/>
    <w:rsid w:val="00AF63CB"/>
    <w:rsid w:val="00AF6717"/>
    <w:rsid w:val="00AF715D"/>
    <w:rsid w:val="00AF7FE0"/>
    <w:rsid w:val="00B001A4"/>
    <w:rsid w:val="00B00499"/>
    <w:rsid w:val="00B006BD"/>
    <w:rsid w:val="00B0084A"/>
    <w:rsid w:val="00B01065"/>
    <w:rsid w:val="00B01112"/>
    <w:rsid w:val="00B024DF"/>
    <w:rsid w:val="00B0257E"/>
    <w:rsid w:val="00B02B74"/>
    <w:rsid w:val="00B035BC"/>
    <w:rsid w:val="00B03661"/>
    <w:rsid w:val="00B03856"/>
    <w:rsid w:val="00B042C2"/>
    <w:rsid w:val="00B04665"/>
    <w:rsid w:val="00B04C1F"/>
    <w:rsid w:val="00B04C3B"/>
    <w:rsid w:val="00B04F8B"/>
    <w:rsid w:val="00B057B8"/>
    <w:rsid w:val="00B059B9"/>
    <w:rsid w:val="00B05E18"/>
    <w:rsid w:val="00B0678A"/>
    <w:rsid w:val="00B06859"/>
    <w:rsid w:val="00B06C77"/>
    <w:rsid w:val="00B0744B"/>
    <w:rsid w:val="00B07605"/>
    <w:rsid w:val="00B07B64"/>
    <w:rsid w:val="00B07BB2"/>
    <w:rsid w:val="00B101F3"/>
    <w:rsid w:val="00B10408"/>
    <w:rsid w:val="00B106E2"/>
    <w:rsid w:val="00B1097C"/>
    <w:rsid w:val="00B10DBF"/>
    <w:rsid w:val="00B10E4A"/>
    <w:rsid w:val="00B10FAB"/>
    <w:rsid w:val="00B110B4"/>
    <w:rsid w:val="00B114BF"/>
    <w:rsid w:val="00B116EF"/>
    <w:rsid w:val="00B11861"/>
    <w:rsid w:val="00B126D6"/>
    <w:rsid w:val="00B128F9"/>
    <w:rsid w:val="00B129C4"/>
    <w:rsid w:val="00B12C78"/>
    <w:rsid w:val="00B12EE3"/>
    <w:rsid w:val="00B13500"/>
    <w:rsid w:val="00B1373F"/>
    <w:rsid w:val="00B13C92"/>
    <w:rsid w:val="00B13D65"/>
    <w:rsid w:val="00B14227"/>
    <w:rsid w:val="00B14651"/>
    <w:rsid w:val="00B14738"/>
    <w:rsid w:val="00B14AF7"/>
    <w:rsid w:val="00B14F4E"/>
    <w:rsid w:val="00B15478"/>
    <w:rsid w:val="00B15797"/>
    <w:rsid w:val="00B15A5B"/>
    <w:rsid w:val="00B15B47"/>
    <w:rsid w:val="00B15FC9"/>
    <w:rsid w:val="00B166EB"/>
    <w:rsid w:val="00B168D1"/>
    <w:rsid w:val="00B16D40"/>
    <w:rsid w:val="00B16DA1"/>
    <w:rsid w:val="00B173D9"/>
    <w:rsid w:val="00B1741E"/>
    <w:rsid w:val="00B17F04"/>
    <w:rsid w:val="00B2013D"/>
    <w:rsid w:val="00B20236"/>
    <w:rsid w:val="00B202A7"/>
    <w:rsid w:val="00B20535"/>
    <w:rsid w:val="00B21592"/>
    <w:rsid w:val="00B21CDE"/>
    <w:rsid w:val="00B22497"/>
    <w:rsid w:val="00B22786"/>
    <w:rsid w:val="00B228A5"/>
    <w:rsid w:val="00B238C1"/>
    <w:rsid w:val="00B23E9D"/>
    <w:rsid w:val="00B24054"/>
    <w:rsid w:val="00B240CB"/>
    <w:rsid w:val="00B24453"/>
    <w:rsid w:val="00B244B9"/>
    <w:rsid w:val="00B24B62"/>
    <w:rsid w:val="00B24BE1"/>
    <w:rsid w:val="00B2536C"/>
    <w:rsid w:val="00B25A88"/>
    <w:rsid w:val="00B25D3C"/>
    <w:rsid w:val="00B2602A"/>
    <w:rsid w:val="00B260A5"/>
    <w:rsid w:val="00B2621D"/>
    <w:rsid w:val="00B26A85"/>
    <w:rsid w:val="00B2708A"/>
    <w:rsid w:val="00B27DD2"/>
    <w:rsid w:val="00B317D1"/>
    <w:rsid w:val="00B31CAC"/>
    <w:rsid w:val="00B31E02"/>
    <w:rsid w:val="00B3330F"/>
    <w:rsid w:val="00B334A7"/>
    <w:rsid w:val="00B3359A"/>
    <w:rsid w:val="00B3372F"/>
    <w:rsid w:val="00B337F4"/>
    <w:rsid w:val="00B33B4C"/>
    <w:rsid w:val="00B34F9E"/>
    <w:rsid w:val="00B35048"/>
    <w:rsid w:val="00B35250"/>
    <w:rsid w:val="00B3582D"/>
    <w:rsid w:val="00B35926"/>
    <w:rsid w:val="00B359DB"/>
    <w:rsid w:val="00B35ABB"/>
    <w:rsid w:val="00B35BA6"/>
    <w:rsid w:val="00B361E0"/>
    <w:rsid w:val="00B3675A"/>
    <w:rsid w:val="00B36927"/>
    <w:rsid w:val="00B373FA"/>
    <w:rsid w:val="00B37963"/>
    <w:rsid w:val="00B37C4D"/>
    <w:rsid w:val="00B37D48"/>
    <w:rsid w:val="00B37E43"/>
    <w:rsid w:val="00B40734"/>
    <w:rsid w:val="00B40D66"/>
    <w:rsid w:val="00B410BA"/>
    <w:rsid w:val="00B41511"/>
    <w:rsid w:val="00B41998"/>
    <w:rsid w:val="00B41F4B"/>
    <w:rsid w:val="00B42035"/>
    <w:rsid w:val="00B4240B"/>
    <w:rsid w:val="00B42525"/>
    <w:rsid w:val="00B42526"/>
    <w:rsid w:val="00B42CB3"/>
    <w:rsid w:val="00B42D7C"/>
    <w:rsid w:val="00B42FED"/>
    <w:rsid w:val="00B4322C"/>
    <w:rsid w:val="00B4324C"/>
    <w:rsid w:val="00B43E18"/>
    <w:rsid w:val="00B43E91"/>
    <w:rsid w:val="00B444A9"/>
    <w:rsid w:val="00B44AE5"/>
    <w:rsid w:val="00B44D61"/>
    <w:rsid w:val="00B454F3"/>
    <w:rsid w:val="00B45A17"/>
    <w:rsid w:val="00B45E84"/>
    <w:rsid w:val="00B4650D"/>
    <w:rsid w:val="00B46571"/>
    <w:rsid w:val="00B4657C"/>
    <w:rsid w:val="00B4667D"/>
    <w:rsid w:val="00B466D1"/>
    <w:rsid w:val="00B4683D"/>
    <w:rsid w:val="00B46907"/>
    <w:rsid w:val="00B46B38"/>
    <w:rsid w:val="00B46C0D"/>
    <w:rsid w:val="00B46CC8"/>
    <w:rsid w:val="00B46D06"/>
    <w:rsid w:val="00B47381"/>
    <w:rsid w:val="00B47724"/>
    <w:rsid w:val="00B47839"/>
    <w:rsid w:val="00B47991"/>
    <w:rsid w:val="00B47E30"/>
    <w:rsid w:val="00B506D1"/>
    <w:rsid w:val="00B5074D"/>
    <w:rsid w:val="00B50CE6"/>
    <w:rsid w:val="00B510EC"/>
    <w:rsid w:val="00B5160D"/>
    <w:rsid w:val="00B51656"/>
    <w:rsid w:val="00B51745"/>
    <w:rsid w:val="00B51A4C"/>
    <w:rsid w:val="00B51B65"/>
    <w:rsid w:val="00B51E74"/>
    <w:rsid w:val="00B522E0"/>
    <w:rsid w:val="00B52359"/>
    <w:rsid w:val="00B5250D"/>
    <w:rsid w:val="00B5279D"/>
    <w:rsid w:val="00B52894"/>
    <w:rsid w:val="00B53506"/>
    <w:rsid w:val="00B5350C"/>
    <w:rsid w:val="00B536C4"/>
    <w:rsid w:val="00B53715"/>
    <w:rsid w:val="00B53D25"/>
    <w:rsid w:val="00B53DA1"/>
    <w:rsid w:val="00B53F14"/>
    <w:rsid w:val="00B551C4"/>
    <w:rsid w:val="00B553E8"/>
    <w:rsid w:val="00B554A0"/>
    <w:rsid w:val="00B55A94"/>
    <w:rsid w:val="00B55CD5"/>
    <w:rsid w:val="00B561B3"/>
    <w:rsid w:val="00B57550"/>
    <w:rsid w:val="00B57908"/>
    <w:rsid w:val="00B57CBD"/>
    <w:rsid w:val="00B57DC8"/>
    <w:rsid w:val="00B60447"/>
    <w:rsid w:val="00B60819"/>
    <w:rsid w:val="00B60887"/>
    <w:rsid w:val="00B609E0"/>
    <w:rsid w:val="00B61427"/>
    <w:rsid w:val="00B629E7"/>
    <w:rsid w:val="00B62ABF"/>
    <w:rsid w:val="00B62D32"/>
    <w:rsid w:val="00B63594"/>
    <w:rsid w:val="00B6383A"/>
    <w:rsid w:val="00B638C5"/>
    <w:rsid w:val="00B63E7F"/>
    <w:rsid w:val="00B640A0"/>
    <w:rsid w:val="00B6489E"/>
    <w:rsid w:val="00B6494F"/>
    <w:rsid w:val="00B64A1C"/>
    <w:rsid w:val="00B64E53"/>
    <w:rsid w:val="00B64EF0"/>
    <w:rsid w:val="00B658E6"/>
    <w:rsid w:val="00B6599C"/>
    <w:rsid w:val="00B665EE"/>
    <w:rsid w:val="00B666AB"/>
    <w:rsid w:val="00B66B42"/>
    <w:rsid w:val="00B66E89"/>
    <w:rsid w:val="00B6715C"/>
    <w:rsid w:val="00B677F3"/>
    <w:rsid w:val="00B67C95"/>
    <w:rsid w:val="00B7040F"/>
    <w:rsid w:val="00B709AD"/>
    <w:rsid w:val="00B70ED5"/>
    <w:rsid w:val="00B712A1"/>
    <w:rsid w:val="00B7139C"/>
    <w:rsid w:val="00B7171E"/>
    <w:rsid w:val="00B719F8"/>
    <w:rsid w:val="00B720D1"/>
    <w:rsid w:val="00B7220E"/>
    <w:rsid w:val="00B72703"/>
    <w:rsid w:val="00B72C03"/>
    <w:rsid w:val="00B72C33"/>
    <w:rsid w:val="00B72EA2"/>
    <w:rsid w:val="00B72EE3"/>
    <w:rsid w:val="00B72FCB"/>
    <w:rsid w:val="00B73A04"/>
    <w:rsid w:val="00B73C01"/>
    <w:rsid w:val="00B73C54"/>
    <w:rsid w:val="00B74070"/>
    <w:rsid w:val="00B74B48"/>
    <w:rsid w:val="00B74C67"/>
    <w:rsid w:val="00B74C8F"/>
    <w:rsid w:val="00B74DBE"/>
    <w:rsid w:val="00B754A2"/>
    <w:rsid w:val="00B7598D"/>
    <w:rsid w:val="00B75DB6"/>
    <w:rsid w:val="00B75E41"/>
    <w:rsid w:val="00B7631F"/>
    <w:rsid w:val="00B766D8"/>
    <w:rsid w:val="00B76A9D"/>
    <w:rsid w:val="00B77544"/>
    <w:rsid w:val="00B7772A"/>
    <w:rsid w:val="00B77C61"/>
    <w:rsid w:val="00B77D7C"/>
    <w:rsid w:val="00B77DC4"/>
    <w:rsid w:val="00B77F5B"/>
    <w:rsid w:val="00B801B0"/>
    <w:rsid w:val="00B807D8"/>
    <w:rsid w:val="00B8092F"/>
    <w:rsid w:val="00B80F88"/>
    <w:rsid w:val="00B81261"/>
    <w:rsid w:val="00B81987"/>
    <w:rsid w:val="00B81BE4"/>
    <w:rsid w:val="00B81E3B"/>
    <w:rsid w:val="00B81F5B"/>
    <w:rsid w:val="00B8235A"/>
    <w:rsid w:val="00B826F5"/>
    <w:rsid w:val="00B8291A"/>
    <w:rsid w:val="00B82DCD"/>
    <w:rsid w:val="00B83136"/>
    <w:rsid w:val="00B8325C"/>
    <w:rsid w:val="00B83CA3"/>
    <w:rsid w:val="00B83F54"/>
    <w:rsid w:val="00B840C8"/>
    <w:rsid w:val="00B8442C"/>
    <w:rsid w:val="00B855D9"/>
    <w:rsid w:val="00B856BA"/>
    <w:rsid w:val="00B85859"/>
    <w:rsid w:val="00B8600A"/>
    <w:rsid w:val="00B86261"/>
    <w:rsid w:val="00B8639B"/>
    <w:rsid w:val="00B86764"/>
    <w:rsid w:val="00B87561"/>
    <w:rsid w:val="00B87596"/>
    <w:rsid w:val="00B87721"/>
    <w:rsid w:val="00B8772F"/>
    <w:rsid w:val="00B87BA2"/>
    <w:rsid w:val="00B90433"/>
    <w:rsid w:val="00B9061C"/>
    <w:rsid w:val="00B908AA"/>
    <w:rsid w:val="00B90EAE"/>
    <w:rsid w:val="00B90F57"/>
    <w:rsid w:val="00B91894"/>
    <w:rsid w:val="00B91C4A"/>
    <w:rsid w:val="00B91F3B"/>
    <w:rsid w:val="00B9237D"/>
    <w:rsid w:val="00B92E95"/>
    <w:rsid w:val="00B937B5"/>
    <w:rsid w:val="00B938A0"/>
    <w:rsid w:val="00B938BA"/>
    <w:rsid w:val="00B94311"/>
    <w:rsid w:val="00B944CC"/>
    <w:rsid w:val="00B94553"/>
    <w:rsid w:val="00B94B2D"/>
    <w:rsid w:val="00B94D07"/>
    <w:rsid w:val="00B94DDD"/>
    <w:rsid w:val="00B94F7C"/>
    <w:rsid w:val="00B95063"/>
    <w:rsid w:val="00B955DE"/>
    <w:rsid w:val="00B957B1"/>
    <w:rsid w:val="00B95942"/>
    <w:rsid w:val="00B95C5E"/>
    <w:rsid w:val="00B96463"/>
    <w:rsid w:val="00B96A98"/>
    <w:rsid w:val="00B96E45"/>
    <w:rsid w:val="00B96F11"/>
    <w:rsid w:val="00BA09EA"/>
    <w:rsid w:val="00BA0A64"/>
    <w:rsid w:val="00BA0AA5"/>
    <w:rsid w:val="00BA0AE1"/>
    <w:rsid w:val="00BA0DBB"/>
    <w:rsid w:val="00BA1359"/>
    <w:rsid w:val="00BA1B39"/>
    <w:rsid w:val="00BA1DD6"/>
    <w:rsid w:val="00BA2416"/>
    <w:rsid w:val="00BA30C4"/>
    <w:rsid w:val="00BA326A"/>
    <w:rsid w:val="00BA32CB"/>
    <w:rsid w:val="00BA3D4F"/>
    <w:rsid w:val="00BA3E27"/>
    <w:rsid w:val="00BA3FD8"/>
    <w:rsid w:val="00BA41DC"/>
    <w:rsid w:val="00BA4402"/>
    <w:rsid w:val="00BA44A8"/>
    <w:rsid w:val="00BA4DB5"/>
    <w:rsid w:val="00BA56C3"/>
    <w:rsid w:val="00BA65A9"/>
    <w:rsid w:val="00BA6967"/>
    <w:rsid w:val="00BA6983"/>
    <w:rsid w:val="00BA6B44"/>
    <w:rsid w:val="00BA7251"/>
    <w:rsid w:val="00BA7320"/>
    <w:rsid w:val="00BA7712"/>
    <w:rsid w:val="00BA7C0C"/>
    <w:rsid w:val="00BB0503"/>
    <w:rsid w:val="00BB1143"/>
    <w:rsid w:val="00BB115A"/>
    <w:rsid w:val="00BB1A5C"/>
    <w:rsid w:val="00BB1CCC"/>
    <w:rsid w:val="00BB21AA"/>
    <w:rsid w:val="00BB24DB"/>
    <w:rsid w:val="00BB24FE"/>
    <w:rsid w:val="00BB2777"/>
    <w:rsid w:val="00BB2A1B"/>
    <w:rsid w:val="00BB2D69"/>
    <w:rsid w:val="00BB3F8B"/>
    <w:rsid w:val="00BB429F"/>
    <w:rsid w:val="00BB45B7"/>
    <w:rsid w:val="00BB51AE"/>
    <w:rsid w:val="00BB5BE7"/>
    <w:rsid w:val="00BB6025"/>
    <w:rsid w:val="00BB624A"/>
    <w:rsid w:val="00BB63B6"/>
    <w:rsid w:val="00BB64E2"/>
    <w:rsid w:val="00BB653D"/>
    <w:rsid w:val="00BB6A29"/>
    <w:rsid w:val="00BB6E1A"/>
    <w:rsid w:val="00BB731C"/>
    <w:rsid w:val="00BC0016"/>
    <w:rsid w:val="00BC0399"/>
    <w:rsid w:val="00BC0D47"/>
    <w:rsid w:val="00BC1223"/>
    <w:rsid w:val="00BC1278"/>
    <w:rsid w:val="00BC153B"/>
    <w:rsid w:val="00BC1791"/>
    <w:rsid w:val="00BC1DCC"/>
    <w:rsid w:val="00BC2582"/>
    <w:rsid w:val="00BC28E9"/>
    <w:rsid w:val="00BC2C71"/>
    <w:rsid w:val="00BC348F"/>
    <w:rsid w:val="00BC36CF"/>
    <w:rsid w:val="00BC39F8"/>
    <w:rsid w:val="00BC3BA2"/>
    <w:rsid w:val="00BC3CC1"/>
    <w:rsid w:val="00BC47F7"/>
    <w:rsid w:val="00BC4808"/>
    <w:rsid w:val="00BC490A"/>
    <w:rsid w:val="00BC4A08"/>
    <w:rsid w:val="00BC4CE5"/>
    <w:rsid w:val="00BC4CF2"/>
    <w:rsid w:val="00BC4D7B"/>
    <w:rsid w:val="00BC607E"/>
    <w:rsid w:val="00BC637E"/>
    <w:rsid w:val="00BC6401"/>
    <w:rsid w:val="00BC651F"/>
    <w:rsid w:val="00BC6901"/>
    <w:rsid w:val="00BC6A9D"/>
    <w:rsid w:val="00BC6F0A"/>
    <w:rsid w:val="00BC6FD6"/>
    <w:rsid w:val="00BC71B8"/>
    <w:rsid w:val="00BC76B8"/>
    <w:rsid w:val="00BD0A4C"/>
    <w:rsid w:val="00BD0D7D"/>
    <w:rsid w:val="00BD0D96"/>
    <w:rsid w:val="00BD12C4"/>
    <w:rsid w:val="00BD141E"/>
    <w:rsid w:val="00BD1929"/>
    <w:rsid w:val="00BD2465"/>
    <w:rsid w:val="00BD27E4"/>
    <w:rsid w:val="00BD2DF0"/>
    <w:rsid w:val="00BD31F3"/>
    <w:rsid w:val="00BD3ABB"/>
    <w:rsid w:val="00BD3EAE"/>
    <w:rsid w:val="00BD44C2"/>
    <w:rsid w:val="00BD490F"/>
    <w:rsid w:val="00BD4AA1"/>
    <w:rsid w:val="00BD55C2"/>
    <w:rsid w:val="00BD5716"/>
    <w:rsid w:val="00BD59A6"/>
    <w:rsid w:val="00BD59AA"/>
    <w:rsid w:val="00BD5C11"/>
    <w:rsid w:val="00BD5C90"/>
    <w:rsid w:val="00BD5CD1"/>
    <w:rsid w:val="00BD60F0"/>
    <w:rsid w:val="00BD677F"/>
    <w:rsid w:val="00BD6DA7"/>
    <w:rsid w:val="00BD6EF0"/>
    <w:rsid w:val="00BD6F0B"/>
    <w:rsid w:val="00BD7081"/>
    <w:rsid w:val="00BD718A"/>
    <w:rsid w:val="00BD728B"/>
    <w:rsid w:val="00BD761F"/>
    <w:rsid w:val="00BD76EA"/>
    <w:rsid w:val="00BD78A0"/>
    <w:rsid w:val="00BE06B6"/>
    <w:rsid w:val="00BE06E8"/>
    <w:rsid w:val="00BE0BE3"/>
    <w:rsid w:val="00BE12F5"/>
    <w:rsid w:val="00BE14F6"/>
    <w:rsid w:val="00BE15A9"/>
    <w:rsid w:val="00BE1669"/>
    <w:rsid w:val="00BE18D4"/>
    <w:rsid w:val="00BE1BA1"/>
    <w:rsid w:val="00BE27F2"/>
    <w:rsid w:val="00BE290C"/>
    <w:rsid w:val="00BE2963"/>
    <w:rsid w:val="00BE319B"/>
    <w:rsid w:val="00BE3619"/>
    <w:rsid w:val="00BE3B0F"/>
    <w:rsid w:val="00BE4068"/>
    <w:rsid w:val="00BE4A38"/>
    <w:rsid w:val="00BE4C8B"/>
    <w:rsid w:val="00BE5A1D"/>
    <w:rsid w:val="00BE5D38"/>
    <w:rsid w:val="00BE5DDA"/>
    <w:rsid w:val="00BE621A"/>
    <w:rsid w:val="00BE670A"/>
    <w:rsid w:val="00BE6B8C"/>
    <w:rsid w:val="00BE6BCE"/>
    <w:rsid w:val="00BE6D6C"/>
    <w:rsid w:val="00BE6DC1"/>
    <w:rsid w:val="00BE72D2"/>
    <w:rsid w:val="00BE72D4"/>
    <w:rsid w:val="00BE7433"/>
    <w:rsid w:val="00BE7618"/>
    <w:rsid w:val="00BE79AB"/>
    <w:rsid w:val="00BE7AFB"/>
    <w:rsid w:val="00BF06B6"/>
    <w:rsid w:val="00BF0A8D"/>
    <w:rsid w:val="00BF0C1D"/>
    <w:rsid w:val="00BF0E00"/>
    <w:rsid w:val="00BF133B"/>
    <w:rsid w:val="00BF1937"/>
    <w:rsid w:val="00BF1A02"/>
    <w:rsid w:val="00BF1A9C"/>
    <w:rsid w:val="00BF1AB6"/>
    <w:rsid w:val="00BF1C3C"/>
    <w:rsid w:val="00BF1FA4"/>
    <w:rsid w:val="00BF2309"/>
    <w:rsid w:val="00BF2597"/>
    <w:rsid w:val="00BF337F"/>
    <w:rsid w:val="00BF380D"/>
    <w:rsid w:val="00BF3867"/>
    <w:rsid w:val="00BF4122"/>
    <w:rsid w:val="00BF41E2"/>
    <w:rsid w:val="00BF4910"/>
    <w:rsid w:val="00BF4E4A"/>
    <w:rsid w:val="00BF5399"/>
    <w:rsid w:val="00BF57D7"/>
    <w:rsid w:val="00BF5E79"/>
    <w:rsid w:val="00BF648C"/>
    <w:rsid w:val="00BF7B16"/>
    <w:rsid w:val="00BF7BBC"/>
    <w:rsid w:val="00BF7C02"/>
    <w:rsid w:val="00BF7C26"/>
    <w:rsid w:val="00C00877"/>
    <w:rsid w:val="00C00BF6"/>
    <w:rsid w:val="00C011A5"/>
    <w:rsid w:val="00C011B1"/>
    <w:rsid w:val="00C011E4"/>
    <w:rsid w:val="00C011EC"/>
    <w:rsid w:val="00C01C82"/>
    <w:rsid w:val="00C01CC5"/>
    <w:rsid w:val="00C01CF9"/>
    <w:rsid w:val="00C01DEF"/>
    <w:rsid w:val="00C01E8D"/>
    <w:rsid w:val="00C020AC"/>
    <w:rsid w:val="00C02954"/>
    <w:rsid w:val="00C02AEA"/>
    <w:rsid w:val="00C03037"/>
    <w:rsid w:val="00C031A5"/>
    <w:rsid w:val="00C03262"/>
    <w:rsid w:val="00C034BB"/>
    <w:rsid w:val="00C034F9"/>
    <w:rsid w:val="00C0368E"/>
    <w:rsid w:val="00C03788"/>
    <w:rsid w:val="00C03AC7"/>
    <w:rsid w:val="00C03D25"/>
    <w:rsid w:val="00C040CF"/>
    <w:rsid w:val="00C0422F"/>
    <w:rsid w:val="00C04588"/>
    <w:rsid w:val="00C046E0"/>
    <w:rsid w:val="00C046EE"/>
    <w:rsid w:val="00C0475C"/>
    <w:rsid w:val="00C04D2A"/>
    <w:rsid w:val="00C0514C"/>
    <w:rsid w:val="00C05298"/>
    <w:rsid w:val="00C054D6"/>
    <w:rsid w:val="00C055A5"/>
    <w:rsid w:val="00C05695"/>
    <w:rsid w:val="00C05D41"/>
    <w:rsid w:val="00C05FAF"/>
    <w:rsid w:val="00C061A5"/>
    <w:rsid w:val="00C064D4"/>
    <w:rsid w:val="00C07572"/>
    <w:rsid w:val="00C0786D"/>
    <w:rsid w:val="00C07FC7"/>
    <w:rsid w:val="00C10FEB"/>
    <w:rsid w:val="00C11239"/>
    <w:rsid w:val="00C1176E"/>
    <w:rsid w:val="00C119CC"/>
    <w:rsid w:val="00C11CE5"/>
    <w:rsid w:val="00C11E5F"/>
    <w:rsid w:val="00C127B2"/>
    <w:rsid w:val="00C12E50"/>
    <w:rsid w:val="00C133B1"/>
    <w:rsid w:val="00C133C1"/>
    <w:rsid w:val="00C1381E"/>
    <w:rsid w:val="00C13858"/>
    <w:rsid w:val="00C1394A"/>
    <w:rsid w:val="00C13DB9"/>
    <w:rsid w:val="00C13F70"/>
    <w:rsid w:val="00C14423"/>
    <w:rsid w:val="00C14E00"/>
    <w:rsid w:val="00C15627"/>
    <w:rsid w:val="00C15696"/>
    <w:rsid w:val="00C1588C"/>
    <w:rsid w:val="00C15932"/>
    <w:rsid w:val="00C15A5A"/>
    <w:rsid w:val="00C15F19"/>
    <w:rsid w:val="00C1624A"/>
    <w:rsid w:val="00C16A8B"/>
    <w:rsid w:val="00C17519"/>
    <w:rsid w:val="00C1790D"/>
    <w:rsid w:val="00C17919"/>
    <w:rsid w:val="00C17C6C"/>
    <w:rsid w:val="00C17F4D"/>
    <w:rsid w:val="00C20121"/>
    <w:rsid w:val="00C202FA"/>
    <w:rsid w:val="00C208FE"/>
    <w:rsid w:val="00C20BFC"/>
    <w:rsid w:val="00C20FA0"/>
    <w:rsid w:val="00C2260B"/>
    <w:rsid w:val="00C22F97"/>
    <w:rsid w:val="00C22FA7"/>
    <w:rsid w:val="00C23113"/>
    <w:rsid w:val="00C23158"/>
    <w:rsid w:val="00C23666"/>
    <w:rsid w:val="00C24067"/>
    <w:rsid w:val="00C2406D"/>
    <w:rsid w:val="00C241B3"/>
    <w:rsid w:val="00C24E68"/>
    <w:rsid w:val="00C255D8"/>
    <w:rsid w:val="00C256D8"/>
    <w:rsid w:val="00C2572B"/>
    <w:rsid w:val="00C259B2"/>
    <w:rsid w:val="00C25AC1"/>
    <w:rsid w:val="00C2616C"/>
    <w:rsid w:val="00C2656D"/>
    <w:rsid w:val="00C26E51"/>
    <w:rsid w:val="00C272A8"/>
    <w:rsid w:val="00C273F9"/>
    <w:rsid w:val="00C27DB6"/>
    <w:rsid w:val="00C30029"/>
    <w:rsid w:val="00C3042A"/>
    <w:rsid w:val="00C3065B"/>
    <w:rsid w:val="00C30662"/>
    <w:rsid w:val="00C306EF"/>
    <w:rsid w:val="00C30DA4"/>
    <w:rsid w:val="00C3123C"/>
    <w:rsid w:val="00C314C5"/>
    <w:rsid w:val="00C315D6"/>
    <w:rsid w:val="00C316B1"/>
    <w:rsid w:val="00C31F2E"/>
    <w:rsid w:val="00C31FCB"/>
    <w:rsid w:val="00C3217F"/>
    <w:rsid w:val="00C3234E"/>
    <w:rsid w:val="00C32473"/>
    <w:rsid w:val="00C32771"/>
    <w:rsid w:val="00C32981"/>
    <w:rsid w:val="00C32D0D"/>
    <w:rsid w:val="00C32E2F"/>
    <w:rsid w:val="00C32E35"/>
    <w:rsid w:val="00C336A0"/>
    <w:rsid w:val="00C337F5"/>
    <w:rsid w:val="00C33A95"/>
    <w:rsid w:val="00C33F24"/>
    <w:rsid w:val="00C33FD7"/>
    <w:rsid w:val="00C33FF1"/>
    <w:rsid w:val="00C341D3"/>
    <w:rsid w:val="00C34B4F"/>
    <w:rsid w:val="00C34DA4"/>
    <w:rsid w:val="00C34DBA"/>
    <w:rsid w:val="00C34F52"/>
    <w:rsid w:val="00C3515C"/>
    <w:rsid w:val="00C353C6"/>
    <w:rsid w:val="00C35B4B"/>
    <w:rsid w:val="00C35C36"/>
    <w:rsid w:val="00C35F16"/>
    <w:rsid w:val="00C36277"/>
    <w:rsid w:val="00C368EC"/>
    <w:rsid w:val="00C36907"/>
    <w:rsid w:val="00C37450"/>
    <w:rsid w:val="00C374B9"/>
    <w:rsid w:val="00C37827"/>
    <w:rsid w:val="00C37894"/>
    <w:rsid w:val="00C41021"/>
    <w:rsid w:val="00C41315"/>
    <w:rsid w:val="00C4144B"/>
    <w:rsid w:val="00C4144E"/>
    <w:rsid w:val="00C415D1"/>
    <w:rsid w:val="00C41937"/>
    <w:rsid w:val="00C41DC4"/>
    <w:rsid w:val="00C41F79"/>
    <w:rsid w:val="00C420D9"/>
    <w:rsid w:val="00C42249"/>
    <w:rsid w:val="00C42525"/>
    <w:rsid w:val="00C430F1"/>
    <w:rsid w:val="00C43331"/>
    <w:rsid w:val="00C4391C"/>
    <w:rsid w:val="00C43B8C"/>
    <w:rsid w:val="00C4407C"/>
    <w:rsid w:val="00C4439D"/>
    <w:rsid w:val="00C443CA"/>
    <w:rsid w:val="00C44643"/>
    <w:rsid w:val="00C44B84"/>
    <w:rsid w:val="00C44BBE"/>
    <w:rsid w:val="00C44C55"/>
    <w:rsid w:val="00C450D9"/>
    <w:rsid w:val="00C45917"/>
    <w:rsid w:val="00C45C22"/>
    <w:rsid w:val="00C45D1F"/>
    <w:rsid w:val="00C46448"/>
    <w:rsid w:val="00C4652B"/>
    <w:rsid w:val="00C46605"/>
    <w:rsid w:val="00C46662"/>
    <w:rsid w:val="00C466BC"/>
    <w:rsid w:val="00C467ED"/>
    <w:rsid w:val="00C46866"/>
    <w:rsid w:val="00C469F0"/>
    <w:rsid w:val="00C46E53"/>
    <w:rsid w:val="00C46F20"/>
    <w:rsid w:val="00C4705F"/>
    <w:rsid w:val="00C47207"/>
    <w:rsid w:val="00C473F7"/>
    <w:rsid w:val="00C476CC"/>
    <w:rsid w:val="00C47864"/>
    <w:rsid w:val="00C50190"/>
    <w:rsid w:val="00C501B3"/>
    <w:rsid w:val="00C502F9"/>
    <w:rsid w:val="00C50307"/>
    <w:rsid w:val="00C5044E"/>
    <w:rsid w:val="00C50646"/>
    <w:rsid w:val="00C508ED"/>
    <w:rsid w:val="00C50ACB"/>
    <w:rsid w:val="00C50C36"/>
    <w:rsid w:val="00C50C44"/>
    <w:rsid w:val="00C511E1"/>
    <w:rsid w:val="00C5176A"/>
    <w:rsid w:val="00C5188E"/>
    <w:rsid w:val="00C5191D"/>
    <w:rsid w:val="00C51F95"/>
    <w:rsid w:val="00C5208F"/>
    <w:rsid w:val="00C5247E"/>
    <w:rsid w:val="00C52F7E"/>
    <w:rsid w:val="00C537A0"/>
    <w:rsid w:val="00C53913"/>
    <w:rsid w:val="00C53BB9"/>
    <w:rsid w:val="00C53EA4"/>
    <w:rsid w:val="00C547C3"/>
    <w:rsid w:val="00C550F7"/>
    <w:rsid w:val="00C553D5"/>
    <w:rsid w:val="00C55BC6"/>
    <w:rsid w:val="00C55FCD"/>
    <w:rsid w:val="00C5625F"/>
    <w:rsid w:val="00C5636F"/>
    <w:rsid w:val="00C568D5"/>
    <w:rsid w:val="00C57248"/>
    <w:rsid w:val="00C57595"/>
    <w:rsid w:val="00C57852"/>
    <w:rsid w:val="00C6021D"/>
    <w:rsid w:val="00C603C5"/>
    <w:rsid w:val="00C60B1F"/>
    <w:rsid w:val="00C60D71"/>
    <w:rsid w:val="00C60D8F"/>
    <w:rsid w:val="00C60E2A"/>
    <w:rsid w:val="00C60E31"/>
    <w:rsid w:val="00C610AB"/>
    <w:rsid w:val="00C6145A"/>
    <w:rsid w:val="00C61CDA"/>
    <w:rsid w:val="00C621D4"/>
    <w:rsid w:val="00C621F6"/>
    <w:rsid w:val="00C623C1"/>
    <w:rsid w:val="00C6279E"/>
    <w:rsid w:val="00C6294E"/>
    <w:rsid w:val="00C62EA3"/>
    <w:rsid w:val="00C635E0"/>
    <w:rsid w:val="00C63701"/>
    <w:rsid w:val="00C63A69"/>
    <w:rsid w:val="00C63A94"/>
    <w:rsid w:val="00C63B07"/>
    <w:rsid w:val="00C647C5"/>
    <w:rsid w:val="00C64989"/>
    <w:rsid w:val="00C659F9"/>
    <w:rsid w:val="00C65D21"/>
    <w:rsid w:val="00C65FDD"/>
    <w:rsid w:val="00C662DB"/>
    <w:rsid w:val="00C66666"/>
    <w:rsid w:val="00C66669"/>
    <w:rsid w:val="00C66DE2"/>
    <w:rsid w:val="00C66E87"/>
    <w:rsid w:val="00C6730B"/>
    <w:rsid w:val="00C67DE5"/>
    <w:rsid w:val="00C70743"/>
    <w:rsid w:val="00C70884"/>
    <w:rsid w:val="00C708E3"/>
    <w:rsid w:val="00C709B9"/>
    <w:rsid w:val="00C70DF7"/>
    <w:rsid w:val="00C70EF3"/>
    <w:rsid w:val="00C711AB"/>
    <w:rsid w:val="00C71469"/>
    <w:rsid w:val="00C717E7"/>
    <w:rsid w:val="00C71CA4"/>
    <w:rsid w:val="00C725D8"/>
    <w:rsid w:val="00C72A4D"/>
    <w:rsid w:val="00C7306C"/>
    <w:rsid w:val="00C733ED"/>
    <w:rsid w:val="00C735CC"/>
    <w:rsid w:val="00C7390B"/>
    <w:rsid w:val="00C739A6"/>
    <w:rsid w:val="00C739FC"/>
    <w:rsid w:val="00C739FF"/>
    <w:rsid w:val="00C73AF8"/>
    <w:rsid w:val="00C74A34"/>
    <w:rsid w:val="00C7537A"/>
    <w:rsid w:val="00C75665"/>
    <w:rsid w:val="00C75E90"/>
    <w:rsid w:val="00C761BD"/>
    <w:rsid w:val="00C761BE"/>
    <w:rsid w:val="00C762F4"/>
    <w:rsid w:val="00C763E3"/>
    <w:rsid w:val="00C7657E"/>
    <w:rsid w:val="00C766EE"/>
    <w:rsid w:val="00C769DC"/>
    <w:rsid w:val="00C76FF2"/>
    <w:rsid w:val="00C7702F"/>
    <w:rsid w:val="00C77054"/>
    <w:rsid w:val="00C77222"/>
    <w:rsid w:val="00C77EF6"/>
    <w:rsid w:val="00C80278"/>
    <w:rsid w:val="00C808EC"/>
    <w:rsid w:val="00C80A5B"/>
    <w:rsid w:val="00C80A9E"/>
    <w:rsid w:val="00C80D20"/>
    <w:rsid w:val="00C8151C"/>
    <w:rsid w:val="00C8155D"/>
    <w:rsid w:val="00C817C3"/>
    <w:rsid w:val="00C81848"/>
    <w:rsid w:val="00C81E75"/>
    <w:rsid w:val="00C81EB1"/>
    <w:rsid w:val="00C82012"/>
    <w:rsid w:val="00C82387"/>
    <w:rsid w:val="00C82548"/>
    <w:rsid w:val="00C828BA"/>
    <w:rsid w:val="00C82990"/>
    <w:rsid w:val="00C82D95"/>
    <w:rsid w:val="00C835CD"/>
    <w:rsid w:val="00C836F9"/>
    <w:rsid w:val="00C83787"/>
    <w:rsid w:val="00C8394C"/>
    <w:rsid w:val="00C83C6D"/>
    <w:rsid w:val="00C84400"/>
    <w:rsid w:val="00C8443D"/>
    <w:rsid w:val="00C845E7"/>
    <w:rsid w:val="00C84CDA"/>
    <w:rsid w:val="00C85352"/>
    <w:rsid w:val="00C85938"/>
    <w:rsid w:val="00C860B6"/>
    <w:rsid w:val="00C86B6D"/>
    <w:rsid w:val="00C86EC5"/>
    <w:rsid w:val="00C87072"/>
    <w:rsid w:val="00C870C0"/>
    <w:rsid w:val="00C87E79"/>
    <w:rsid w:val="00C87FCB"/>
    <w:rsid w:val="00C90123"/>
    <w:rsid w:val="00C9022E"/>
    <w:rsid w:val="00C90244"/>
    <w:rsid w:val="00C902C5"/>
    <w:rsid w:val="00C902E5"/>
    <w:rsid w:val="00C903EE"/>
    <w:rsid w:val="00C905F6"/>
    <w:rsid w:val="00C9097A"/>
    <w:rsid w:val="00C9104E"/>
    <w:rsid w:val="00C91554"/>
    <w:rsid w:val="00C91770"/>
    <w:rsid w:val="00C91884"/>
    <w:rsid w:val="00C91F7F"/>
    <w:rsid w:val="00C9218E"/>
    <w:rsid w:val="00C922BB"/>
    <w:rsid w:val="00C927F3"/>
    <w:rsid w:val="00C9308C"/>
    <w:rsid w:val="00C93FDC"/>
    <w:rsid w:val="00C946AC"/>
    <w:rsid w:val="00C94ABE"/>
    <w:rsid w:val="00C95099"/>
    <w:rsid w:val="00C951CA"/>
    <w:rsid w:val="00C95518"/>
    <w:rsid w:val="00C955D2"/>
    <w:rsid w:val="00C95866"/>
    <w:rsid w:val="00C96D33"/>
    <w:rsid w:val="00C96DA8"/>
    <w:rsid w:val="00C96FB2"/>
    <w:rsid w:val="00C97137"/>
    <w:rsid w:val="00C972E0"/>
    <w:rsid w:val="00C972FE"/>
    <w:rsid w:val="00C976C5"/>
    <w:rsid w:val="00C97A1B"/>
    <w:rsid w:val="00CA02CE"/>
    <w:rsid w:val="00CA02CF"/>
    <w:rsid w:val="00CA03EC"/>
    <w:rsid w:val="00CA0984"/>
    <w:rsid w:val="00CA0AC9"/>
    <w:rsid w:val="00CA128F"/>
    <w:rsid w:val="00CA1C89"/>
    <w:rsid w:val="00CA1E33"/>
    <w:rsid w:val="00CA1ED3"/>
    <w:rsid w:val="00CA2AFD"/>
    <w:rsid w:val="00CA2C66"/>
    <w:rsid w:val="00CA2E00"/>
    <w:rsid w:val="00CA3558"/>
    <w:rsid w:val="00CA3950"/>
    <w:rsid w:val="00CA3A6C"/>
    <w:rsid w:val="00CA3B6B"/>
    <w:rsid w:val="00CA3CB8"/>
    <w:rsid w:val="00CA42E1"/>
    <w:rsid w:val="00CA4BB7"/>
    <w:rsid w:val="00CA4D0F"/>
    <w:rsid w:val="00CA5EBA"/>
    <w:rsid w:val="00CA5F70"/>
    <w:rsid w:val="00CA6488"/>
    <w:rsid w:val="00CA64CB"/>
    <w:rsid w:val="00CA6799"/>
    <w:rsid w:val="00CA69C5"/>
    <w:rsid w:val="00CA6A66"/>
    <w:rsid w:val="00CA6B8F"/>
    <w:rsid w:val="00CA6BD2"/>
    <w:rsid w:val="00CA6C49"/>
    <w:rsid w:val="00CA6CC0"/>
    <w:rsid w:val="00CA7CB0"/>
    <w:rsid w:val="00CA7E94"/>
    <w:rsid w:val="00CA7EAF"/>
    <w:rsid w:val="00CB01D3"/>
    <w:rsid w:val="00CB0465"/>
    <w:rsid w:val="00CB04F1"/>
    <w:rsid w:val="00CB0918"/>
    <w:rsid w:val="00CB0E4C"/>
    <w:rsid w:val="00CB1154"/>
    <w:rsid w:val="00CB18E2"/>
    <w:rsid w:val="00CB2789"/>
    <w:rsid w:val="00CB2827"/>
    <w:rsid w:val="00CB2A8C"/>
    <w:rsid w:val="00CB2C72"/>
    <w:rsid w:val="00CB2EA9"/>
    <w:rsid w:val="00CB2FD6"/>
    <w:rsid w:val="00CB3124"/>
    <w:rsid w:val="00CB3DB0"/>
    <w:rsid w:val="00CB3F6E"/>
    <w:rsid w:val="00CB4950"/>
    <w:rsid w:val="00CB4A0E"/>
    <w:rsid w:val="00CB4C8C"/>
    <w:rsid w:val="00CB4FA4"/>
    <w:rsid w:val="00CB55D5"/>
    <w:rsid w:val="00CB5DEA"/>
    <w:rsid w:val="00CB6269"/>
    <w:rsid w:val="00CB62F1"/>
    <w:rsid w:val="00CB6344"/>
    <w:rsid w:val="00CB66DE"/>
    <w:rsid w:val="00CB67C5"/>
    <w:rsid w:val="00CB6DA0"/>
    <w:rsid w:val="00CB6FC5"/>
    <w:rsid w:val="00CB7B12"/>
    <w:rsid w:val="00CB7C0A"/>
    <w:rsid w:val="00CB7CB1"/>
    <w:rsid w:val="00CC0827"/>
    <w:rsid w:val="00CC0AB9"/>
    <w:rsid w:val="00CC0CA3"/>
    <w:rsid w:val="00CC112F"/>
    <w:rsid w:val="00CC1466"/>
    <w:rsid w:val="00CC15E9"/>
    <w:rsid w:val="00CC19B8"/>
    <w:rsid w:val="00CC1B9B"/>
    <w:rsid w:val="00CC22BF"/>
    <w:rsid w:val="00CC2BB1"/>
    <w:rsid w:val="00CC2DE3"/>
    <w:rsid w:val="00CC34BB"/>
    <w:rsid w:val="00CC3E5D"/>
    <w:rsid w:val="00CC4261"/>
    <w:rsid w:val="00CC44A5"/>
    <w:rsid w:val="00CC50DB"/>
    <w:rsid w:val="00CC53D9"/>
    <w:rsid w:val="00CC74F6"/>
    <w:rsid w:val="00CD003F"/>
    <w:rsid w:val="00CD021E"/>
    <w:rsid w:val="00CD03EC"/>
    <w:rsid w:val="00CD072C"/>
    <w:rsid w:val="00CD087F"/>
    <w:rsid w:val="00CD0892"/>
    <w:rsid w:val="00CD0DE6"/>
    <w:rsid w:val="00CD1C33"/>
    <w:rsid w:val="00CD27BA"/>
    <w:rsid w:val="00CD2944"/>
    <w:rsid w:val="00CD2B5B"/>
    <w:rsid w:val="00CD2DA6"/>
    <w:rsid w:val="00CD2FF2"/>
    <w:rsid w:val="00CD311C"/>
    <w:rsid w:val="00CD32F4"/>
    <w:rsid w:val="00CD3362"/>
    <w:rsid w:val="00CD33AD"/>
    <w:rsid w:val="00CD3806"/>
    <w:rsid w:val="00CD408D"/>
    <w:rsid w:val="00CD4120"/>
    <w:rsid w:val="00CD412E"/>
    <w:rsid w:val="00CD442C"/>
    <w:rsid w:val="00CD48EC"/>
    <w:rsid w:val="00CD4AA5"/>
    <w:rsid w:val="00CD5201"/>
    <w:rsid w:val="00CD5537"/>
    <w:rsid w:val="00CD5682"/>
    <w:rsid w:val="00CD66B3"/>
    <w:rsid w:val="00CD6825"/>
    <w:rsid w:val="00CD6DFF"/>
    <w:rsid w:val="00CD6FAE"/>
    <w:rsid w:val="00CE0076"/>
    <w:rsid w:val="00CE00B5"/>
    <w:rsid w:val="00CE00B7"/>
    <w:rsid w:val="00CE01A8"/>
    <w:rsid w:val="00CE024F"/>
    <w:rsid w:val="00CE06C4"/>
    <w:rsid w:val="00CE0752"/>
    <w:rsid w:val="00CE0962"/>
    <w:rsid w:val="00CE0CA4"/>
    <w:rsid w:val="00CE16BE"/>
    <w:rsid w:val="00CE1774"/>
    <w:rsid w:val="00CE1957"/>
    <w:rsid w:val="00CE1977"/>
    <w:rsid w:val="00CE202D"/>
    <w:rsid w:val="00CE230F"/>
    <w:rsid w:val="00CE2C1E"/>
    <w:rsid w:val="00CE3531"/>
    <w:rsid w:val="00CE3F0B"/>
    <w:rsid w:val="00CE4C99"/>
    <w:rsid w:val="00CE4DCA"/>
    <w:rsid w:val="00CE4DEC"/>
    <w:rsid w:val="00CE5093"/>
    <w:rsid w:val="00CE55D9"/>
    <w:rsid w:val="00CE57A1"/>
    <w:rsid w:val="00CE6002"/>
    <w:rsid w:val="00CE60CA"/>
    <w:rsid w:val="00CE613A"/>
    <w:rsid w:val="00CE6CB6"/>
    <w:rsid w:val="00CE6FBA"/>
    <w:rsid w:val="00CE7321"/>
    <w:rsid w:val="00CE741B"/>
    <w:rsid w:val="00CE7733"/>
    <w:rsid w:val="00CE78C1"/>
    <w:rsid w:val="00CE78D7"/>
    <w:rsid w:val="00CE7CF2"/>
    <w:rsid w:val="00CF0112"/>
    <w:rsid w:val="00CF02FE"/>
    <w:rsid w:val="00CF0788"/>
    <w:rsid w:val="00CF0A9D"/>
    <w:rsid w:val="00CF0D15"/>
    <w:rsid w:val="00CF0D7F"/>
    <w:rsid w:val="00CF0EA2"/>
    <w:rsid w:val="00CF0ED8"/>
    <w:rsid w:val="00CF0F4D"/>
    <w:rsid w:val="00CF11B0"/>
    <w:rsid w:val="00CF134F"/>
    <w:rsid w:val="00CF13CC"/>
    <w:rsid w:val="00CF1788"/>
    <w:rsid w:val="00CF17A6"/>
    <w:rsid w:val="00CF18BA"/>
    <w:rsid w:val="00CF1E64"/>
    <w:rsid w:val="00CF224B"/>
    <w:rsid w:val="00CF2503"/>
    <w:rsid w:val="00CF2889"/>
    <w:rsid w:val="00CF2A7D"/>
    <w:rsid w:val="00CF2C08"/>
    <w:rsid w:val="00CF2C65"/>
    <w:rsid w:val="00CF2CA9"/>
    <w:rsid w:val="00CF2E0D"/>
    <w:rsid w:val="00CF324E"/>
    <w:rsid w:val="00CF3934"/>
    <w:rsid w:val="00CF3986"/>
    <w:rsid w:val="00CF39E8"/>
    <w:rsid w:val="00CF3A14"/>
    <w:rsid w:val="00CF42AF"/>
    <w:rsid w:val="00CF43BA"/>
    <w:rsid w:val="00CF44F4"/>
    <w:rsid w:val="00CF450C"/>
    <w:rsid w:val="00CF472B"/>
    <w:rsid w:val="00CF51DE"/>
    <w:rsid w:val="00CF56B7"/>
    <w:rsid w:val="00CF56D5"/>
    <w:rsid w:val="00CF581C"/>
    <w:rsid w:val="00CF5F3A"/>
    <w:rsid w:val="00CF6318"/>
    <w:rsid w:val="00CF6E1B"/>
    <w:rsid w:val="00CF6FF1"/>
    <w:rsid w:val="00CF702F"/>
    <w:rsid w:val="00CF7075"/>
    <w:rsid w:val="00CF724E"/>
    <w:rsid w:val="00CF75A4"/>
    <w:rsid w:val="00CF773E"/>
    <w:rsid w:val="00CF7757"/>
    <w:rsid w:val="00CF7C54"/>
    <w:rsid w:val="00CF7D1F"/>
    <w:rsid w:val="00D000F1"/>
    <w:rsid w:val="00D00297"/>
    <w:rsid w:val="00D0081E"/>
    <w:rsid w:val="00D00C46"/>
    <w:rsid w:val="00D010A1"/>
    <w:rsid w:val="00D013D0"/>
    <w:rsid w:val="00D0148E"/>
    <w:rsid w:val="00D01491"/>
    <w:rsid w:val="00D014BC"/>
    <w:rsid w:val="00D0181A"/>
    <w:rsid w:val="00D01FC6"/>
    <w:rsid w:val="00D02280"/>
    <w:rsid w:val="00D0248A"/>
    <w:rsid w:val="00D025B4"/>
    <w:rsid w:val="00D02B3C"/>
    <w:rsid w:val="00D038AC"/>
    <w:rsid w:val="00D03A90"/>
    <w:rsid w:val="00D03E66"/>
    <w:rsid w:val="00D0403D"/>
    <w:rsid w:val="00D04E3E"/>
    <w:rsid w:val="00D05196"/>
    <w:rsid w:val="00D052D5"/>
    <w:rsid w:val="00D05E6C"/>
    <w:rsid w:val="00D062D0"/>
    <w:rsid w:val="00D06335"/>
    <w:rsid w:val="00D06A58"/>
    <w:rsid w:val="00D076B1"/>
    <w:rsid w:val="00D078CA"/>
    <w:rsid w:val="00D07B7A"/>
    <w:rsid w:val="00D07DF8"/>
    <w:rsid w:val="00D07EE1"/>
    <w:rsid w:val="00D10645"/>
    <w:rsid w:val="00D10E41"/>
    <w:rsid w:val="00D111FB"/>
    <w:rsid w:val="00D11B16"/>
    <w:rsid w:val="00D12872"/>
    <w:rsid w:val="00D12FF9"/>
    <w:rsid w:val="00D132B2"/>
    <w:rsid w:val="00D136E5"/>
    <w:rsid w:val="00D13A0B"/>
    <w:rsid w:val="00D13D58"/>
    <w:rsid w:val="00D14922"/>
    <w:rsid w:val="00D14D14"/>
    <w:rsid w:val="00D14EB4"/>
    <w:rsid w:val="00D150AE"/>
    <w:rsid w:val="00D1540B"/>
    <w:rsid w:val="00D156F3"/>
    <w:rsid w:val="00D15796"/>
    <w:rsid w:val="00D159CF"/>
    <w:rsid w:val="00D15C52"/>
    <w:rsid w:val="00D16648"/>
    <w:rsid w:val="00D16B48"/>
    <w:rsid w:val="00D16BB4"/>
    <w:rsid w:val="00D16CE7"/>
    <w:rsid w:val="00D170D2"/>
    <w:rsid w:val="00D17228"/>
    <w:rsid w:val="00D1733C"/>
    <w:rsid w:val="00D1753D"/>
    <w:rsid w:val="00D17E7C"/>
    <w:rsid w:val="00D203D0"/>
    <w:rsid w:val="00D20966"/>
    <w:rsid w:val="00D20CDE"/>
    <w:rsid w:val="00D20DB8"/>
    <w:rsid w:val="00D21302"/>
    <w:rsid w:val="00D2167E"/>
    <w:rsid w:val="00D21C13"/>
    <w:rsid w:val="00D229CF"/>
    <w:rsid w:val="00D22BE6"/>
    <w:rsid w:val="00D22D56"/>
    <w:rsid w:val="00D23356"/>
    <w:rsid w:val="00D234C6"/>
    <w:rsid w:val="00D236FD"/>
    <w:rsid w:val="00D23AF3"/>
    <w:rsid w:val="00D23C83"/>
    <w:rsid w:val="00D23E16"/>
    <w:rsid w:val="00D23E40"/>
    <w:rsid w:val="00D2402E"/>
    <w:rsid w:val="00D242D2"/>
    <w:rsid w:val="00D24C6C"/>
    <w:rsid w:val="00D24D8E"/>
    <w:rsid w:val="00D24FD9"/>
    <w:rsid w:val="00D25395"/>
    <w:rsid w:val="00D25B96"/>
    <w:rsid w:val="00D260F4"/>
    <w:rsid w:val="00D27694"/>
    <w:rsid w:val="00D27F3B"/>
    <w:rsid w:val="00D30031"/>
    <w:rsid w:val="00D30799"/>
    <w:rsid w:val="00D3124C"/>
    <w:rsid w:val="00D31967"/>
    <w:rsid w:val="00D31DE7"/>
    <w:rsid w:val="00D32557"/>
    <w:rsid w:val="00D32F47"/>
    <w:rsid w:val="00D330A5"/>
    <w:rsid w:val="00D33121"/>
    <w:rsid w:val="00D33576"/>
    <w:rsid w:val="00D337C4"/>
    <w:rsid w:val="00D33A99"/>
    <w:rsid w:val="00D33BCB"/>
    <w:rsid w:val="00D33CE4"/>
    <w:rsid w:val="00D3479A"/>
    <w:rsid w:val="00D34A0E"/>
    <w:rsid w:val="00D34BBF"/>
    <w:rsid w:val="00D34E03"/>
    <w:rsid w:val="00D34E47"/>
    <w:rsid w:val="00D358F0"/>
    <w:rsid w:val="00D35CBE"/>
    <w:rsid w:val="00D368DE"/>
    <w:rsid w:val="00D36CFF"/>
    <w:rsid w:val="00D375EB"/>
    <w:rsid w:val="00D377B1"/>
    <w:rsid w:val="00D400A1"/>
    <w:rsid w:val="00D400C3"/>
    <w:rsid w:val="00D4051E"/>
    <w:rsid w:val="00D40ABC"/>
    <w:rsid w:val="00D40AF0"/>
    <w:rsid w:val="00D410F2"/>
    <w:rsid w:val="00D4169C"/>
    <w:rsid w:val="00D425AC"/>
    <w:rsid w:val="00D42871"/>
    <w:rsid w:val="00D42880"/>
    <w:rsid w:val="00D42F41"/>
    <w:rsid w:val="00D4302F"/>
    <w:rsid w:val="00D430C5"/>
    <w:rsid w:val="00D43176"/>
    <w:rsid w:val="00D43ABD"/>
    <w:rsid w:val="00D43D09"/>
    <w:rsid w:val="00D448EA"/>
    <w:rsid w:val="00D44CFD"/>
    <w:rsid w:val="00D44EC1"/>
    <w:rsid w:val="00D45D49"/>
    <w:rsid w:val="00D45EF7"/>
    <w:rsid w:val="00D45FB6"/>
    <w:rsid w:val="00D46304"/>
    <w:rsid w:val="00D46D2E"/>
    <w:rsid w:val="00D46FDC"/>
    <w:rsid w:val="00D47044"/>
    <w:rsid w:val="00D47EE2"/>
    <w:rsid w:val="00D50110"/>
    <w:rsid w:val="00D5046F"/>
    <w:rsid w:val="00D5078E"/>
    <w:rsid w:val="00D50CCB"/>
    <w:rsid w:val="00D511E6"/>
    <w:rsid w:val="00D513BC"/>
    <w:rsid w:val="00D5160C"/>
    <w:rsid w:val="00D516B9"/>
    <w:rsid w:val="00D521C5"/>
    <w:rsid w:val="00D522A3"/>
    <w:rsid w:val="00D5264F"/>
    <w:rsid w:val="00D526CA"/>
    <w:rsid w:val="00D528B8"/>
    <w:rsid w:val="00D52BCB"/>
    <w:rsid w:val="00D535C5"/>
    <w:rsid w:val="00D535F7"/>
    <w:rsid w:val="00D536C0"/>
    <w:rsid w:val="00D5400D"/>
    <w:rsid w:val="00D549A2"/>
    <w:rsid w:val="00D55016"/>
    <w:rsid w:val="00D55737"/>
    <w:rsid w:val="00D558B1"/>
    <w:rsid w:val="00D55A1B"/>
    <w:rsid w:val="00D55F0A"/>
    <w:rsid w:val="00D56055"/>
    <w:rsid w:val="00D56177"/>
    <w:rsid w:val="00D563D5"/>
    <w:rsid w:val="00D5673E"/>
    <w:rsid w:val="00D56B32"/>
    <w:rsid w:val="00D5745C"/>
    <w:rsid w:val="00D57466"/>
    <w:rsid w:val="00D576FB"/>
    <w:rsid w:val="00D578EC"/>
    <w:rsid w:val="00D60052"/>
    <w:rsid w:val="00D60261"/>
    <w:rsid w:val="00D6038E"/>
    <w:rsid w:val="00D605D4"/>
    <w:rsid w:val="00D60DA1"/>
    <w:rsid w:val="00D610C1"/>
    <w:rsid w:val="00D6149D"/>
    <w:rsid w:val="00D61D28"/>
    <w:rsid w:val="00D620C4"/>
    <w:rsid w:val="00D622BD"/>
    <w:rsid w:val="00D625E7"/>
    <w:rsid w:val="00D627F7"/>
    <w:rsid w:val="00D62B05"/>
    <w:rsid w:val="00D62FA1"/>
    <w:rsid w:val="00D6304D"/>
    <w:rsid w:val="00D63380"/>
    <w:rsid w:val="00D633AF"/>
    <w:rsid w:val="00D6360C"/>
    <w:rsid w:val="00D638FC"/>
    <w:rsid w:val="00D63978"/>
    <w:rsid w:val="00D63CA0"/>
    <w:rsid w:val="00D63CE4"/>
    <w:rsid w:val="00D63F75"/>
    <w:rsid w:val="00D640E6"/>
    <w:rsid w:val="00D64961"/>
    <w:rsid w:val="00D6510E"/>
    <w:rsid w:val="00D65371"/>
    <w:rsid w:val="00D6586C"/>
    <w:rsid w:val="00D6598B"/>
    <w:rsid w:val="00D659A4"/>
    <w:rsid w:val="00D66145"/>
    <w:rsid w:val="00D66A8A"/>
    <w:rsid w:val="00D66C1C"/>
    <w:rsid w:val="00D66F0E"/>
    <w:rsid w:val="00D67889"/>
    <w:rsid w:val="00D701B9"/>
    <w:rsid w:val="00D70333"/>
    <w:rsid w:val="00D70460"/>
    <w:rsid w:val="00D7104B"/>
    <w:rsid w:val="00D71280"/>
    <w:rsid w:val="00D71585"/>
    <w:rsid w:val="00D71617"/>
    <w:rsid w:val="00D71EB0"/>
    <w:rsid w:val="00D722CF"/>
    <w:rsid w:val="00D72B52"/>
    <w:rsid w:val="00D72F11"/>
    <w:rsid w:val="00D7318B"/>
    <w:rsid w:val="00D73210"/>
    <w:rsid w:val="00D732C3"/>
    <w:rsid w:val="00D737DE"/>
    <w:rsid w:val="00D748E9"/>
    <w:rsid w:val="00D74BF2"/>
    <w:rsid w:val="00D75030"/>
    <w:rsid w:val="00D750A5"/>
    <w:rsid w:val="00D7511C"/>
    <w:rsid w:val="00D755E7"/>
    <w:rsid w:val="00D7587E"/>
    <w:rsid w:val="00D75D40"/>
    <w:rsid w:val="00D760C5"/>
    <w:rsid w:val="00D7695A"/>
    <w:rsid w:val="00D77649"/>
    <w:rsid w:val="00D7788C"/>
    <w:rsid w:val="00D779F9"/>
    <w:rsid w:val="00D77AF0"/>
    <w:rsid w:val="00D77DFF"/>
    <w:rsid w:val="00D80053"/>
    <w:rsid w:val="00D80337"/>
    <w:rsid w:val="00D80462"/>
    <w:rsid w:val="00D80670"/>
    <w:rsid w:val="00D807B7"/>
    <w:rsid w:val="00D8080B"/>
    <w:rsid w:val="00D80A4F"/>
    <w:rsid w:val="00D80BB3"/>
    <w:rsid w:val="00D80DD3"/>
    <w:rsid w:val="00D80E33"/>
    <w:rsid w:val="00D81386"/>
    <w:rsid w:val="00D81EC5"/>
    <w:rsid w:val="00D81F1F"/>
    <w:rsid w:val="00D8212C"/>
    <w:rsid w:val="00D824D5"/>
    <w:rsid w:val="00D827E2"/>
    <w:rsid w:val="00D82AB8"/>
    <w:rsid w:val="00D830A0"/>
    <w:rsid w:val="00D83912"/>
    <w:rsid w:val="00D84009"/>
    <w:rsid w:val="00D840BB"/>
    <w:rsid w:val="00D845A3"/>
    <w:rsid w:val="00D847F5"/>
    <w:rsid w:val="00D849DB"/>
    <w:rsid w:val="00D84B46"/>
    <w:rsid w:val="00D85210"/>
    <w:rsid w:val="00D86791"/>
    <w:rsid w:val="00D86A15"/>
    <w:rsid w:val="00D86B32"/>
    <w:rsid w:val="00D86CDD"/>
    <w:rsid w:val="00D86D62"/>
    <w:rsid w:val="00D86D91"/>
    <w:rsid w:val="00D873CC"/>
    <w:rsid w:val="00D8757F"/>
    <w:rsid w:val="00D876DD"/>
    <w:rsid w:val="00D87AA3"/>
    <w:rsid w:val="00D87ADC"/>
    <w:rsid w:val="00D87BEC"/>
    <w:rsid w:val="00D87E58"/>
    <w:rsid w:val="00D9006C"/>
    <w:rsid w:val="00D9024E"/>
    <w:rsid w:val="00D903F4"/>
    <w:rsid w:val="00D90D80"/>
    <w:rsid w:val="00D910D6"/>
    <w:rsid w:val="00D91386"/>
    <w:rsid w:val="00D922E7"/>
    <w:rsid w:val="00D9255F"/>
    <w:rsid w:val="00D92609"/>
    <w:rsid w:val="00D9266C"/>
    <w:rsid w:val="00D92E4A"/>
    <w:rsid w:val="00D93267"/>
    <w:rsid w:val="00D93B77"/>
    <w:rsid w:val="00D94257"/>
    <w:rsid w:val="00D94DF7"/>
    <w:rsid w:val="00D9560C"/>
    <w:rsid w:val="00D95A82"/>
    <w:rsid w:val="00D9625F"/>
    <w:rsid w:val="00D963B5"/>
    <w:rsid w:val="00D96488"/>
    <w:rsid w:val="00D967C8"/>
    <w:rsid w:val="00D968CA"/>
    <w:rsid w:val="00D96B03"/>
    <w:rsid w:val="00D96D60"/>
    <w:rsid w:val="00D96DAA"/>
    <w:rsid w:val="00D9756E"/>
    <w:rsid w:val="00D976C2"/>
    <w:rsid w:val="00D97A49"/>
    <w:rsid w:val="00D97CDE"/>
    <w:rsid w:val="00D97DAB"/>
    <w:rsid w:val="00D97ED6"/>
    <w:rsid w:val="00DA0163"/>
    <w:rsid w:val="00DA098A"/>
    <w:rsid w:val="00DA0C94"/>
    <w:rsid w:val="00DA0F0A"/>
    <w:rsid w:val="00DA1332"/>
    <w:rsid w:val="00DA13A0"/>
    <w:rsid w:val="00DA17D0"/>
    <w:rsid w:val="00DA1984"/>
    <w:rsid w:val="00DA1C9F"/>
    <w:rsid w:val="00DA1D64"/>
    <w:rsid w:val="00DA1DFB"/>
    <w:rsid w:val="00DA2028"/>
    <w:rsid w:val="00DA2185"/>
    <w:rsid w:val="00DA2297"/>
    <w:rsid w:val="00DA231C"/>
    <w:rsid w:val="00DA235A"/>
    <w:rsid w:val="00DA2395"/>
    <w:rsid w:val="00DA2920"/>
    <w:rsid w:val="00DA2973"/>
    <w:rsid w:val="00DA30B7"/>
    <w:rsid w:val="00DA37FE"/>
    <w:rsid w:val="00DA395C"/>
    <w:rsid w:val="00DA3A22"/>
    <w:rsid w:val="00DA3AF4"/>
    <w:rsid w:val="00DA422C"/>
    <w:rsid w:val="00DA46B2"/>
    <w:rsid w:val="00DA4706"/>
    <w:rsid w:val="00DA4A0E"/>
    <w:rsid w:val="00DA4DD5"/>
    <w:rsid w:val="00DA5B86"/>
    <w:rsid w:val="00DA5EBB"/>
    <w:rsid w:val="00DA6372"/>
    <w:rsid w:val="00DA65B4"/>
    <w:rsid w:val="00DA6D29"/>
    <w:rsid w:val="00DA7003"/>
    <w:rsid w:val="00DA71CF"/>
    <w:rsid w:val="00DA7390"/>
    <w:rsid w:val="00DA7974"/>
    <w:rsid w:val="00DA79C0"/>
    <w:rsid w:val="00DA7F78"/>
    <w:rsid w:val="00DA7FBB"/>
    <w:rsid w:val="00DA7FEA"/>
    <w:rsid w:val="00DB013B"/>
    <w:rsid w:val="00DB039E"/>
    <w:rsid w:val="00DB03D5"/>
    <w:rsid w:val="00DB0904"/>
    <w:rsid w:val="00DB1851"/>
    <w:rsid w:val="00DB1C06"/>
    <w:rsid w:val="00DB1CD2"/>
    <w:rsid w:val="00DB1D28"/>
    <w:rsid w:val="00DB1FD6"/>
    <w:rsid w:val="00DB2990"/>
    <w:rsid w:val="00DB311E"/>
    <w:rsid w:val="00DB33FD"/>
    <w:rsid w:val="00DB3427"/>
    <w:rsid w:val="00DB36C3"/>
    <w:rsid w:val="00DB3C34"/>
    <w:rsid w:val="00DB3D43"/>
    <w:rsid w:val="00DB3FA3"/>
    <w:rsid w:val="00DB41C2"/>
    <w:rsid w:val="00DB45C2"/>
    <w:rsid w:val="00DB4676"/>
    <w:rsid w:val="00DB4E53"/>
    <w:rsid w:val="00DB5B68"/>
    <w:rsid w:val="00DB5E66"/>
    <w:rsid w:val="00DB5EDB"/>
    <w:rsid w:val="00DB61C3"/>
    <w:rsid w:val="00DB691D"/>
    <w:rsid w:val="00DB6A90"/>
    <w:rsid w:val="00DB6C82"/>
    <w:rsid w:val="00DB6CB7"/>
    <w:rsid w:val="00DB7A41"/>
    <w:rsid w:val="00DB7CC3"/>
    <w:rsid w:val="00DB7D2E"/>
    <w:rsid w:val="00DB7E00"/>
    <w:rsid w:val="00DB7E70"/>
    <w:rsid w:val="00DC0252"/>
    <w:rsid w:val="00DC0913"/>
    <w:rsid w:val="00DC0B96"/>
    <w:rsid w:val="00DC1044"/>
    <w:rsid w:val="00DC146A"/>
    <w:rsid w:val="00DC14BE"/>
    <w:rsid w:val="00DC15D0"/>
    <w:rsid w:val="00DC180D"/>
    <w:rsid w:val="00DC180F"/>
    <w:rsid w:val="00DC1B38"/>
    <w:rsid w:val="00DC1B5C"/>
    <w:rsid w:val="00DC1C83"/>
    <w:rsid w:val="00DC1EDE"/>
    <w:rsid w:val="00DC1FAB"/>
    <w:rsid w:val="00DC1FD0"/>
    <w:rsid w:val="00DC208E"/>
    <w:rsid w:val="00DC2104"/>
    <w:rsid w:val="00DC21E0"/>
    <w:rsid w:val="00DC220E"/>
    <w:rsid w:val="00DC2489"/>
    <w:rsid w:val="00DC268A"/>
    <w:rsid w:val="00DC2889"/>
    <w:rsid w:val="00DC296A"/>
    <w:rsid w:val="00DC29D6"/>
    <w:rsid w:val="00DC2B64"/>
    <w:rsid w:val="00DC2BEA"/>
    <w:rsid w:val="00DC2D77"/>
    <w:rsid w:val="00DC33BF"/>
    <w:rsid w:val="00DC3873"/>
    <w:rsid w:val="00DC38D1"/>
    <w:rsid w:val="00DC393F"/>
    <w:rsid w:val="00DC3969"/>
    <w:rsid w:val="00DC3A76"/>
    <w:rsid w:val="00DC3AEA"/>
    <w:rsid w:val="00DC3B40"/>
    <w:rsid w:val="00DC499D"/>
    <w:rsid w:val="00DC4A9E"/>
    <w:rsid w:val="00DC50B5"/>
    <w:rsid w:val="00DC5135"/>
    <w:rsid w:val="00DC5951"/>
    <w:rsid w:val="00DC5953"/>
    <w:rsid w:val="00DC59C8"/>
    <w:rsid w:val="00DC5DC5"/>
    <w:rsid w:val="00DC5EEA"/>
    <w:rsid w:val="00DD0382"/>
    <w:rsid w:val="00DD0E3B"/>
    <w:rsid w:val="00DD1020"/>
    <w:rsid w:val="00DD1EB5"/>
    <w:rsid w:val="00DD2373"/>
    <w:rsid w:val="00DD24C7"/>
    <w:rsid w:val="00DD2B86"/>
    <w:rsid w:val="00DD2E62"/>
    <w:rsid w:val="00DD2EB6"/>
    <w:rsid w:val="00DD385E"/>
    <w:rsid w:val="00DD3F4A"/>
    <w:rsid w:val="00DD40C1"/>
    <w:rsid w:val="00DD42E4"/>
    <w:rsid w:val="00DD4899"/>
    <w:rsid w:val="00DD5552"/>
    <w:rsid w:val="00DD5679"/>
    <w:rsid w:val="00DD5DD3"/>
    <w:rsid w:val="00DD6030"/>
    <w:rsid w:val="00DD6199"/>
    <w:rsid w:val="00DD6234"/>
    <w:rsid w:val="00DD64F3"/>
    <w:rsid w:val="00DD6C04"/>
    <w:rsid w:val="00DD6F77"/>
    <w:rsid w:val="00DD70E9"/>
    <w:rsid w:val="00DD7545"/>
    <w:rsid w:val="00DD75BC"/>
    <w:rsid w:val="00DD770D"/>
    <w:rsid w:val="00DD7936"/>
    <w:rsid w:val="00DD7E11"/>
    <w:rsid w:val="00DE08EE"/>
    <w:rsid w:val="00DE0C6A"/>
    <w:rsid w:val="00DE1855"/>
    <w:rsid w:val="00DE1EAB"/>
    <w:rsid w:val="00DE1F2F"/>
    <w:rsid w:val="00DE2061"/>
    <w:rsid w:val="00DE26EE"/>
    <w:rsid w:val="00DE27FA"/>
    <w:rsid w:val="00DE2A82"/>
    <w:rsid w:val="00DE2B6D"/>
    <w:rsid w:val="00DE2E7D"/>
    <w:rsid w:val="00DE3406"/>
    <w:rsid w:val="00DE37E1"/>
    <w:rsid w:val="00DE3814"/>
    <w:rsid w:val="00DE391D"/>
    <w:rsid w:val="00DE39A1"/>
    <w:rsid w:val="00DE3C60"/>
    <w:rsid w:val="00DE3EED"/>
    <w:rsid w:val="00DE4593"/>
    <w:rsid w:val="00DE4A83"/>
    <w:rsid w:val="00DE4AD5"/>
    <w:rsid w:val="00DE5580"/>
    <w:rsid w:val="00DE5B20"/>
    <w:rsid w:val="00DE5DB5"/>
    <w:rsid w:val="00DE5FF3"/>
    <w:rsid w:val="00DE60E5"/>
    <w:rsid w:val="00DE634F"/>
    <w:rsid w:val="00DE664D"/>
    <w:rsid w:val="00DE6A7B"/>
    <w:rsid w:val="00DE6B0F"/>
    <w:rsid w:val="00DE6C09"/>
    <w:rsid w:val="00DE709A"/>
    <w:rsid w:val="00DE7116"/>
    <w:rsid w:val="00DE75F5"/>
    <w:rsid w:val="00DE76B5"/>
    <w:rsid w:val="00DE7E07"/>
    <w:rsid w:val="00DF004F"/>
    <w:rsid w:val="00DF052F"/>
    <w:rsid w:val="00DF06CB"/>
    <w:rsid w:val="00DF07BA"/>
    <w:rsid w:val="00DF08F2"/>
    <w:rsid w:val="00DF0F35"/>
    <w:rsid w:val="00DF0FF5"/>
    <w:rsid w:val="00DF11FA"/>
    <w:rsid w:val="00DF124D"/>
    <w:rsid w:val="00DF1331"/>
    <w:rsid w:val="00DF13F5"/>
    <w:rsid w:val="00DF194D"/>
    <w:rsid w:val="00DF1B3E"/>
    <w:rsid w:val="00DF1D2E"/>
    <w:rsid w:val="00DF1F77"/>
    <w:rsid w:val="00DF24E3"/>
    <w:rsid w:val="00DF2B33"/>
    <w:rsid w:val="00DF493E"/>
    <w:rsid w:val="00DF49B5"/>
    <w:rsid w:val="00DF49FA"/>
    <w:rsid w:val="00DF4FC6"/>
    <w:rsid w:val="00DF4FCB"/>
    <w:rsid w:val="00DF5619"/>
    <w:rsid w:val="00DF5CAB"/>
    <w:rsid w:val="00DF5EDF"/>
    <w:rsid w:val="00DF615A"/>
    <w:rsid w:val="00DF679C"/>
    <w:rsid w:val="00DF6841"/>
    <w:rsid w:val="00DF70A4"/>
    <w:rsid w:val="00DF7114"/>
    <w:rsid w:val="00DF7492"/>
    <w:rsid w:val="00DF75E6"/>
    <w:rsid w:val="00DF7806"/>
    <w:rsid w:val="00DF7D65"/>
    <w:rsid w:val="00DF7F98"/>
    <w:rsid w:val="00DF7FD1"/>
    <w:rsid w:val="00E0005B"/>
    <w:rsid w:val="00E00672"/>
    <w:rsid w:val="00E0077C"/>
    <w:rsid w:val="00E010D7"/>
    <w:rsid w:val="00E011DC"/>
    <w:rsid w:val="00E013E6"/>
    <w:rsid w:val="00E0165C"/>
    <w:rsid w:val="00E016CB"/>
    <w:rsid w:val="00E01775"/>
    <w:rsid w:val="00E01AC9"/>
    <w:rsid w:val="00E01B79"/>
    <w:rsid w:val="00E02412"/>
    <w:rsid w:val="00E024E6"/>
    <w:rsid w:val="00E0278D"/>
    <w:rsid w:val="00E02A70"/>
    <w:rsid w:val="00E02BC4"/>
    <w:rsid w:val="00E02DC9"/>
    <w:rsid w:val="00E02F19"/>
    <w:rsid w:val="00E032C0"/>
    <w:rsid w:val="00E0380B"/>
    <w:rsid w:val="00E03AF9"/>
    <w:rsid w:val="00E03B96"/>
    <w:rsid w:val="00E045F6"/>
    <w:rsid w:val="00E04A2D"/>
    <w:rsid w:val="00E04B9A"/>
    <w:rsid w:val="00E04FB9"/>
    <w:rsid w:val="00E05408"/>
    <w:rsid w:val="00E055A1"/>
    <w:rsid w:val="00E05EA7"/>
    <w:rsid w:val="00E0691D"/>
    <w:rsid w:val="00E06C3E"/>
    <w:rsid w:val="00E07667"/>
    <w:rsid w:val="00E0773C"/>
    <w:rsid w:val="00E0798C"/>
    <w:rsid w:val="00E07B89"/>
    <w:rsid w:val="00E07FF0"/>
    <w:rsid w:val="00E1021B"/>
    <w:rsid w:val="00E10344"/>
    <w:rsid w:val="00E10ED5"/>
    <w:rsid w:val="00E112B8"/>
    <w:rsid w:val="00E11449"/>
    <w:rsid w:val="00E11642"/>
    <w:rsid w:val="00E11825"/>
    <w:rsid w:val="00E11BF1"/>
    <w:rsid w:val="00E11C50"/>
    <w:rsid w:val="00E11F29"/>
    <w:rsid w:val="00E11F2D"/>
    <w:rsid w:val="00E1210B"/>
    <w:rsid w:val="00E12139"/>
    <w:rsid w:val="00E122D6"/>
    <w:rsid w:val="00E12A55"/>
    <w:rsid w:val="00E12E22"/>
    <w:rsid w:val="00E12E28"/>
    <w:rsid w:val="00E12F0A"/>
    <w:rsid w:val="00E12F43"/>
    <w:rsid w:val="00E13357"/>
    <w:rsid w:val="00E13ED2"/>
    <w:rsid w:val="00E14132"/>
    <w:rsid w:val="00E14A2D"/>
    <w:rsid w:val="00E15278"/>
    <w:rsid w:val="00E15345"/>
    <w:rsid w:val="00E15770"/>
    <w:rsid w:val="00E1581C"/>
    <w:rsid w:val="00E15F47"/>
    <w:rsid w:val="00E16353"/>
    <w:rsid w:val="00E1693D"/>
    <w:rsid w:val="00E16A5A"/>
    <w:rsid w:val="00E16D36"/>
    <w:rsid w:val="00E16FE5"/>
    <w:rsid w:val="00E17D2A"/>
    <w:rsid w:val="00E203B7"/>
    <w:rsid w:val="00E20632"/>
    <w:rsid w:val="00E208BE"/>
    <w:rsid w:val="00E20BE5"/>
    <w:rsid w:val="00E20D5E"/>
    <w:rsid w:val="00E20F4E"/>
    <w:rsid w:val="00E2144F"/>
    <w:rsid w:val="00E2153E"/>
    <w:rsid w:val="00E215F1"/>
    <w:rsid w:val="00E2345B"/>
    <w:rsid w:val="00E2387C"/>
    <w:rsid w:val="00E238D0"/>
    <w:rsid w:val="00E24251"/>
    <w:rsid w:val="00E246E9"/>
    <w:rsid w:val="00E24A0F"/>
    <w:rsid w:val="00E24E9F"/>
    <w:rsid w:val="00E25E5A"/>
    <w:rsid w:val="00E261BF"/>
    <w:rsid w:val="00E2685B"/>
    <w:rsid w:val="00E26987"/>
    <w:rsid w:val="00E26B36"/>
    <w:rsid w:val="00E26DD6"/>
    <w:rsid w:val="00E26E2C"/>
    <w:rsid w:val="00E2707B"/>
    <w:rsid w:val="00E2749F"/>
    <w:rsid w:val="00E27601"/>
    <w:rsid w:val="00E27645"/>
    <w:rsid w:val="00E30031"/>
    <w:rsid w:val="00E304F8"/>
    <w:rsid w:val="00E30702"/>
    <w:rsid w:val="00E3078D"/>
    <w:rsid w:val="00E3173F"/>
    <w:rsid w:val="00E31C45"/>
    <w:rsid w:val="00E31ED9"/>
    <w:rsid w:val="00E322C8"/>
    <w:rsid w:val="00E325E4"/>
    <w:rsid w:val="00E32727"/>
    <w:rsid w:val="00E32E4C"/>
    <w:rsid w:val="00E32FCC"/>
    <w:rsid w:val="00E3307E"/>
    <w:rsid w:val="00E335D0"/>
    <w:rsid w:val="00E33BB0"/>
    <w:rsid w:val="00E33F91"/>
    <w:rsid w:val="00E343B2"/>
    <w:rsid w:val="00E346DF"/>
    <w:rsid w:val="00E35012"/>
    <w:rsid w:val="00E351EA"/>
    <w:rsid w:val="00E35607"/>
    <w:rsid w:val="00E367E4"/>
    <w:rsid w:val="00E369CC"/>
    <w:rsid w:val="00E36C0B"/>
    <w:rsid w:val="00E36E4A"/>
    <w:rsid w:val="00E37A29"/>
    <w:rsid w:val="00E4018F"/>
    <w:rsid w:val="00E402D6"/>
    <w:rsid w:val="00E4080F"/>
    <w:rsid w:val="00E408BF"/>
    <w:rsid w:val="00E409D7"/>
    <w:rsid w:val="00E40BCB"/>
    <w:rsid w:val="00E40CAD"/>
    <w:rsid w:val="00E40D08"/>
    <w:rsid w:val="00E411E8"/>
    <w:rsid w:val="00E4138F"/>
    <w:rsid w:val="00E41893"/>
    <w:rsid w:val="00E418A4"/>
    <w:rsid w:val="00E41DB1"/>
    <w:rsid w:val="00E42018"/>
    <w:rsid w:val="00E42245"/>
    <w:rsid w:val="00E42CF2"/>
    <w:rsid w:val="00E43329"/>
    <w:rsid w:val="00E43391"/>
    <w:rsid w:val="00E4362C"/>
    <w:rsid w:val="00E438A6"/>
    <w:rsid w:val="00E43EF7"/>
    <w:rsid w:val="00E43FA9"/>
    <w:rsid w:val="00E44075"/>
    <w:rsid w:val="00E4437D"/>
    <w:rsid w:val="00E4446A"/>
    <w:rsid w:val="00E44579"/>
    <w:rsid w:val="00E44ED5"/>
    <w:rsid w:val="00E451D7"/>
    <w:rsid w:val="00E452AC"/>
    <w:rsid w:val="00E4544B"/>
    <w:rsid w:val="00E457EB"/>
    <w:rsid w:val="00E4597D"/>
    <w:rsid w:val="00E45EBE"/>
    <w:rsid w:val="00E463A2"/>
    <w:rsid w:val="00E4650F"/>
    <w:rsid w:val="00E46555"/>
    <w:rsid w:val="00E46EC1"/>
    <w:rsid w:val="00E47325"/>
    <w:rsid w:val="00E4794F"/>
    <w:rsid w:val="00E47D3F"/>
    <w:rsid w:val="00E47DA3"/>
    <w:rsid w:val="00E47FA6"/>
    <w:rsid w:val="00E5062B"/>
    <w:rsid w:val="00E5066E"/>
    <w:rsid w:val="00E50CBB"/>
    <w:rsid w:val="00E50D53"/>
    <w:rsid w:val="00E51A36"/>
    <w:rsid w:val="00E51A61"/>
    <w:rsid w:val="00E51CC1"/>
    <w:rsid w:val="00E520D3"/>
    <w:rsid w:val="00E52385"/>
    <w:rsid w:val="00E529B5"/>
    <w:rsid w:val="00E52FC8"/>
    <w:rsid w:val="00E5378B"/>
    <w:rsid w:val="00E53CD7"/>
    <w:rsid w:val="00E541AD"/>
    <w:rsid w:val="00E54354"/>
    <w:rsid w:val="00E54BED"/>
    <w:rsid w:val="00E5522B"/>
    <w:rsid w:val="00E556F9"/>
    <w:rsid w:val="00E55844"/>
    <w:rsid w:val="00E55FD5"/>
    <w:rsid w:val="00E56330"/>
    <w:rsid w:val="00E563B1"/>
    <w:rsid w:val="00E56DC3"/>
    <w:rsid w:val="00E56EA4"/>
    <w:rsid w:val="00E570B0"/>
    <w:rsid w:val="00E571B1"/>
    <w:rsid w:val="00E5770B"/>
    <w:rsid w:val="00E57D2F"/>
    <w:rsid w:val="00E6023E"/>
    <w:rsid w:val="00E602E5"/>
    <w:rsid w:val="00E6036E"/>
    <w:rsid w:val="00E603AF"/>
    <w:rsid w:val="00E60991"/>
    <w:rsid w:val="00E60C38"/>
    <w:rsid w:val="00E60C4A"/>
    <w:rsid w:val="00E61336"/>
    <w:rsid w:val="00E61727"/>
    <w:rsid w:val="00E61F88"/>
    <w:rsid w:val="00E626B9"/>
    <w:rsid w:val="00E62730"/>
    <w:rsid w:val="00E6284F"/>
    <w:rsid w:val="00E62B8B"/>
    <w:rsid w:val="00E630B8"/>
    <w:rsid w:val="00E63396"/>
    <w:rsid w:val="00E6360A"/>
    <w:rsid w:val="00E636D4"/>
    <w:rsid w:val="00E637AB"/>
    <w:rsid w:val="00E63AB9"/>
    <w:rsid w:val="00E63D29"/>
    <w:rsid w:val="00E64355"/>
    <w:rsid w:val="00E64400"/>
    <w:rsid w:val="00E64567"/>
    <w:rsid w:val="00E645EF"/>
    <w:rsid w:val="00E64615"/>
    <w:rsid w:val="00E6498A"/>
    <w:rsid w:val="00E64A18"/>
    <w:rsid w:val="00E64BB0"/>
    <w:rsid w:val="00E65438"/>
    <w:rsid w:val="00E65979"/>
    <w:rsid w:val="00E65A02"/>
    <w:rsid w:val="00E65B71"/>
    <w:rsid w:val="00E66176"/>
    <w:rsid w:val="00E66452"/>
    <w:rsid w:val="00E667CB"/>
    <w:rsid w:val="00E66ADA"/>
    <w:rsid w:val="00E674C1"/>
    <w:rsid w:val="00E6750B"/>
    <w:rsid w:val="00E679EF"/>
    <w:rsid w:val="00E7030D"/>
    <w:rsid w:val="00E70748"/>
    <w:rsid w:val="00E707FE"/>
    <w:rsid w:val="00E70E2D"/>
    <w:rsid w:val="00E70FF1"/>
    <w:rsid w:val="00E7125D"/>
    <w:rsid w:val="00E71723"/>
    <w:rsid w:val="00E71926"/>
    <w:rsid w:val="00E71AAB"/>
    <w:rsid w:val="00E71BB4"/>
    <w:rsid w:val="00E7221E"/>
    <w:rsid w:val="00E722BC"/>
    <w:rsid w:val="00E722C6"/>
    <w:rsid w:val="00E72A2C"/>
    <w:rsid w:val="00E72B09"/>
    <w:rsid w:val="00E72BC5"/>
    <w:rsid w:val="00E72DB8"/>
    <w:rsid w:val="00E7309D"/>
    <w:rsid w:val="00E734CB"/>
    <w:rsid w:val="00E735F2"/>
    <w:rsid w:val="00E73615"/>
    <w:rsid w:val="00E73841"/>
    <w:rsid w:val="00E73976"/>
    <w:rsid w:val="00E742CD"/>
    <w:rsid w:val="00E74FB6"/>
    <w:rsid w:val="00E75356"/>
    <w:rsid w:val="00E7537E"/>
    <w:rsid w:val="00E754BB"/>
    <w:rsid w:val="00E75821"/>
    <w:rsid w:val="00E75896"/>
    <w:rsid w:val="00E75DAE"/>
    <w:rsid w:val="00E75F59"/>
    <w:rsid w:val="00E760DB"/>
    <w:rsid w:val="00E76429"/>
    <w:rsid w:val="00E766E3"/>
    <w:rsid w:val="00E76A87"/>
    <w:rsid w:val="00E76FCF"/>
    <w:rsid w:val="00E771F5"/>
    <w:rsid w:val="00E7793F"/>
    <w:rsid w:val="00E77E4B"/>
    <w:rsid w:val="00E80394"/>
    <w:rsid w:val="00E803FE"/>
    <w:rsid w:val="00E806C3"/>
    <w:rsid w:val="00E80C95"/>
    <w:rsid w:val="00E80CC0"/>
    <w:rsid w:val="00E81BB1"/>
    <w:rsid w:val="00E81C2E"/>
    <w:rsid w:val="00E81D02"/>
    <w:rsid w:val="00E82145"/>
    <w:rsid w:val="00E8273A"/>
    <w:rsid w:val="00E82A0E"/>
    <w:rsid w:val="00E82DBE"/>
    <w:rsid w:val="00E82EBA"/>
    <w:rsid w:val="00E82FCA"/>
    <w:rsid w:val="00E83232"/>
    <w:rsid w:val="00E833EC"/>
    <w:rsid w:val="00E8356B"/>
    <w:rsid w:val="00E83CF9"/>
    <w:rsid w:val="00E8417B"/>
    <w:rsid w:val="00E846B8"/>
    <w:rsid w:val="00E84D1C"/>
    <w:rsid w:val="00E84F38"/>
    <w:rsid w:val="00E852DD"/>
    <w:rsid w:val="00E8549B"/>
    <w:rsid w:val="00E859AB"/>
    <w:rsid w:val="00E85E42"/>
    <w:rsid w:val="00E8606E"/>
    <w:rsid w:val="00E86381"/>
    <w:rsid w:val="00E863CE"/>
    <w:rsid w:val="00E86515"/>
    <w:rsid w:val="00E87855"/>
    <w:rsid w:val="00E878EC"/>
    <w:rsid w:val="00E87C3E"/>
    <w:rsid w:val="00E87C51"/>
    <w:rsid w:val="00E87D08"/>
    <w:rsid w:val="00E87F1E"/>
    <w:rsid w:val="00E90436"/>
    <w:rsid w:val="00E908CF"/>
    <w:rsid w:val="00E90A69"/>
    <w:rsid w:val="00E91231"/>
    <w:rsid w:val="00E9138E"/>
    <w:rsid w:val="00E9159C"/>
    <w:rsid w:val="00E91649"/>
    <w:rsid w:val="00E91C5B"/>
    <w:rsid w:val="00E92ADF"/>
    <w:rsid w:val="00E933AC"/>
    <w:rsid w:val="00E9497A"/>
    <w:rsid w:val="00E949D3"/>
    <w:rsid w:val="00E94B22"/>
    <w:rsid w:val="00E94D6A"/>
    <w:rsid w:val="00E94DF0"/>
    <w:rsid w:val="00E95199"/>
    <w:rsid w:val="00E953A5"/>
    <w:rsid w:val="00E95466"/>
    <w:rsid w:val="00E957A2"/>
    <w:rsid w:val="00E9584C"/>
    <w:rsid w:val="00E958F1"/>
    <w:rsid w:val="00E959E8"/>
    <w:rsid w:val="00E96455"/>
    <w:rsid w:val="00E965BC"/>
    <w:rsid w:val="00E965ED"/>
    <w:rsid w:val="00E96634"/>
    <w:rsid w:val="00E96855"/>
    <w:rsid w:val="00E975A4"/>
    <w:rsid w:val="00EA0CC4"/>
    <w:rsid w:val="00EA13BF"/>
    <w:rsid w:val="00EA13FD"/>
    <w:rsid w:val="00EA1656"/>
    <w:rsid w:val="00EA1BBB"/>
    <w:rsid w:val="00EA2380"/>
    <w:rsid w:val="00EA2C30"/>
    <w:rsid w:val="00EA2CB7"/>
    <w:rsid w:val="00EA2DD9"/>
    <w:rsid w:val="00EA3435"/>
    <w:rsid w:val="00EA43FC"/>
    <w:rsid w:val="00EA4E49"/>
    <w:rsid w:val="00EA51C2"/>
    <w:rsid w:val="00EA5582"/>
    <w:rsid w:val="00EA5A2A"/>
    <w:rsid w:val="00EA60EC"/>
    <w:rsid w:val="00EA6374"/>
    <w:rsid w:val="00EA669D"/>
    <w:rsid w:val="00EA6C55"/>
    <w:rsid w:val="00EA7446"/>
    <w:rsid w:val="00EB0679"/>
    <w:rsid w:val="00EB06B1"/>
    <w:rsid w:val="00EB06DD"/>
    <w:rsid w:val="00EB0959"/>
    <w:rsid w:val="00EB0B01"/>
    <w:rsid w:val="00EB0CE3"/>
    <w:rsid w:val="00EB15BE"/>
    <w:rsid w:val="00EB15E4"/>
    <w:rsid w:val="00EB1947"/>
    <w:rsid w:val="00EB1964"/>
    <w:rsid w:val="00EB1DD4"/>
    <w:rsid w:val="00EB2719"/>
    <w:rsid w:val="00EB2801"/>
    <w:rsid w:val="00EB312F"/>
    <w:rsid w:val="00EB33B1"/>
    <w:rsid w:val="00EB35D8"/>
    <w:rsid w:val="00EB367F"/>
    <w:rsid w:val="00EB3716"/>
    <w:rsid w:val="00EB378C"/>
    <w:rsid w:val="00EB3B93"/>
    <w:rsid w:val="00EB3C93"/>
    <w:rsid w:val="00EB3E6F"/>
    <w:rsid w:val="00EB3EF4"/>
    <w:rsid w:val="00EB4056"/>
    <w:rsid w:val="00EB43BA"/>
    <w:rsid w:val="00EB4894"/>
    <w:rsid w:val="00EB4FF7"/>
    <w:rsid w:val="00EB503F"/>
    <w:rsid w:val="00EB50FD"/>
    <w:rsid w:val="00EB575F"/>
    <w:rsid w:val="00EB59A8"/>
    <w:rsid w:val="00EB5AA6"/>
    <w:rsid w:val="00EB693F"/>
    <w:rsid w:val="00EB695C"/>
    <w:rsid w:val="00EB6C89"/>
    <w:rsid w:val="00EB6FA6"/>
    <w:rsid w:val="00EB7233"/>
    <w:rsid w:val="00EB7250"/>
    <w:rsid w:val="00EB7436"/>
    <w:rsid w:val="00EB7D3A"/>
    <w:rsid w:val="00EC005A"/>
    <w:rsid w:val="00EC0167"/>
    <w:rsid w:val="00EC0666"/>
    <w:rsid w:val="00EC0B95"/>
    <w:rsid w:val="00EC0CF2"/>
    <w:rsid w:val="00EC12D6"/>
    <w:rsid w:val="00EC20C9"/>
    <w:rsid w:val="00EC2166"/>
    <w:rsid w:val="00EC272E"/>
    <w:rsid w:val="00EC273E"/>
    <w:rsid w:val="00EC475D"/>
    <w:rsid w:val="00EC4876"/>
    <w:rsid w:val="00EC4ED4"/>
    <w:rsid w:val="00EC5042"/>
    <w:rsid w:val="00EC50B7"/>
    <w:rsid w:val="00EC5607"/>
    <w:rsid w:val="00EC5899"/>
    <w:rsid w:val="00EC59A2"/>
    <w:rsid w:val="00EC60A2"/>
    <w:rsid w:val="00EC633F"/>
    <w:rsid w:val="00EC6D09"/>
    <w:rsid w:val="00EC70D3"/>
    <w:rsid w:val="00EC739D"/>
    <w:rsid w:val="00EC79AA"/>
    <w:rsid w:val="00EC7DD8"/>
    <w:rsid w:val="00EC7F35"/>
    <w:rsid w:val="00EC7FA3"/>
    <w:rsid w:val="00ED017D"/>
    <w:rsid w:val="00ED02AB"/>
    <w:rsid w:val="00ED02E6"/>
    <w:rsid w:val="00ED0328"/>
    <w:rsid w:val="00ED04FB"/>
    <w:rsid w:val="00ED0516"/>
    <w:rsid w:val="00ED0619"/>
    <w:rsid w:val="00ED163A"/>
    <w:rsid w:val="00ED17E7"/>
    <w:rsid w:val="00ED1893"/>
    <w:rsid w:val="00ED1D71"/>
    <w:rsid w:val="00ED2544"/>
    <w:rsid w:val="00ED2B7E"/>
    <w:rsid w:val="00ED36E6"/>
    <w:rsid w:val="00ED3705"/>
    <w:rsid w:val="00ED3B86"/>
    <w:rsid w:val="00ED417C"/>
    <w:rsid w:val="00ED4351"/>
    <w:rsid w:val="00ED47D4"/>
    <w:rsid w:val="00ED4955"/>
    <w:rsid w:val="00ED4971"/>
    <w:rsid w:val="00ED4AD7"/>
    <w:rsid w:val="00ED4C35"/>
    <w:rsid w:val="00ED5075"/>
    <w:rsid w:val="00ED5115"/>
    <w:rsid w:val="00ED5560"/>
    <w:rsid w:val="00ED56CC"/>
    <w:rsid w:val="00ED585E"/>
    <w:rsid w:val="00ED5E81"/>
    <w:rsid w:val="00ED6083"/>
    <w:rsid w:val="00ED613D"/>
    <w:rsid w:val="00ED6C45"/>
    <w:rsid w:val="00ED6EE6"/>
    <w:rsid w:val="00ED7245"/>
    <w:rsid w:val="00ED726E"/>
    <w:rsid w:val="00ED77DC"/>
    <w:rsid w:val="00ED7BB2"/>
    <w:rsid w:val="00ED7E8C"/>
    <w:rsid w:val="00EE0871"/>
    <w:rsid w:val="00EE0D6E"/>
    <w:rsid w:val="00EE0E5A"/>
    <w:rsid w:val="00EE1058"/>
    <w:rsid w:val="00EE1251"/>
    <w:rsid w:val="00EE130E"/>
    <w:rsid w:val="00EE148B"/>
    <w:rsid w:val="00EE16D8"/>
    <w:rsid w:val="00EE17BB"/>
    <w:rsid w:val="00EE19E7"/>
    <w:rsid w:val="00EE1B54"/>
    <w:rsid w:val="00EE1E16"/>
    <w:rsid w:val="00EE2153"/>
    <w:rsid w:val="00EE23B4"/>
    <w:rsid w:val="00EE2930"/>
    <w:rsid w:val="00EE3150"/>
    <w:rsid w:val="00EE3248"/>
    <w:rsid w:val="00EE3FDA"/>
    <w:rsid w:val="00EE4165"/>
    <w:rsid w:val="00EE44B0"/>
    <w:rsid w:val="00EE4BF8"/>
    <w:rsid w:val="00EE4D62"/>
    <w:rsid w:val="00EE5081"/>
    <w:rsid w:val="00EE5325"/>
    <w:rsid w:val="00EE539B"/>
    <w:rsid w:val="00EE5582"/>
    <w:rsid w:val="00EE564E"/>
    <w:rsid w:val="00EE5771"/>
    <w:rsid w:val="00EE5A01"/>
    <w:rsid w:val="00EE5C21"/>
    <w:rsid w:val="00EE602C"/>
    <w:rsid w:val="00EE60A5"/>
    <w:rsid w:val="00EE62E3"/>
    <w:rsid w:val="00EE6483"/>
    <w:rsid w:val="00EE687D"/>
    <w:rsid w:val="00EE6A95"/>
    <w:rsid w:val="00EE6C36"/>
    <w:rsid w:val="00EE6C44"/>
    <w:rsid w:val="00EE7646"/>
    <w:rsid w:val="00EE7AC0"/>
    <w:rsid w:val="00EE7DF4"/>
    <w:rsid w:val="00EF0218"/>
    <w:rsid w:val="00EF03DA"/>
    <w:rsid w:val="00EF0C96"/>
    <w:rsid w:val="00EF0D7F"/>
    <w:rsid w:val="00EF1AEC"/>
    <w:rsid w:val="00EF1B43"/>
    <w:rsid w:val="00EF1BB0"/>
    <w:rsid w:val="00EF1C74"/>
    <w:rsid w:val="00EF29F1"/>
    <w:rsid w:val="00EF2A1B"/>
    <w:rsid w:val="00EF2B0C"/>
    <w:rsid w:val="00EF2D67"/>
    <w:rsid w:val="00EF307C"/>
    <w:rsid w:val="00EF312E"/>
    <w:rsid w:val="00EF33CE"/>
    <w:rsid w:val="00EF3511"/>
    <w:rsid w:val="00EF35D4"/>
    <w:rsid w:val="00EF36DF"/>
    <w:rsid w:val="00EF38BF"/>
    <w:rsid w:val="00EF39A3"/>
    <w:rsid w:val="00EF3F7B"/>
    <w:rsid w:val="00EF4164"/>
    <w:rsid w:val="00EF4515"/>
    <w:rsid w:val="00EF4594"/>
    <w:rsid w:val="00EF4690"/>
    <w:rsid w:val="00EF476C"/>
    <w:rsid w:val="00EF4921"/>
    <w:rsid w:val="00EF4A7B"/>
    <w:rsid w:val="00EF4B8D"/>
    <w:rsid w:val="00EF4D37"/>
    <w:rsid w:val="00EF5501"/>
    <w:rsid w:val="00EF56FD"/>
    <w:rsid w:val="00EF5AEE"/>
    <w:rsid w:val="00EF5C07"/>
    <w:rsid w:val="00EF5EC7"/>
    <w:rsid w:val="00EF61DB"/>
    <w:rsid w:val="00EF695C"/>
    <w:rsid w:val="00EF6D9D"/>
    <w:rsid w:val="00EF732C"/>
    <w:rsid w:val="00EF7677"/>
    <w:rsid w:val="00EF7DCB"/>
    <w:rsid w:val="00EF7F83"/>
    <w:rsid w:val="00F0014F"/>
    <w:rsid w:val="00F0016F"/>
    <w:rsid w:val="00F006A7"/>
    <w:rsid w:val="00F006E4"/>
    <w:rsid w:val="00F00776"/>
    <w:rsid w:val="00F00B43"/>
    <w:rsid w:val="00F00C1D"/>
    <w:rsid w:val="00F00D0D"/>
    <w:rsid w:val="00F00EC4"/>
    <w:rsid w:val="00F00F38"/>
    <w:rsid w:val="00F00FBC"/>
    <w:rsid w:val="00F0132F"/>
    <w:rsid w:val="00F01512"/>
    <w:rsid w:val="00F01771"/>
    <w:rsid w:val="00F01A6C"/>
    <w:rsid w:val="00F01CD3"/>
    <w:rsid w:val="00F01EB6"/>
    <w:rsid w:val="00F0232F"/>
    <w:rsid w:val="00F023C6"/>
    <w:rsid w:val="00F02F7E"/>
    <w:rsid w:val="00F0318D"/>
    <w:rsid w:val="00F0321E"/>
    <w:rsid w:val="00F0361C"/>
    <w:rsid w:val="00F03A7B"/>
    <w:rsid w:val="00F03B86"/>
    <w:rsid w:val="00F03C1E"/>
    <w:rsid w:val="00F03D9C"/>
    <w:rsid w:val="00F03DD6"/>
    <w:rsid w:val="00F04214"/>
    <w:rsid w:val="00F043EF"/>
    <w:rsid w:val="00F05678"/>
    <w:rsid w:val="00F0567D"/>
    <w:rsid w:val="00F05BD3"/>
    <w:rsid w:val="00F06022"/>
    <w:rsid w:val="00F06190"/>
    <w:rsid w:val="00F062D7"/>
    <w:rsid w:val="00F06745"/>
    <w:rsid w:val="00F06B3F"/>
    <w:rsid w:val="00F06C4F"/>
    <w:rsid w:val="00F0719A"/>
    <w:rsid w:val="00F072AE"/>
    <w:rsid w:val="00F0730A"/>
    <w:rsid w:val="00F073EA"/>
    <w:rsid w:val="00F07896"/>
    <w:rsid w:val="00F07AC6"/>
    <w:rsid w:val="00F07BA8"/>
    <w:rsid w:val="00F101AC"/>
    <w:rsid w:val="00F1081A"/>
    <w:rsid w:val="00F10C55"/>
    <w:rsid w:val="00F110FA"/>
    <w:rsid w:val="00F11303"/>
    <w:rsid w:val="00F115EC"/>
    <w:rsid w:val="00F12691"/>
    <w:rsid w:val="00F13248"/>
    <w:rsid w:val="00F132A4"/>
    <w:rsid w:val="00F1347B"/>
    <w:rsid w:val="00F13564"/>
    <w:rsid w:val="00F136DD"/>
    <w:rsid w:val="00F13A19"/>
    <w:rsid w:val="00F13BB3"/>
    <w:rsid w:val="00F13D7E"/>
    <w:rsid w:val="00F14047"/>
    <w:rsid w:val="00F1490E"/>
    <w:rsid w:val="00F14AC9"/>
    <w:rsid w:val="00F152D6"/>
    <w:rsid w:val="00F1588B"/>
    <w:rsid w:val="00F159B9"/>
    <w:rsid w:val="00F15C7B"/>
    <w:rsid w:val="00F15EA4"/>
    <w:rsid w:val="00F1620C"/>
    <w:rsid w:val="00F17111"/>
    <w:rsid w:val="00F1754F"/>
    <w:rsid w:val="00F1755C"/>
    <w:rsid w:val="00F175FD"/>
    <w:rsid w:val="00F17781"/>
    <w:rsid w:val="00F178BE"/>
    <w:rsid w:val="00F17E1D"/>
    <w:rsid w:val="00F17FF9"/>
    <w:rsid w:val="00F20462"/>
    <w:rsid w:val="00F2065D"/>
    <w:rsid w:val="00F21B8C"/>
    <w:rsid w:val="00F21C72"/>
    <w:rsid w:val="00F21D0B"/>
    <w:rsid w:val="00F2210D"/>
    <w:rsid w:val="00F2216F"/>
    <w:rsid w:val="00F22578"/>
    <w:rsid w:val="00F23134"/>
    <w:rsid w:val="00F238D2"/>
    <w:rsid w:val="00F23AAB"/>
    <w:rsid w:val="00F2405E"/>
    <w:rsid w:val="00F2411C"/>
    <w:rsid w:val="00F24281"/>
    <w:rsid w:val="00F2450A"/>
    <w:rsid w:val="00F2465C"/>
    <w:rsid w:val="00F249D2"/>
    <w:rsid w:val="00F24C32"/>
    <w:rsid w:val="00F25109"/>
    <w:rsid w:val="00F25560"/>
    <w:rsid w:val="00F2581F"/>
    <w:rsid w:val="00F263D9"/>
    <w:rsid w:val="00F26475"/>
    <w:rsid w:val="00F26721"/>
    <w:rsid w:val="00F26865"/>
    <w:rsid w:val="00F26967"/>
    <w:rsid w:val="00F26D11"/>
    <w:rsid w:val="00F27156"/>
    <w:rsid w:val="00F273AE"/>
    <w:rsid w:val="00F2758F"/>
    <w:rsid w:val="00F279B8"/>
    <w:rsid w:val="00F27B13"/>
    <w:rsid w:val="00F3033A"/>
    <w:rsid w:val="00F3074E"/>
    <w:rsid w:val="00F30936"/>
    <w:rsid w:val="00F3115F"/>
    <w:rsid w:val="00F311BF"/>
    <w:rsid w:val="00F3175A"/>
    <w:rsid w:val="00F31CCE"/>
    <w:rsid w:val="00F31CD9"/>
    <w:rsid w:val="00F32149"/>
    <w:rsid w:val="00F3231E"/>
    <w:rsid w:val="00F32D6D"/>
    <w:rsid w:val="00F33681"/>
    <w:rsid w:val="00F3370B"/>
    <w:rsid w:val="00F33BD9"/>
    <w:rsid w:val="00F34707"/>
    <w:rsid w:val="00F34A91"/>
    <w:rsid w:val="00F34DCE"/>
    <w:rsid w:val="00F34F03"/>
    <w:rsid w:val="00F35039"/>
    <w:rsid w:val="00F35101"/>
    <w:rsid w:val="00F351DC"/>
    <w:rsid w:val="00F35BFD"/>
    <w:rsid w:val="00F35EBE"/>
    <w:rsid w:val="00F364A6"/>
    <w:rsid w:val="00F36EE2"/>
    <w:rsid w:val="00F3726A"/>
    <w:rsid w:val="00F37993"/>
    <w:rsid w:val="00F37DFB"/>
    <w:rsid w:val="00F404A2"/>
    <w:rsid w:val="00F40F05"/>
    <w:rsid w:val="00F41BA7"/>
    <w:rsid w:val="00F42613"/>
    <w:rsid w:val="00F427EB"/>
    <w:rsid w:val="00F42A7B"/>
    <w:rsid w:val="00F42B39"/>
    <w:rsid w:val="00F42C9B"/>
    <w:rsid w:val="00F43160"/>
    <w:rsid w:val="00F4323A"/>
    <w:rsid w:val="00F43817"/>
    <w:rsid w:val="00F43A48"/>
    <w:rsid w:val="00F43A75"/>
    <w:rsid w:val="00F43C2F"/>
    <w:rsid w:val="00F443C7"/>
    <w:rsid w:val="00F4444E"/>
    <w:rsid w:val="00F44657"/>
    <w:rsid w:val="00F44B7B"/>
    <w:rsid w:val="00F455F3"/>
    <w:rsid w:val="00F45CE7"/>
    <w:rsid w:val="00F45E2C"/>
    <w:rsid w:val="00F465B1"/>
    <w:rsid w:val="00F46756"/>
    <w:rsid w:val="00F46788"/>
    <w:rsid w:val="00F46A12"/>
    <w:rsid w:val="00F46A5E"/>
    <w:rsid w:val="00F46E18"/>
    <w:rsid w:val="00F47145"/>
    <w:rsid w:val="00F474C4"/>
    <w:rsid w:val="00F4755B"/>
    <w:rsid w:val="00F47572"/>
    <w:rsid w:val="00F477DE"/>
    <w:rsid w:val="00F47A07"/>
    <w:rsid w:val="00F47E33"/>
    <w:rsid w:val="00F502B4"/>
    <w:rsid w:val="00F50475"/>
    <w:rsid w:val="00F50A4F"/>
    <w:rsid w:val="00F51096"/>
    <w:rsid w:val="00F51413"/>
    <w:rsid w:val="00F515C9"/>
    <w:rsid w:val="00F51781"/>
    <w:rsid w:val="00F517B7"/>
    <w:rsid w:val="00F517FC"/>
    <w:rsid w:val="00F51994"/>
    <w:rsid w:val="00F51EE6"/>
    <w:rsid w:val="00F5247C"/>
    <w:rsid w:val="00F525CC"/>
    <w:rsid w:val="00F52858"/>
    <w:rsid w:val="00F52EC4"/>
    <w:rsid w:val="00F5331A"/>
    <w:rsid w:val="00F5354A"/>
    <w:rsid w:val="00F53720"/>
    <w:rsid w:val="00F53740"/>
    <w:rsid w:val="00F53817"/>
    <w:rsid w:val="00F538D8"/>
    <w:rsid w:val="00F53E5F"/>
    <w:rsid w:val="00F5406D"/>
    <w:rsid w:val="00F540C7"/>
    <w:rsid w:val="00F54129"/>
    <w:rsid w:val="00F5419A"/>
    <w:rsid w:val="00F545E0"/>
    <w:rsid w:val="00F545EE"/>
    <w:rsid w:val="00F546FD"/>
    <w:rsid w:val="00F54C51"/>
    <w:rsid w:val="00F54E1E"/>
    <w:rsid w:val="00F5501A"/>
    <w:rsid w:val="00F55251"/>
    <w:rsid w:val="00F553C5"/>
    <w:rsid w:val="00F5549C"/>
    <w:rsid w:val="00F55B06"/>
    <w:rsid w:val="00F55CAB"/>
    <w:rsid w:val="00F55DA0"/>
    <w:rsid w:val="00F55DF1"/>
    <w:rsid w:val="00F56007"/>
    <w:rsid w:val="00F562B4"/>
    <w:rsid w:val="00F564B1"/>
    <w:rsid w:val="00F56502"/>
    <w:rsid w:val="00F566AB"/>
    <w:rsid w:val="00F568AA"/>
    <w:rsid w:val="00F574D8"/>
    <w:rsid w:val="00F575E8"/>
    <w:rsid w:val="00F57956"/>
    <w:rsid w:val="00F57CEB"/>
    <w:rsid w:val="00F57E29"/>
    <w:rsid w:val="00F60330"/>
    <w:rsid w:val="00F6039C"/>
    <w:rsid w:val="00F609A0"/>
    <w:rsid w:val="00F60E04"/>
    <w:rsid w:val="00F61870"/>
    <w:rsid w:val="00F61893"/>
    <w:rsid w:val="00F61E8B"/>
    <w:rsid w:val="00F6236B"/>
    <w:rsid w:val="00F6288D"/>
    <w:rsid w:val="00F62E6F"/>
    <w:rsid w:val="00F630AF"/>
    <w:rsid w:val="00F632B5"/>
    <w:rsid w:val="00F633CD"/>
    <w:rsid w:val="00F63680"/>
    <w:rsid w:val="00F63A3C"/>
    <w:rsid w:val="00F63D77"/>
    <w:rsid w:val="00F63F6B"/>
    <w:rsid w:val="00F63FDF"/>
    <w:rsid w:val="00F64096"/>
    <w:rsid w:val="00F64964"/>
    <w:rsid w:val="00F64AEE"/>
    <w:rsid w:val="00F64D2F"/>
    <w:rsid w:val="00F6509A"/>
    <w:rsid w:val="00F6608E"/>
    <w:rsid w:val="00F6620B"/>
    <w:rsid w:val="00F6625F"/>
    <w:rsid w:val="00F66631"/>
    <w:rsid w:val="00F66722"/>
    <w:rsid w:val="00F66B82"/>
    <w:rsid w:val="00F66C8A"/>
    <w:rsid w:val="00F676F9"/>
    <w:rsid w:val="00F6775D"/>
    <w:rsid w:val="00F677EA"/>
    <w:rsid w:val="00F679DE"/>
    <w:rsid w:val="00F67D52"/>
    <w:rsid w:val="00F67DD2"/>
    <w:rsid w:val="00F70308"/>
    <w:rsid w:val="00F703BD"/>
    <w:rsid w:val="00F705EC"/>
    <w:rsid w:val="00F70602"/>
    <w:rsid w:val="00F70669"/>
    <w:rsid w:val="00F70F5B"/>
    <w:rsid w:val="00F7165F"/>
    <w:rsid w:val="00F71A12"/>
    <w:rsid w:val="00F71B1C"/>
    <w:rsid w:val="00F71B30"/>
    <w:rsid w:val="00F721F0"/>
    <w:rsid w:val="00F72482"/>
    <w:rsid w:val="00F72977"/>
    <w:rsid w:val="00F73476"/>
    <w:rsid w:val="00F7348B"/>
    <w:rsid w:val="00F73E97"/>
    <w:rsid w:val="00F73FA8"/>
    <w:rsid w:val="00F740C0"/>
    <w:rsid w:val="00F74539"/>
    <w:rsid w:val="00F74863"/>
    <w:rsid w:val="00F748AA"/>
    <w:rsid w:val="00F74E51"/>
    <w:rsid w:val="00F74F33"/>
    <w:rsid w:val="00F76162"/>
    <w:rsid w:val="00F761D4"/>
    <w:rsid w:val="00F764D0"/>
    <w:rsid w:val="00F764E9"/>
    <w:rsid w:val="00F76590"/>
    <w:rsid w:val="00F7665B"/>
    <w:rsid w:val="00F7688B"/>
    <w:rsid w:val="00F76C10"/>
    <w:rsid w:val="00F77977"/>
    <w:rsid w:val="00F77A4A"/>
    <w:rsid w:val="00F77A59"/>
    <w:rsid w:val="00F77DB5"/>
    <w:rsid w:val="00F80764"/>
    <w:rsid w:val="00F807EB"/>
    <w:rsid w:val="00F808CE"/>
    <w:rsid w:val="00F80A72"/>
    <w:rsid w:val="00F810C3"/>
    <w:rsid w:val="00F81370"/>
    <w:rsid w:val="00F816C4"/>
    <w:rsid w:val="00F81A28"/>
    <w:rsid w:val="00F81E5A"/>
    <w:rsid w:val="00F81FDD"/>
    <w:rsid w:val="00F821E8"/>
    <w:rsid w:val="00F82A66"/>
    <w:rsid w:val="00F82DD4"/>
    <w:rsid w:val="00F838D2"/>
    <w:rsid w:val="00F83BCA"/>
    <w:rsid w:val="00F83BCC"/>
    <w:rsid w:val="00F84160"/>
    <w:rsid w:val="00F844F2"/>
    <w:rsid w:val="00F84799"/>
    <w:rsid w:val="00F84C50"/>
    <w:rsid w:val="00F85925"/>
    <w:rsid w:val="00F85B3C"/>
    <w:rsid w:val="00F85F3E"/>
    <w:rsid w:val="00F865DF"/>
    <w:rsid w:val="00F86F69"/>
    <w:rsid w:val="00F871F7"/>
    <w:rsid w:val="00F8758B"/>
    <w:rsid w:val="00F87700"/>
    <w:rsid w:val="00F87947"/>
    <w:rsid w:val="00F87F06"/>
    <w:rsid w:val="00F900C1"/>
    <w:rsid w:val="00F9096C"/>
    <w:rsid w:val="00F90AC7"/>
    <w:rsid w:val="00F90CEE"/>
    <w:rsid w:val="00F9153D"/>
    <w:rsid w:val="00F91ADB"/>
    <w:rsid w:val="00F92078"/>
    <w:rsid w:val="00F9208C"/>
    <w:rsid w:val="00F9219F"/>
    <w:rsid w:val="00F924AD"/>
    <w:rsid w:val="00F92F39"/>
    <w:rsid w:val="00F93032"/>
    <w:rsid w:val="00F930BC"/>
    <w:rsid w:val="00F934ED"/>
    <w:rsid w:val="00F93A88"/>
    <w:rsid w:val="00F93D58"/>
    <w:rsid w:val="00F942DB"/>
    <w:rsid w:val="00F94560"/>
    <w:rsid w:val="00F946C9"/>
    <w:rsid w:val="00F94C1F"/>
    <w:rsid w:val="00F94FCA"/>
    <w:rsid w:val="00F9509C"/>
    <w:rsid w:val="00F95449"/>
    <w:rsid w:val="00F9562F"/>
    <w:rsid w:val="00F956D6"/>
    <w:rsid w:val="00F956F9"/>
    <w:rsid w:val="00F957B7"/>
    <w:rsid w:val="00F95A96"/>
    <w:rsid w:val="00F95B1C"/>
    <w:rsid w:val="00F960CD"/>
    <w:rsid w:val="00F96281"/>
    <w:rsid w:val="00F9680A"/>
    <w:rsid w:val="00F96869"/>
    <w:rsid w:val="00F9686B"/>
    <w:rsid w:val="00F96A38"/>
    <w:rsid w:val="00F96B17"/>
    <w:rsid w:val="00F96CBA"/>
    <w:rsid w:val="00F96E18"/>
    <w:rsid w:val="00F9701E"/>
    <w:rsid w:val="00F9751F"/>
    <w:rsid w:val="00F97943"/>
    <w:rsid w:val="00F97E6C"/>
    <w:rsid w:val="00FA0351"/>
    <w:rsid w:val="00FA0F6F"/>
    <w:rsid w:val="00FA1134"/>
    <w:rsid w:val="00FA16B9"/>
    <w:rsid w:val="00FA1726"/>
    <w:rsid w:val="00FA1980"/>
    <w:rsid w:val="00FA1D87"/>
    <w:rsid w:val="00FA284D"/>
    <w:rsid w:val="00FA296B"/>
    <w:rsid w:val="00FA2FFA"/>
    <w:rsid w:val="00FA3470"/>
    <w:rsid w:val="00FA3B3A"/>
    <w:rsid w:val="00FA42D5"/>
    <w:rsid w:val="00FA45E6"/>
    <w:rsid w:val="00FA4688"/>
    <w:rsid w:val="00FA48B7"/>
    <w:rsid w:val="00FA5060"/>
    <w:rsid w:val="00FA50F9"/>
    <w:rsid w:val="00FA5574"/>
    <w:rsid w:val="00FA5580"/>
    <w:rsid w:val="00FA558C"/>
    <w:rsid w:val="00FA5B47"/>
    <w:rsid w:val="00FA5C3E"/>
    <w:rsid w:val="00FA6138"/>
    <w:rsid w:val="00FA6649"/>
    <w:rsid w:val="00FA66B1"/>
    <w:rsid w:val="00FA6982"/>
    <w:rsid w:val="00FA6FDB"/>
    <w:rsid w:val="00FA7140"/>
    <w:rsid w:val="00FA7211"/>
    <w:rsid w:val="00FA72E3"/>
    <w:rsid w:val="00FA7CC5"/>
    <w:rsid w:val="00FA7D6D"/>
    <w:rsid w:val="00FA7E55"/>
    <w:rsid w:val="00FA7F80"/>
    <w:rsid w:val="00FB01A0"/>
    <w:rsid w:val="00FB08FC"/>
    <w:rsid w:val="00FB0D95"/>
    <w:rsid w:val="00FB23A3"/>
    <w:rsid w:val="00FB26F2"/>
    <w:rsid w:val="00FB270D"/>
    <w:rsid w:val="00FB2909"/>
    <w:rsid w:val="00FB2C62"/>
    <w:rsid w:val="00FB2F0D"/>
    <w:rsid w:val="00FB32B9"/>
    <w:rsid w:val="00FB38F2"/>
    <w:rsid w:val="00FB3B9A"/>
    <w:rsid w:val="00FB435C"/>
    <w:rsid w:val="00FB45F6"/>
    <w:rsid w:val="00FB4B19"/>
    <w:rsid w:val="00FB4CDD"/>
    <w:rsid w:val="00FB5287"/>
    <w:rsid w:val="00FB5789"/>
    <w:rsid w:val="00FB5B35"/>
    <w:rsid w:val="00FB62AA"/>
    <w:rsid w:val="00FB6858"/>
    <w:rsid w:val="00FB6928"/>
    <w:rsid w:val="00FB6AB1"/>
    <w:rsid w:val="00FB6EB9"/>
    <w:rsid w:val="00FB6ECD"/>
    <w:rsid w:val="00FB6F2E"/>
    <w:rsid w:val="00FB6F82"/>
    <w:rsid w:val="00FB7190"/>
    <w:rsid w:val="00FB731C"/>
    <w:rsid w:val="00FB76C8"/>
    <w:rsid w:val="00FB76E5"/>
    <w:rsid w:val="00FB7A17"/>
    <w:rsid w:val="00FC030F"/>
    <w:rsid w:val="00FC092D"/>
    <w:rsid w:val="00FC0D64"/>
    <w:rsid w:val="00FC137A"/>
    <w:rsid w:val="00FC158F"/>
    <w:rsid w:val="00FC1D68"/>
    <w:rsid w:val="00FC1E65"/>
    <w:rsid w:val="00FC2119"/>
    <w:rsid w:val="00FC37C5"/>
    <w:rsid w:val="00FC3893"/>
    <w:rsid w:val="00FC3BC2"/>
    <w:rsid w:val="00FC3D1F"/>
    <w:rsid w:val="00FC426A"/>
    <w:rsid w:val="00FC4326"/>
    <w:rsid w:val="00FC4B88"/>
    <w:rsid w:val="00FC4C25"/>
    <w:rsid w:val="00FC4F30"/>
    <w:rsid w:val="00FC5426"/>
    <w:rsid w:val="00FC5AD5"/>
    <w:rsid w:val="00FC5BF2"/>
    <w:rsid w:val="00FC5D55"/>
    <w:rsid w:val="00FC5E15"/>
    <w:rsid w:val="00FC5F7A"/>
    <w:rsid w:val="00FC6103"/>
    <w:rsid w:val="00FC6371"/>
    <w:rsid w:val="00FC657E"/>
    <w:rsid w:val="00FC6872"/>
    <w:rsid w:val="00FC6B31"/>
    <w:rsid w:val="00FC6C2F"/>
    <w:rsid w:val="00FC6C40"/>
    <w:rsid w:val="00FC6D65"/>
    <w:rsid w:val="00FC736F"/>
    <w:rsid w:val="00FC7D05"/>
    <w:rsid w:val="00FC7E74"/>
    <w:rsid w:val="00FD020F"/>
    <w:rsid w:val="00FD04E9"/>
    <w:rsid w:val="00FD09EE"/>
    <w:rsid w:val="00FD0BD2"/>
    <w:rsid w:val="00FD1304"/>
    <w:rsid w:val="00FD13FA"/>
    <w:rsid w:val="00FD1421"/>
    <w:rsid w:val="00FD19EA"/>
    <w:rsid w:val="00FD1FF2"/>
    <w:rsid w:val="00FD24E5"/>
    <w:rsid w:val="00FD2986"/>
    <w:rsid w:val="00FD31E6"/>
    <w:rsid w:val="00FD3590"/>
    <w:rsid w:val="00FD41D8"/>
    <w:rsid w:val="00FD437B"/>
    <w:rsid w:val="00FD446E"/>
    <w:rsid w:val="00FD4626"/>
    <w:rsid w:val="00FD4881"/>
    <w:rsid w:val="00FD5525"/>
    <w:rsid w:val="00FD5553"/>
    <w:rsid w:val="00FD56F5"/>
    <w:rsid w:val="00FD58D9"/>
    <w:rsid w:val="00FD5B0B"/>
    <w:rsid w:val="00FD5C08"/>
    <w:rsid w:val="00FD5CF6"/>
    <w:rsid w:val="00FD60F3"/>
    <w:rsid w:val="00FD6209"/>
    <w:rsid w:val="00FD6996"/>
    <w:rsid w:val="00FD7798"/>
    <w:rsid w:val="00FD7917"/>
    <w:rsid w:val="00FD7B33"/>
    <w:rsid w:val="00FD7CC4"/>
    <w:rsid w:val="00FD7EC9"/>
    <w:rsid w:val="00FE036D"/>
    <w:rsid w:val="00FE0B2E"/>
    <w:rsid w:val="00FE14EC"/>
    <w:rsid w:val="00FE1887"/>
    <w:rsid w:val="00FE1ECC"/>
    <w:rsid w:val="00FE2122"/>
    <w:rsid w:val="00FE23B6"/>
    <w:rsid w:val="00FE29AA"/>
    <w:rsid w:val="00FE2D10"/>
    <w:rsid w:val="00FE3067"/>
    <w:rsid w:val="00FE3957"/>
    <w:rsid w:val="00FE3A5A"/>
    <w:rsid w:val="00FE3EC2"/>
    <w:rsid w:val="00FE3F6B"/>
    <w:rsid w:val="00FE4003"/>
    <w:rsid w:val="00FE4E99"/>
    <w:rsid w:val="00FE519B"/>
    <w:rsid w:val="00FE53A1"/>
    <w:rsid w:val="00FE5673"/>
    <w:rsid w:val="00FE5866"/>
    <w:rsid w:val="00FE60CA"/>
    <w:rsid w:val="00FE60D6"/>
    <w:rsid w:val="00FE692B"/>
    <w:rsid w:val="00FE6AC5"/>
    <w:rsid w:val="00FE6D55"/>
    <w:rsid w:val="00FE6E8C"/>
    <w:rsid w:val="00FE6EA1"/>
    <w:rsid w:val="00FE6F14"/>
    <w:rsid w:val="00FE7437"/>
    <w:rsid w:val="00FE799B"/>
    <w:rsid w:val="00FE7EBD"/>
    <w:rsid w:val="00FF09D0"/>
    <w:rsid w:val="00FF0A58"/>
    <w:rsid w:val="00FF0A75"/>
    <w:rsid w:val="00FF0FBF"/>
    <w:rsid w:val="00FF1241"/>
    <w:rsid w:val="00FF14E7"/>
    <w:rsid w:val="00FF1892"/>
    <w:rsid w:val="00FF1915"/>
    <w:rsid w:val="00FF198C"/>
    <w:rsid w:val="00FF1A9B"/>
    <w:rsid w:val="00FF2C6E"/>
    <w:rsid w:val="00FF2E3D"/>
    <w:rsid w:val="00FF32FB"/>
    <w:rsid w:val="00FF3986"/>
    <w:rsid w:val="00FF3A27"/>
    <w:rsid w:val="00FF3AB2"/>
    <w:rsid w:val="00FF3CB7"/>
    <w:rsid w:val="00FF3F46"/>
    <w:rsid w:val="00FF409C"/>
    <w:rsid w:val="00FF43D5"/>
    <w:rsid w:val="00FF4FEE"/>
    <w:rsid w:val="00FF52F7"/>
    <w:rsid w:val="00FF5417"/>
    <w:rsid w:val="00FF5869"/>
    <w:rsid w:val="00FF5ADC"/>
    <w:rsid w:val="00FF5B3D"/>
    <w:rsid w:val="00FF5C6B"/>
    <w:rsid w:val="00FF5CAC"/>
    <w:rsid w:val="00FF5EEB"/>
    <w:rsid w:val="00FF6186"/>
    <w:rsid w:val="00FF65BC"/>
    <w:rsid w:val="00FF6A62"/>
    <w:rsid w:val="00FF6B1B"/>
    <w:rsid w:val="00FF703D"/>
    <w:rsid w:val="00FF711A"/>
    <w:rsid w:val="00FF7128"/>
    <w:rsid w:val="00FF7144"/>
    <w:rsid w:val="00FF7151"/>
    <w:rsid w:val="00FF71DE"/>
    <w:rsid w:val="00FF7592"/>
    <w:rsid w:val="00FF770B"/>
    <w:rsid w:val="00FF78EA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94F23A2"/>
  <w15:docId w15:val="{F2AA7209-E99A-4B08-ACEC-CCC79E0A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21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link w:val="Heading1Char"/>
    <w:qFormat/>
    <w:rsid w:val="00F968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661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6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16A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16A5A"/>
    <w:pPr>
      <w:tabs>
        <w:tab w:val="center" w:pos="4153"/>
        <w:tab w:val="right" w:pos="8306"/>
      </w:tabs>
    </w:pPr>
  </w:style>
  <w:style w:type="character" w:styleId="Hyperlink">
    <w:name w:val="Hyperlink"/>
    <w:rsid w:val="00C61CDA"/>
    <w:rPr>
      <w:rFonts w:ascii="Verdana" w:hAnsi="Verdana"/>
      <w:color w:val="000080"/>
      <w:sz w:val="18"/>
      <w:szCs w:val="18"/>
      <w:u w:val="single" w:color="000080"/>
    </w:rPr>
  </w:style>
  <w:style w:type="character" w:styleId="FollowedHyperlink">
    <w:name w:val="FollowedHyperlink"/>
    <w:rsid w:val="00C61CDA"/>
    <w:rPr>
      <w:rFonts w:ascii="Verdana" w:hAnsi="Verdana"/>
      <w:color w:val="800080"/>
      <w:sz w:val="18"/>
      <w:szCs w:val="18"/>
      <w:u w:val="single" w:color="800080"/>
    </w:rPr>
  </w:style>
  <w:style w:type="paragraph" w:styleId="BalloonText">
    <w:name w:val="Balloon Text"/>
    <w:basedOn w:val="Normal"/>
    <w:semiHidden/>
    <w:rsid w:val="00B537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397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rsid w:val="00C273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73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273F9"/>
  </w:style>
  <w:style w:type="paragraph" w:styleId="CommentSubject">
    <w:name w:val="annotation subject"/>
    <w:basedOn w:val="CommentText"/>
    <w:next w:val="CommentText"/>
    <w:link w:val="CommentSubjectChar"/>
    <w:rsid w:val="00C273F9"/>
    <w:rPr>
      <w:b/>
      <w:bCs/>
    </w:rPr>
  </w:style>
  <w:style w:type="character" w:customStyle="1" w:styleId="CommentSubjectChar">
    <w:name w:val="Comment Subject Char"/>
    <w:link w:val="CommentSubject"/>
    <w:rsid w:val="00C273F9"/>
    <w:rPr>
      <w:b/>
      <w:bCs/>
    </w:rPr>
  </w:style>
  <w:style w:type="character" w:customStyle="1" w:styleId="Heading3Char">
    <w:name w:val="Heading 3 Char"/>
    <w:link w:val="Heading3"/>
    <w:semiHidden/>
    <w:rsid w:val="009661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1Char">
    <w:name w:val="Heading 1 Char"/>
    <w:link w:val="Heading1"/>
    <w:rsid w:val="00F968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Explanatorytext">
    <w:name w:val="Explanatory text"/>
    <w:basedOn w:val="Normal"/>
    <w:link w:val="ExplanatorytextChar"/>
    <w:qFormat/>
    <w:rsid w:val="00CD021E"/>
    <w:pPr>
      <w:tabs>
        <w:tab w:val="center" w:pos="3152"/>
      </w:tabs>
    </w:pPr>
    <w:rPr>
      <w:rFonts w:cs="Arial"/>
      <w:sz w:val="16"/>
      <w:szCs w:val="19"/>
      <w:lang w:val="en-US"/>
    </w:rPr>
  </w:style>
  <w:style w:type="character" w:customStyle="1" w:styleId="ExplanatorytextChar">
    <w:name w:val="Explanatory text Char"/>
    <w:basedOn w:val="DefaultParagraphFont"/>
    <w:link w:val="Explanatorytext"/>
    <w:rsid w:val="00CD021E"/>
    <w:rPr>
      <w:rFonts w:ascii="Arial" w:hAnsi="Arial" w:cs="Arial"/>
      <w:sz w:val="16"/>
      <w:szCs w:val="19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04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s.nhs.uk" TargetMode="Externa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products.mhra.gov.uk/search/?search=xolair&amp;page=1&amp;doc=Spc&amp;rerouteType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ducts.mhra.gov.uk/search/?search=xolair&amp;page=1&amp;doc=Spc&amp;rerouteType=0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products.mhra.gov.uk/search/?search=amgevita+hcf&amp;page=1&amp;doc=Spc&amp;rerouteType=0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mailto:nwmedinfo@nhs.net?subject=New%20Medicines%20Newsletter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kmi.nhs.uk/nd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wmedinfo@nhs.net?subject=New%20Medicines%20Newslette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wmedinfo@nhs.net?subject=New%20Medicines%20Newslette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ps.nhs.uk/articles/sps-horizon-scanning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2.jpeg"/><Relationship Id="rId4" Type="http://schemas.openxmlformats.org/officeDocument/2006/relationships/hyperlink" Target="https://www.sps.nhs.uk/home/planning/annual-medicines-planning/" TargetMode="Externa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PPU\MedicinesInfo\Publications%20NWMIC\New%20Medicines%20News%20(incl%20Clinical%20Pharmacist)\Admin\New%20Medicines%20News%20templat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6E074-DAC3-464B-8E55-38477415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Medicines News template 2024</Template>
  <TotalTime>30</TotalTime>
  <Pages>3</Pages>
  <Words>1619</Words>
  <Characters>10356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NDO home | Contact | Register for NDO access</vt:lpstr>
    </vt:vector>
  </TitlesOfParts>
  <Company>NMHIS</Company>
  <LinksUpToDate>false</LinksUpToDate>
  <CharactersWithSpaces>11952</CharactersWithSpaces>
  <SharedDoc>false</SharedDoc>
  <HLinks>
    <vt:vector size="498" baseType="variant">
      <vt:variant>
        <vt:i4>458841</vt:i4>
      </vt:variant>
      <vt:variant>
        <vt:i4>228</vt:i4>
      </vt:variant>
      <vt:variant>
        <vt:i4>0</vt:i4>
      </vt:variant>
      <vt:variant>
        <vt:i4>5</vt:i4>
      </vt:variant>
      <vt:variant>
        <vt:lpwstr>https://www.sps.nhs.uk/medicines/zuranolone/</vt:lpwstr>
      </vt:variant>
      <vt:variant>
        <vt:lpwstr/>
      </vt:variant>
      <vt:variant>
        <vt:i4>7602219</vt:i4>
      </vt:variant>
      <vt:variant>
        <vt:i4>225</vt:i4>
      </vt:variant>
      <vt:variant>
        <vt:i4>0</vt:i4>
      </vt:variant>
      <vt:variant>
        <vt:i4>5</vt:i4>
      </vt:variant>
      <vt:variant>
        <vt:lpwstr>https://www.sps.nhs.uk/medicines/zoliflodacin/</vt:lpwstr>
      </vt:variant>
      <vt:variant>
        <vt:lpwstr/>
      </vt:variant>
      <vt:variant>
        <vt:i4>8323111</vt:i4>
      </vt:variant>
      <vt:variant>
        <vt:i4>222</vt:i4>
      </vt:variant>
      <vt:variant>
        <vt:i4>0</vt:i4>
      </vt:variant>
      <vt:variant>
        <vt:i4>5</vt:i4>
      </vt:variant>
      <vt:variant>
        <vt:lpwstr>https://www.sps.nhs.uk/medicines/upadacitinib/</vt:lpwstr>
      </vt:variant>
      <vt:variant>
        <vt:lpwstr/>
      </vt:variant>
      <vt:variant>
        <vt:i4>5570648</vt:i4>
      </vt:variant>
      <vt:variant>
        <vt:i4>219</vt:i4>
      </vt:variant>
      <vt:variant>
        <vt:i4>0</vt:i4>
      </vt:variant>
      <vt:variant>
        <vt:i4>5</vt:i4>
      </vt:variant>
      <vt:variant>
        <vt:lpwstr>https://www.sps.nhs.uk/medicines/sep-363856/</vt:lpwstr>
      </vt:variant>
      <vt:variant>
        <vt:lpwstr/>
      </vt:variant>
      <vt:variant>
        <vt:i4>131160</vt:i4>
      </vt:variant>
      <vt:variant>
        <vt:i4>216</vt:i4>
      </vt:variant>
      <vt:variant>
        <vt:i4>0</vt:i4>
      </vt:variant>
      <vt:variant>
        <vt:i4>5</vt:i4>
      </vt:variant>
      <vt:variant>
        <vt:lpwstr>https://www.sps.nhs.uk/medicines/padesvonil/</vt:lpwstr>
      </vt:variant>
      <vt:variant>
        <vt:lpwstr/>
      </vt:variant>
      <vt:variant>
        <vt:i4>4456520</vt:i4>
      </vt:variant>
      <vt:variant>
        <vt:i4>213</vt:i4>
      </vt:variant>
      <vt:variant>
        <vt:i4>0</vt:i4>
      </vt:variant>
      <vt:variant>
        <vt:i4>5</vt:i4>
      </vt:variant>
      <vt:variant>
        <vt:lpwstr>https://www.sps.nhs.uk/medicines/opiranserin/</vt:lpwstr>
      </vt:variant>
      <vt:variant>
        <vt:lpwstr/>
      </vt:variant>
      <vt:variant>
        <vt:i4>2555944</vt:i4>
      </vt:variant>
      <vt:variant>
        <vt:i4>210</vt:i4>
      </vt:variant>
      <vt:variant>
        <vt:i4>0</vt:i4>
      </vt:variant>
      <vt:variant>
        <vt:i4>5</vt:i4>
      </vt:variant>
      <vt:variant>
        <vt:lpwstr>https://www.sps.nhs.uk/medicines/mitapivat/</vt:lpwstr>
      </vt:variant>
      <vt:variant>
        <vt:lpwstr/>
      </vt:variant>
      <vt:variant>
        <vt:i4>393288</vt:i4>
      </vt:variant>
      <vt:variant>
        <vt:i4>207</vt:i4>
      </vt:variant>
      <vt:variant>
        <vt:i4>0</vt:i4>
      </vt:variant>
      <vt:variant>
        <vt:i4>5</vt:i4>
      </vt:variant>
      <vt:variant>
        <vt:lpwstr>https://www.sps.nhs.uk/medicines/linzagolix/</vt:lpwstr>
      </vt:variant>
      <vt:variant>
        <vt:lpwstr/>
      </vt:variant>
      <vt:variant>
        <vt:i4>3604520</vt:i4>
      </vt:variant>
      <vt:variant>
        <vt:i4>204</vt:i4>
      </vt:variant>
      <vt:variant>
        <vt:i4>0</vt:i4>
      </vt:variant>
      <vt:variant>
        <vt:i4>5</vt:i4>
      </vt:variant>
      <vt:variant>
        <vt:lpwstr>https://www.sps.nhs.uk/medicines/leriglitazone/</vt:lpwstr>
      </vt:variant>
      <vt:variant>
        <vt:lpwstr/>
      </vt:variant>
      <vt:variant>
        <vt:i4>7929889</vt:i4>
      </vt:variant>
      <vt:variant>
        <vt:i4>201</vt:i4>
      </vt:variant>
      <vt:variant>
        <vt:i4>0</vt:i4>
      </vt:variant>
      <vt:variant>
        <vt:i4>5</vt:i4>
      </vt:variant>
      <vt:variant>
        <vt:lpwstr>https://www.sps.nhs.uk/medicines/lebrikizumab/</vt:lpwstr>
      </vt:variant>
      <vt:variant>
        <vt:lpwstr/>
      </vt:variant>
      <vt:variant>
        <vt:i4>524381</vt:i4>
      </vt:variant>
      <vt:variant>
        <vt:i4>198</vt:i4>
      </vt:variant>
      <vt:variant>
        <vt:i4>0</vt:i4>
      </vt:variant>
      <vt:variant>
        <vt:i4>5</vt:i4>
      </vt:variant>
      <vt:variant>
        <vt:lpwstr>https://www.sps.nhs.uk/medicines/glatiramer/</vt:lpwstr>
      </vt:variant>
      <vt:variant>
        <vt:lpwstr/>
      </vt:variant>
      <vt:variant>
        <vt:i4>5832790</vt:i4>
      </vt:variant>
      <vt:variant>
        <vt:i4>195</vt:i4>
      </vt:variant>
      <vt:variant>
        <vt:i4>0</vt:i4>
      </vt:variant>
      <vt:variant>
        <vt:i4>5</vt:i4>
      </vt:variant>
      <vt:variant>
        <vt:lpwstr>https://www.sps.nhs.uk/medicines/fcr-001/</vt:lpwstr>
      </vt:variant>
      <vt:variant>
        <vt:lpwstr/>
      </vt:variant>
      <vt:variant>
        <vt:i4>3080232</vt:i4>
      </vt:variant>
      <vt:variant>
        <vt:i4>192</vt:i4>
      </vt:variant>
      <vt:variant>
        <vt:i4>0</vt:i4>
      </vt:variant>
      <vt:variant>
        <vt:i4>5</vt:i4>
      </vt:variant>
      <vt:variant>
        <vt:lpwstr>https://www.sps.nhs.uk/medicines/empagliflozin/</vt:lpwstr>
      </vt:variant>
      <vt:variant>
        <vt:lpwstr/>
      </vt:variant>
      <vt:variant>
        <vt:i4>2752551</vt:i4>
      </vt:variant>
      <vt:variant>
        <vt:i4>189</vt:i4>
      </vt:variant>
      <vt:variant>
        <vt:i4>0</vt:i4>
      </vt:variant>
      <vt:variant>
        <vt:i4>5</vt:i4>
      </vt:variant>
      <vt:variant>
        <vt:lpwstr>https://www.sps.nhs.uk/medicines/diazoxide/</vt:lpwstr>
      </vt:variant>
      <vt:variant>
        <vt:lpwstr/>
      </vt:variant>
      <vt:variant>
        <vt:i4>6815782</vt:i4>
      </vt:variant>
      <vt:variant>
        <vt:i4>186</vt:i4>
      </vt:variant>
      <vt:variant>
        <vt:i4>0</vt:i4>
      </vt:variant>
      <vt:variant>
        <vt:i4>5</vt:i4>
      </vt:variant>
      <vt:variant>
        <vt:lpwstr>https://www.sps.nhs.uk/medicines/dasiglucagon/</vt:lpwstr>
      </vt:variant>
      <vt:variant>
        <vt:lpwstr/>
      </vt:variant>
      <vt:variant>
        <vt:i4>4194380</vt:i4>
      </vt:variant>
      <vt:variant>
        <vt:i4>183</vt:i4>
      </vt:variant>
      <vt:variant>
        <vt:i4>0</vt:i4>
      </vt:variant>
      <vt:variant>
        <vt:i4>5</vt:i4>
      </vt:variant>
      <vt:variant>
        <vt:lpwstr>https://www.sps.nhs.uk/medicines/cyclobenzaprine/</vt:lpwstr>
      </vt:variant>
      <vt:variant>
        <vt:lpwstr/>
      </vt:variant>
      <vt:variant>
        <vt:i4>1179733</vt:i4>
      </vt:variant>
      <vt:variant>
        <vt:i4>180</vt:i4>
      </vt:variant>
      <vt:variant>
        <vt:i4>0</vt:i4>
      </vt:variant>
      <vt:variant>
        <vt:i4>5</vt:i4>
      </vt:variant>
      <vt:variant>
        <vt:lpwstr>https://www.sps.nhs.uk/medicines/bumetanide/</vt:lpwstr>
      </vt:variant>
      <vt:variant>
        <vt:lpwstr/>
      </vt:variant>
      <vt:variant>
        <vt:i4>1835099</vt:i4>
      </vt:variant>
      <vt:variant>
        <vt:i4>177</vt:i4>
      </vt:variant>
      <vt:variant>
        <vt:i4>0</vt:i4>
      </vt:variant>
      <vt:variant>
        <vt:i4>5</vt:i4>
      </vt:variant>
      <vt:variant>
        <vt:lpwstr>https://www.sps.nhs.uk/medicines/budesonide/</vt:lpwstr>
      </vt:variant>
      <vt:variant>
        <vt:lpwstr/>
      </vt:variant>
      <vt:variant>
        <vt:i4>1638427</vt:i4>
      </vt:variant>
      <vt:variant>
        <vt:i4>174</vt:i4>
      </vt:variant>
      <vt:variant>
        <vt:i4>0</vt:i4>
      </vt:variant>
      <vt:variant>
        <vt:i4>5</vt:i4>
      </vt:variant>
      <vt:variant>
        <vt:lpwstr>https://www.sps.nhs.uk/medicines/bardoxolone-methyl/</vt:lpwstr>
      </vt:variant>
      <vt:variant>
        <vt:lpwstr/>
      </vt:variant>
      <vt:variant>
        <vt:i4>5767195</vt:i4>
      </vt:variant>
      <vt:variant>
        <vt:i4>171</vt:i4>
      </vt:variant>
      <vt:variant>
        <vt:i4>0</vt:i4>
      </vt:variant>
      <vt:variant>
        <vt:i4>5</vt:i4>
      </vt:variant>
      <vt:variant>
        <vt:lpwstr>https://www.sps.nhs.uk/medicines/autologous-bm-derived-stem-cell-therapy/</vt:lpwstr>
      </vt:variant>
      <vt:variant>
        <vt:lpwstr/>
      </vt:variant>
      <vt:variant>
        <vt:i4>4587591</vt:i4>
      </vt:variant>
      <vt:variant>
        <vt:i4>168</vt:i4>
      </vt:variant>
      <vt:variant>
        <vt:i4>0</vt:i4>
      </vt:variant>
      <vt:variant>
        <vt:i4>5</vt:i4>
      </vt:variant>
      <vt:variant>
        <vt:lpwstr>https://www.sps.nhs.uk/medicines/at-gtx-501/</vt:lpwstr>
      </vt:variant>
      <vt:variant>
        <vt:lpwstr/>
      </vt:variant>
      <vt:variant>
        <vt:i4>7864359</vt:i4>
      </vt:variant>
      <vt:variant>
        <vt:i4>165</vt:i4>
      </vt:variant>
      <vt:variant>
        <vt:i4>0</vt:i4>
      </vt:variant>
      <vt:variant>
        <vt:i4>5</vt:i4>
      </vt:variant>
      <vt:variant>
        <vt:lpwstr>https://www.sps.nhs.uk/medicines/telapristone/</vt:lpwstr>
      </vt:variant>
      <vt:variant>
        <vt:lpwstr/>
      </vt:variant>
      <vt:variant>
        <vt:i4>7864359</vt:i4>
      </vt:variant>
      <vt:variant>
        <vt:i4>162</vt:i4>
      </vt:variant>
      <vt:variant>
        <vt:i4>0</vt:i4>
      </vt:variant>
      <vt:variant>
        <vt:i4>5</vt:i4>
      </vt:variant>
      <vt:variant>
        <vt:lpwstr>https://www.sps.nhs.uk/medicines/telapristone/</vt:lpwstr>
      </vt:variant>
      <vt:variant>
        <vt:lpwstr/>
      </vt:variant>
      <vt:variant>
        <vt:i4>1769490</vt:i4>
      </vt:variant>
      <vt:variant>
        <vt:i4>159</vt:i4>
      </vt:variant>
      <vt:variant>
        <vt:i4>0</vt:i4>
      </vt:variant>
      <vt:variant>
        <vt:i4>5</vt:i4>
      </vt:variant>
      <vt:variant>
        <vt:lpwstr>https://www.sps.nhs.uk/medicines/t-cell-replacement-therapy/</vt:lpwstr>
      </vt:variant>
      <vt:variant>
        <vt:lpwstr/>
      </vt:variant>
      <vt:variant>
        <vt:i4>1245262</vt:i4>
      </vt:variant>
      <vt:variant>
        <vt:i4>156</vt:i4>
      </vt:variant>
      <vt:variant>
        <vt:i4>0</vt:i4>
      </vt:variant>
      <vt:variant>
        <vt:i4>5</vt:i4>
      </vt:variant>
      <vt:variant>
        <vt:lpwstr>https://www.sps.nhs.uk/medicines/salmeterol/</vt:lpwstr>
      </vt:variant>
      <vt:variant>
        <vt:lpwstr/>
      </vt:variant>
      <vt:variant>
        <vt:i4>1966174</vt:i4>
      </vt:variant>
      <vt:variant>
        <vt:i4>153</vt:i4>
      </vt:variant>
      <vt:variant>
        <vt:i4>0</vt:i4>
      </vt:variant>
      <vt:variant>
        <vt:i4>5</vt:i4>
      </vt:variant>
      <vt:variant>
        <vt:lpwstr>https://www.sps.nhs.uk/medicines/rapastinel/</vt:lpwstr>
      </vt:variant>
      <vt:variant>
        <vt:lpwstr/>
      </vt:variant>
      <vt:variant>
        <vt:i4>3276927</vt:i4>
      </vt:variant>
      <vt:variant>
        <vt:i4>150</vt:i4>
      </vt:variant>
      <vt:variant>
        <vt:i4>0</vt:i4>
      </vt:variant>
      <vt:variant>
        <vt:i4>5</vt:i4>
      </vt:variant>
      <vt:variant>
        <vt:lpwstr>https://www.sps.nhs.uk/medicines/pegylated-recombinant-human-hyaluronidase/</vt:lpwstr>
      </vt:variant>
      <vt:variant>
        <vt:lpwstr/>
      </vt:variant>
      <vt:variant>
        <vt:i4>4849741</vt:i4>
      </vt:variant>
      <vt:variant>
        <vt:i4>147</vt:i4>
      </vt:variant>
      <vt:variant>
        <vt:i4>0</vt:i4>
      </vt:variant>
      <vt:variant>
        <vt:i4>5</vt:i4>
      </vt:variant>
      <vt:variant>
        <vt:lpwstr>https://www.sps.nhs.uk/medicines/nilvadipine/</vt:lpwstr>
      </vt:variant>
      <vt:variant>
        <vt:lpwstr/>
      </vt:variant>
      <vt:variant>
        <vt:i4>7798828</vt:i4>
      </vt:variant>
      <vt:variant>
        <vt:i4>144</vt:i4>
      </vt:variant>
      <vt:variant>
        <vt:i4>0</vt:i4>
      </vt:variant>
      <vt:variant>
        <vt:i4>5</vt:i4>
      </vt:variant>
      <vt:variant>
        <vt:lpwstr>https://www.sps.nhs.uk/medicines/naloxone/</vt:lpwstr>
      </vt:variant>
      <vt:variant>
        <vt:lpwstr/>
      </vt:variant>
      <vt:variant>
        <vt:i4>1441887</vt:i4>
      </vt:variant>
      <vt:variant>
        <vt:i4>141</vt:i4>
      </vt:variant>
      <vt:variant>
        <vt:i4>0</vt:i4>
      </vt:variant>
      <vt:variant>
        <vt:i4>5</vt:i4>
      </vt:variant>
      <vt:variant>
        <vt:lpwstr>https://www.sps.nhs.uk/medicines/macitentan/</vt:lpwstr>
      </vt:variant>
      <vt:variant>
        <vt:lpwstr/>
      </vt:variant>
      <vt:variant>
        <vt:i4>6225993</vt:i4>
      </vt:variant>
      <vt:variant>
        <vt:i4>138</vt:i4>
      </vt:variant>
      <vt:variant>
        <vt:i4>0</vt:i4>
      </vt:variant>
      <vt:variant>
        <vt:i4>5</vt:i4>
      </vt:variant>
      <vt:variant>
        <vt:lpwstr>https://www.sps.nhs.uk/medicines/hydroxyprogesterone/</vt:lpwstr>
      </vt:variant>
      <vt:variant>
        <vt:lpwstr/>
      </vt:variant>
      <vt:variant>
        <vt:i4>2687026</vt:i4>
      </vt:variant>
      <vt:variant>
        <vt:i4>135</vt:i4>
      </vt:variant>
      <vt:variant>
        <vt:i4>0</vt:i4>
      </vt:variant>
      <vt:variant>
        <vt:i4>5</vt:i4>
      </vt:variant>
      <vt:variant>
        <vt:lpwstr>https://www.sps.nhs.uk/medicines/ciprofloxacin/</vt:lpwstr>
      </vt:variant>
      <vt:variant>
        <vt:lpwstr/>
      </vt:variant>
      <vt:variant>
        <vt:i4>196702</vt:i4>
      </vt:variant>
      <vt:variant>
        <vt:i4>132</vt:i4>
      </vt:variant>
      <vt:variant>
        <vt:i4>0</vt:i4>
      </vt:variant>
      <vt:variant>
        <vt:i4>5</vt:i4>
      </vt:variant>
      <vt:variant>
        <vt:lpwstr>https://www.sps.nhs.uk/medicines/calcitonin/</vt:lpwstr>
      </vt:variant>
      <vt:variant>
        <vt:lpwstr/>
      </vt:variant>
      <vt:variant>
        <vt:i4>7667749</vt:i4>
      </vt:variant>
      <vt:variant>
        <vt:i4>129</vt:i4>
      </vt:variant>
      <vt:variant>
        <vt:i4>0</vt:i4>
      </vt:variant>
      <vt:variant>
        <vt:i4>5</vt:i4>
      </vt:variant>
      <vt:variant>
        <vt:lpwstr>https://www.sps.nhs.uk/medicines/c1-esterase-inhibitor/</vt:lpwstr>
      </vt:variant>
      <vt:variant>
        <vt:lpwstr/>
      </vt:variant>
      <vt:variant>
        <vt:i4>2490478</vt:i4>
      </vt:variant>
      <vt:variant>
        <vt:i4>126</vt:i4>
      </vt:variant>
      <vt:variant>
        <vt:i4>0</vt:i4>
      </vt:variant>
      <vt:variant>
        <vt:i4>5</vt:i4>
      </vt:variant>
      <vt:variant>
        <vt:lpwstr>https://www.sps.nhs.uk/medicines/buprenorphine-samidorphan/</vt:lpwstr>
      </vt:variant>
      <vt:variant>
        <vt:lpwstr/>
      </vt:variant>
      <vt:variant>
        <vt:i4>2621493</vt:i4>
      </vt:variant>
      <vt:variant>
        <vt:i4>123</vt:i4>
      </vt:variant>
      <vt:variant>
        <vt:i4>0</vt:i4>
      </vt:variant>
      <vt:variant>
        <vt:i4>5</vt:i4>
      </vt:variant>
      <vt:variant>
        <vt:lpwstr>https://www.sps.nhs.uk/medicines/buprenorphine/</vt:lpwstr>
      </vt:variant>
      <vt:variant>
        <vt:lpwstr/>
      </vt:variant>
      <vt:variant>
        <vt:i4>3538984</vt:i4>
      </vt:variant>
      <vt:variant>
        <vt:i4>120</vt:i4>
      </vt:variant>
      <vt:variant>
        <vt:i4>0</vt:i4>
      </vt:variant>
      <vt:variant>
        <vt:i4>5</vt:i4>
      </vt:variant>
      <vt:variant>
        <vt:lpwstr>https://www.sps.nhs.uk/medicines/botulinum-a-toxin/</vt:lpwstr>
      </vt:variant>
      <vt:variant>
        <vt:lpwstr/>
      </vt:variant>
      <vt:variant>
        <vt:i4>458843</vt:i4>
      </vt:variant>
      <vt:variant>
        <vt:i4>117</vt:i4>
      </vt:variant>
      <vt:variant>
        <vt:i4>0</vt:i4>
      </vt:variant>
      <vt:variant>
        <vt:i4>5</vt:i4>
      </vt:variant>
      <vt:variant>
        <vt:lpwstr>https://www.sps.nhs.uk/medicines/biotin/</vt:lpwstr>
      </vt:variant>
      <vt:variant>
        <vt:lpwstr/>
      </vt:variant>
      <vt:variant>
        <vt:i4>3145761</vt:i4>
      </vt:variant>
      <vt:variant>
        <vt:i4>114</vt:i4>
      </vt:variant>
      <vt:variant>
        <vt:i4>0</vt:i4>
      </vt:variant>
      <vt:variant>
        <vt:i4>5</vt:i4>
      </vt:variant>
      <vt:variant>
        <vt:lpwstr>https://www.sps.nhs.uk/medicines/arbaclofen-placarbil/</vt:lpwstr>
      </vt:variant>
      <vt:variant>
        <vt:lpwstr/>
      </vt:variant>
      <vt:variant>
        <vt:i4>1572889</vt:i4>
      </vt:variant>
      <vt:variant>
        <vt:i4>111</vt:i4>
      </vt:variant>
      <vt:variant>
        <vt:i4>0</vt:i4>
      </vt:variant>
      <vt:variant>
        <vt:i4>5</vt:i4>
      </vt:variant>
      <vt:variant>
        <vt:lpwstr>https://www.sps.nhs.uk/medicines/valoctocogene-roxaparvovec/</vt:lpwstr>
      </vt:variant>
      <vt:variant>
        <vt:lpwstr/>
      </vt:variant>
      <vt:variant>
        <vt:i4>2031697</vt:i4>
      </vt:variant>
      <vt:variant>
        <vt:i4>108</vt:i4>
      </vt:variant>
      <vt:variant>
        <vt:i4>0</vt:i4>
      </vt:variant>
      <vt:variant>
        <vt:i4>5</vt:i4>
      </vt:variant>
      <vt:variant>
        <vt:lpwstr>https://www.sps.nhs.uk/medicines/meningococcal-groups-a-c-w135-y-vaccine/</vt:lpwstr>
      </vt:variant>
      <vt:variant>
        <vt:lpwstr/>
      </vt:variant>
      <vt:variant>
        <vt:i4>5374020</vt:i4>
      </vt:variant>
      <vt:variant>
        <vt:i4>105</vt:i4>
      </vt:variant>
      <vt:variant>
        <vt:i4>0</vt:i4>
      </vt:variant>
      <vt:variant>
        <vt:i4>5</vt:i4>
      </vt:variant>
      <vt:variant>
        <vt:lpwstr>https://www.sps.nhs.uk/medicines/encorafenib/</vt:lpwstr>
      </vt:variant>
      <vt:variant>
        <vt:lpwstr/>
      </vt:variant>
      <vt:variant>
        <vt:i4>7209001</vt:i4>
      </vt:variant>
      <vt:variant>
        <vt:i4>102</vt:i4>
      </vt:variant>
      <vt:variant>
        <vt:i4>0</vt:i4>
      </vt:variant>
      <vt:variant>
        <vt:i4>5</vt:i4>
      </vt:variant>
      <vt:variant>
        <vt:lpwstr>https://www.sps.nhs.uk/medicines/elexacaftor-ivacaftor-tezacaftor/</vt:lpwstr>
      </vt:variant>
      <vt:variant>
        <vt:lpwstr/>
      </vt:variant>
      <vt:variant>
        <vt:i4>4849729</vt:i4>
      </vt:variant>
      <vt:variant>
        <vt:i4>99</vt:i4>
      </vt:variant>
      <vt:variant>
        <vt:i4>0</vt:i4>
      </vt:variant>
      <vt:variant>
        <vt:i4>5</vt:i4>
      </vt:variant>
      <vt:variant>
        <vt:lpwstr>https://www.sps.nhs.uk/medicines/bulevirtide/</vt:lpwstr>
      </vt:variant>
      <vt:variant>
        <vt:lpwstr/>
      </vt:variant>
      <vt:variant>
        <vt:i4>5570637</vt:i4>
      </vt:variant>
      <vt:variant>
        <vt:i4>96</vt:i4>
      </vt:variant>
      <vt:variant>
        <vt:i4>0</vt:i4>
      </vt:variant>
      <vt:variant>
        <vt:i4>5</vt:i4>
      </vt:variant>
      <vt:variant>
        <vt:lpwstr>https://www.sps.nhs.uk/medicines/binimetinib/</vt:lpwstr>
      </vt:variant>
      <vt:variant>
        <vt:lpwstr/>
      </vt:variant>
      <vt:variant>
        <vt:i4>4128817</vt:i4>
      </vt:variant>
      <vt:variant>
        <vt:i4>93</vt:i4>
      </vt:variant>
      <vt:variant>
        <vt:i4>0</vt:i4>
      </vt:variant>
      <vt:variant>
        <vt:i4>5</vt:i4>
      </vt:variant>
      <vt:variant>
        <vt:lpwstr>https://www.sps.nhs.uk/medicines/ad26-ebov-vaccine/</vt:lpwstr>
      </vt:variant>
      <vt:variant>
        <vt:lpwstr/>
      </vt:variant>
      <vt:variant>
        <vt:i4>2555952</vt:i4>
      </vt:variant>
      <vt:variant>
        <vt:i4>90</vt:i4>
      </vt:variant>
      <vt:variant>
        <vt:i4>0</vt:i4>
      </vt:variant>
      <vt:variant>
        <vt:i4>5</vt:i4>
      </vt:variant>
      <vt:variant>
        <vt:lpwstr>https://www.sps.nhs.uk/medicines/acalabrutinib/</vt:lpwstr>
      </vt:variant>
      <vt:variant>
        <vt:lpwstr/>
      </vt:variant>
      <vt:variant>
        <vt:i4>2818164</vt:i4>
      </vt:variant>
      <vt:variant>
        <vt:i4>87</vt:i4>
      </vt:variant>
      <vt:variant>
        <vt:i4>0</vt:i4>
      </vt:variant>
      <vt:variant>
        <vt:i4>5</vt:i4>
      </vt:variant>
      <vt:variant>
        <vt:lpwstr>https://www.sps.nhs.uk/medicines/trastuzumab-emtansine/</vt:lpwstr>
      </vt:variant>
      <vt:variant>
        <vt:lpwstr/>
      </vt:variant>
      <vt:variant>
        <vt:i4>7471146</vt:i4>
      </vt:variant>
      <vt:variant>
        <vt:i4>84</vt:i4>
      </vt:variant>
      <vt:variant>
        <vt:i4>0</vt:i4>
      </vt:variant>
      <vt:variant>
        <vt:i4>5</vt:i4>
      </vt:variant>
      <vt:variant>
        <vt:lpwstr>https://www.sps.nhs.uk/medicines/solriamfetol/</vt:lpwstr>
      </vt:variant>
      <vt:variant>
        <vt:lpwstr/>
      </vt:variant>
      <vt:variant>
        <vt:i4>2621480</vt:i4>
      </vt:variant>
      <vt:variant>
        <vt:i4>81</vt:i4>
      </vt:variant>
      <vt:variant>
        <vt:i4>0</vt:i4>
      </vt:variant>
      <vt:variant>
        <vt:i4>5</vt:i4>
      </vt:variant>
      <vt:variant>
        <vt:lpwstr>https://www.sps.nhs.uk/medicines/siponimod/</vt:lpwstr>
      </vt:variant>
      <vt:variant>
        <vt:lpwstr/>
      </vt:variant>
      <vt:variant>
        <vt:i4>5308487</vt:i4>
      </vt:variant>
      <vt:variant>
        <vt:i4>78</vt:i4>
      </vt:variant>
      <vt:variant>
        <vt:i4>0</vt:i4>
      </vt:variant>
      <vt:variant>
        <vt:i4>5</vt:i4>
      </vt:variant>
      <vt:variant>
        <vt:lpwstr>https://www.sps.nhs.uk/medicines/polatuzumab/</vt:lpwstr>
      </vt:variant>
      <vt:variant>
        <vt:lpwstr/>
      </vt:variant>
      <vt:variant>
        <vt:i4>6946876</vt:i4>
      </vt:variant>
      <vt:variant>
        <vt:i4>75</vt:i4>
      </vt:variant>
      <vt:variant>
        <vt:i4>0</vt:i4>
      </vt:variant>
      <vt:variant>
        <vt:i4>5</vt:i4>
      </vt:variant>
      <vt:variant>
        <vt:lpwstr>https://www.sps.nhs.uk/medicines/osilodrostat/</vt:lpwstr>
      </vt:variant>
      <vt:variant>
        <vt:lpwstr/>
      </vt:variant>
      <vt:variant>
        <vt:i4>6291494</vt:i4>
      </vt:variant>
      <vt:variant>
        <vt:i4>72</vt:i4>
      </vt:variant>
      <vt:variant>
        <vt:i4>0</vt:i4>
      </vt:variant>
      <vt:variant>
        <vt:i4>5</vt:i4>
      </vt:variant>
      <vt:variant>
        <vt:lpwstr>https://www.sps.nhs.uk/medicines/lenalidomide/</vt:lpwstr>
      </vt:variant>
      <vt:variant>
        <vt:lpwstr/>
      </vt:variant>
      <vt:variant>
        <vt:i4>7733280</vt:i4>
      </vt:variant>
      <vt:variant>
        <vt:i4>69</vt:i4>
      </vt:variant>
      <vt:variant>
        <vt:i4>0</vt:i4>
      </vt:variant>
      <vt:variant>
        <vt:i4>5</vt:i4>
      </vt:variant>
      <vt:variant>
        <vt:lpwstr>https://www.sps.nhs.uk/medicines/fostamatinib-disodium/</vt:lpwstr>
      </vt:variant>
      <vt:variant>
        <vt:lpwstr/>
      </vt:variant>
      <vt:variant>
        <vt:i4>3342373</vt:i4>
      </vt:variant>
      <vt:variant>
        <vt:i4>66</vt:i4>
      </vt:variant>
      <vt:variant>
        <vt:i4>0</vt:i4>
      </vt:variant>
      <vt:variant>
        <vt:i4>5</vt:i4>
      </vt:variant>
      <vt:variant>
        <vt:lpwstr>https://www.sps.nhs.uk/medicines/trientine/</vt:lpwstr>
      </vt:variant>
      <vt:variant>
        <vt:lpwstr/>
      </vt:variant>
      <vt:variant>
        <vt:i4>1900625</vt:i4>
      </vt:variant>
      <vt:variant>
        <vt:i4>63</vt:i4>
      </vt:variant>
      <vt:variant>
        <vt:i4>0</vt:i4>
      </vt:variant>
      <vt:variant>
        <vt:i4>5</vt:i4>
      </vt:variant>
      <vt:variant>
        <vt:lpwstr>https://www.sps.nhs.uk/medicines/netarsudil-mesilate/</vt:lpwstr>
      </vt:variant>
      <vt:variant>
        <vt:lpwstr/>
      </vt:variant>
      <vt:variant>
        <vt:i4>7143468</vt:i4>
      </vt:variant>
      <vt:variant>
        <vt:i4>60</vt:i4>
      </vt:variant>
      <vt:variant>
        <vt:i4>0</vt:i4>
      </vt:variant>
      <vt:variant>
        <vt:i4>5</vt:i4>
      </vt:variant>
      <vt:variant>
        <vt:lpwstr>https://www.sps.nhs.uk/medicines/levodopa/</vt:lpwstr>
      </vt:variant>
      <vt:variant>
        <vt:lpwstr/>
      </vt:variant>
      <vt:variant>
        <vt:i4>852061</vt:i4>
      </vt:variant>
      <vt:variant>
        <vt:i4>57</vt:i4>
      </vt:variant>
      <vt:variant>
        <vt:i4>0</vt:i4>
      </vt:variant>
      <vt:variant>
        <vt:i4>5</vt:i4>
      </vt:variant>
      <vt:variant>
        <vt:lpwstr>https://www.sps.nhs.uk/medicines/infliximab/</vt:lpwstr>
      </vt:variant>
      <vt:variant>
        <vt:lpwstr/>
      </vt:variant>
      <vt:variant>
        <vt:i4>4063335</vt:i4>
      </vt:variant>
      <vt:variant>
        <vt:i4>54</vt:i4>
      </vt:variant>
      <vt:variant>
        <vt:i4>0</vt:i4>
      </vt:variant>
      <vt:variant>
        <vt:i4>5</vt:i4>
      </vt:variant>
      <vt:variant>
        <vt:lpwstr>https://www.sps.nhs.uk/medicines/ebola-vaccine/</vt:lpwstr>
      </vt:variant>
      <vt:variant>
        <vt:lpwstr/>
      </vt:variant>
      <vt:variant>
        <vt:i4>2621493</vt:i4>
      </vt:variant>
      <vt:variant>
        <vt:i4>51</vt:i4>
      </vt:variant>
      <vt:variant>
        <vt:i4>0</vt:i4>
      </vt:variant>
      <vt:variant>
        <vt:i4>5</vt:i4>
      </vt:variant>
      <vt:variant>
        <vt:lpwstr>https://www.sps.nhs.uk/medicines/buprenorphine/</vt:lpwstr>
      </vt:variant>
      <vt:variant>
        <vt:lpwstr/>
      </vt:variant>
      <vt:variant>
        <vt:i4>1179726</vt:i4>
      </vt:variant>
      <vt:variant>
        <vt:i4>48</vt:i4>
      </vt:variant>
      <vt:variant>
        <vt:i4>0</vt:i4>
      </vt:variant>
      <vt:variant>
        <vt:i4>5</vt:i4>
      </vt:variant>
      <vt:variant>
        <vt:lpwstr>https://www.sps.nhs.uk/medicines/arginine-lysine/</vt:lpwstr>
      </vt:variant>
      <vt:variant>
        <vt:lpwstr/>
      </vt:variant>
      <vt:variant>
        <vt:i4>7798824</vt:i4>
      </vt:variant>
      <vt:variant>
        <vt:i4>45</vt:i4>
      </vt:variant>
      <vt:variant>
        <vt:i4>0</vt:i4>
      </vt:variant>
      <vt:variant>
        <vt:i4>5</vt:i4>
      </vt:variant>
      <vt:variant>
        <vt:lpwstr>https://www.sps.nhs.uk/medicines/teriparatide/</vt:lpwstr>
      </vt:variant>
      <vt:variant>
        <vt:lpwstr/>
      </vt:variant>
      <vt:variant>
        <vt:i4>5767235</vt:i4>
      </vt:variant>
      <vt:variant>
        <vt:i4>42</vt:i4>
      </vt:variant>
      <vt:variant>
        <vt:i4>0</vt:i4>
      </vt:variant>
      <vt:variant>
        <vt:i4>5</vt:i4>
      </vt:variant>
      <vt:variant>
        <vt:lpwstr>https://www.sps.nhs.uk/medicines/paracetamol/</vt:lpwstr>
      </vt:variant>
      <vt:variant>
        <vt:lpwstr/>
      </vt:variant>
      <vt:variant>
        <vt:i4>2162736</vt:i4>
      </vt:variant>
      <vt:variant>
        <vt:i4>39</vt:i4>
      </vt:variant>
      <vt:variant>
        <vt:i4>0</vt:i4>
      </vt:variant>
      <vt:variant>
        <vt:i4>5</vt:i4>
      </vt:variant>
      <vt:variant>
        <vt:lpwstr>https://www.sps.nhs.uk/articles/ukmi-product-safety-assessments-2/</vt:lpwstr>
      </vt:variant>
      <vt:variant>
        <vt:lpwstr/>
      </vt:variant>
      <vt:variant>
        <vt:i4>5767196</vt:i4>
      </vt:variant>
      <vt:variant>
        <vt:i4>36</vt:i4>
      </vt:variant>
      <vt:variant>
        <vt:i4>0</vt:i4>
      </vt:variant>
      <vt:variant>
        <vt:i4>5</vt:i4>
      </vt:variant>
      <vt:variant>
        <vt:lpwstr>https://www.sps.nhs.uk/articles/prioritising-new-products-for-a-ukmi-product-safety-assessment-a-resource-for-ukmi-patient-safety-working-group/</vt:lpwstr>
      </vt:variant>
      <vt:variant>
        <vt:lpwstr/>
      </vt:variant>
      <vt:variant>
        <vt:i4>3211304</vt:i4>
      </vt:variant>
      <vt:variant>
        <vt:i4>33</vt:i4>
      </vt:variant>
      <vt:variant>
        <vt:i4>0</vt:i4>
      </vt:variant>
      <vt:variant>
        <vt:i4>5</vt:i4>
      </vt:variant>
      <vt:variant>
        <vt:lpwstr>https://www.sps.nhs.uk/medicines/zanamivir/</vt:lpwstr>
      </vt:variant>
      <vt:variant>
        <vt:lpwstr/>
      </vt:variant>
      <vt:variant>
        <vt:i4>5111887</vt:i4>
      </vt:variant>
      <vt:variant>
        <vt:i4>30</vt:i4>
      </vt:variant>
      <vt:variant>
        <vt:i4>0</vt:i4>
      </vt:variant>
      <vt:variant>
        <vt:i4>5</vt:i4>
      </vt:variant>
      <vt:variant>
        <vt:lpwstr>https://www.sps.nhs.uk/medicines/talazoparib/</vt:lpwstr>
      </vt:variant>
      <vt:variant>
        <vt:lpwstr/>
      </vt:variant>
      <vt:variant>
        <vt:i4>4653149</vt:i4>
      </vt:variant>
      <vt:variant>
        <vt:i4>27</vt:i4>
      </vt:variant>
      <vt:variant>
        <vt:i4>0</vt:i4>
      </vt:variant>
      <vt:variant>
        <vt:i4>5</vt:i4>
      </vt:variant>
      <vt:variant>
        <vt:lpwstr>https://www.sps.nhs.uk/medicines/ranibizumab/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https://www.sps.nhs.uk/medicines/pembrolizumab/</vt:lpwstr>
      </vt:variant>
      <vt:variant>
        <vt:lpwstr/>
      </vt:variant>
      <vt:variant>
        <vt:i4>7602210</vt:i4>
      </vt:variant>
      <vt:variant>
        <vt:i4>21</vt:i4>
      </vt:variant>
      <vt:variant>
        <vt:i4>0</vt:i4>
      </vt:variant>
      <vt:variant>
        <vt:i4>5</vt:i4>
      </vt:variant>
      <vt:variant>
        <vt:lpwstr>https://www.sps.nhs.uk/medicines/nicotine/</vt:lpwstr>
      </vt:variant>
      <vt:variant>
        <vt:lpwstr/>
      </vt:variant>
      <vt:variant>
        <vt:i4>4063329</vt:i4>
      </vt:variant>
      <vt:variant>
        <vt:i4>18</vt:i4>
      </vt:variant>
      <vt:variant>
        <vt:i4>0</vt:i4>
      </vt:variant>
      <vt:variant>
        <vt:i4>5</vt:i4>
      </vt:variant>
      <vt:variant>
        <vt:lpwstr>https://www.sps.nhs.uk/medicines/meropenem-vaborbactam/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https://www.sps.nhs.uk/medicines/liraglutide/</vt:lpwstr>
      </vt:variant>
      <vt:variant>
        <vt:lpwstr/>
      </vt:variant>
      <vt:variant>
        <vt:i4>6553663</vt:i4>
      </vt:variant>
      <vt:variant>
        <vt:i4>12</vt:i4>
      </vt:variant>
      <vt:variant>
        <vt:i4>0</vt:i4>
      </vt:variant>
      <vt:variant>
        <vt:i4>5</vt:i4>
      </vt:variant>
      <vt:variant>
        <vt:lpwstr>https://www.sps.nhs.uk/medicines/gilteritinib/</vt:lpwstr>
      </vt:variant>
      <vt:variant>
        <vt:lpwstr/>
      </vt:variant>
      <vt:variant>
        <vt:i4>4980809</vt:i4>
      </vt:variant>
      <vt:variant>
        <vt:i4>9</vt:i4>
      </vt:variant>
      <vt:variant>
        <vt:i4>0</vt:i4>
      </vt:variant>
      <vt:variant>
        <vt:i4>5</vt:i4>
      </vt:variant>
      <vt:variant>
        <vt:lpwstr>https://www.sps.nhs.uk/medicines/daratumumab/</vt:lpwstr>
      </vt:variant>
      <vt:variant>
        <vt:lpwstr/>
      </vt:variant>
      <vt:variant>
        <vt:i4>2883621</vt:i4>
      </vt:variant>
      <vt:variant>
        <vt:i4>6</vt:i4>
      </vt:variant>
      <vt:variant>
        <vt:i4>0</vt:i4>
      </vt:variant>
      <vt:variant>
        <vt:i4>5</vt:i4>
      </vt:variant>
      <vt:variant>
        <vt:lpwstr>https://www.sps.nhs.uk/medicines/beclometasone/</vt:lpwstr>
      </vt:variant>
      <vt:variant>
        <vt:lpwstr/>
      </vt:variant>
      <vt:variant>
        <vt:i4>589864</vt:i4>
      </vt:variant>
      <vt:variant>
        <vt:i4>3</vt:i4>
      </vt:variant>
      <vt:variant>
        <vt:i4>0</vt:i4>
      </vt:variant>
      <vt:variant>
        <vt:i4>5</vt:i4>
      </vt:variant>
      <vt:variant>
        <vt:lpwstr>mailto:nwmedinfo@nhs.net?subject=New%20Medicines%20Newsletter</vt:lpwstr>
      </vt:variant>
      <vt:variant>
        <vt:lpwstr/>
      </vt:variant>
      <vt:variant>
        <vt:i4>7077923</vt:i4>
      </vt:variant>
      <vt:variant>
        <vt:i4>0</vt:i4>
      </vt:variant>
      <vt:variant>
        <vt:i4>0</vt:i4>
      </vt:variant>
      <vt:variant>
        <vt:i4>5</vt:i4>
      </vt:variant>
      <vt:variant>
        <vt:lpwstr>http://www.sps.nhs.uk/</vt:lpwstr>
      </vt:variant>
      <vt:variant>
        <vt:lpwstr/>
      </vt:variant>
      <vt:variant>
        <vt:i4>589864</vt:i4>
      </vt:variant>
      <vt:variant>
        <vt:i4>18</vt:i4>
      </vt:variant>
      <vt:variant>
        <vt:i4>0</vt:i4>
      </vt:variant>
      <vt:variant>
        <vt:i4>5</vt:i4>
      </vt:variant>
      <vt:variant>
        <vt:lpwstr>mailto:nwmedinfo@nhs.net?subject=New%20Medicines%20Newsletter</vt:lpwstr>
      </vt:variant>
      <vt:variant>
        <vt:lpwstr/>
      </vt:variant>
      <vt:variant>
        <vt:i4>7929901</vt:i4>
      </vt:variant>
      <vt:variant>
        <vt:i4>15</vt:i4>
      </vt:variant>
      <vt:variant>
        <vt:i4>0</vt:i4>
      </vt:variant>
      <vt:variant>
        <vt:i4>5</vt:i4>
      </vt:variant>
      <vt:variant>
        <vt:lpwstr>https://www.sps.nhs.uk/wp-login.php?action=register</vt:lpwstr>
      </vt:variant>
      <vt:variant>
        <vt:lpwstr/>
      </vt:variant>
      <vt:variant>
        <vt:i4>7077923</vt:i4>
      </vt:variant>
      <vt:variant>
        <vt:i4>12</vt:i4>
      </vt:variant>
      <vt:variant>
        <vt:i4>0</vt:i4>
      </vt:variant>
      <vt:variant>
        <vt:i4>5</vt:i4>
      </vt:variant>
      <vt:variant>
        <vt:lpwstr>http://www.sps.nhs.uk/</vt:lpwstr>
      </vt:variant>
      <vt:variant>
        <vt:lpwstr/>
      </vt:variant>
      <vt:variant>
        <vt:i4>3211377</vt:i4>
      </vt:variant>
      <vt:variant>
        <vt:i4>9</vt:i4>
      </vt:variant>
      <vt:variant>
        <vt:i4>0</vt:i4>
      </vt:variant>
      <vt:variant>
        <vt:i4>5</vt:i4>
      </vt:variant>
      <vt:variant>
        <vt:lpwstr>http://www.ukmi.nhs.uk/ndo</vt:lpwstr>
      </vt:variant>
      <vt:variant>
        <vt:lpwstr/>
      </vt:variant>
      <vt:variant>
        <vt:i4>1638407</vt:i4>
      </vt:variant>
      <vt:variant>
        <vt:i4>6</vt:i4>
      </vt:variant>
      <vt:variant>
        <vt:i4>0</vt:i4>
      </vt:variant>
      <vt:variant>
        <vt:i4>5</vt:i4>
      </vt:variant>
      <vt:variant>
        <vt:lpwstr>https://www.sps.nhs.uk/prescribing-outlook-2019/</vt:lpwstr>
      </vt:variant>
      <vt:variant>
        <vt:lpwstr/>
      </vt:variant>
      <vt:variant>
        <vt:i4>7405691</vt:i4>
      </vt:variant>
      <vt:variant>
        <vt:i4>3</vt:i4>
      </vt:variant>
      <vt:variant>
        <vt:i4>0</vt:i4>
      </vt:variant>
      <vt:variant>
        <vt:i4>5</vt:i4>
      </vt:variant>
      <vt:variant>
        <vt:lpwstr>https://www.sps.nhs.uk/category/new-medicines/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NDO home | Contact | Register for NDO access</dc:title>
  <dc:creator>McEntee Joanne (RQ6) RLBUHT</dc:creator>
  <cp:lastModifiedBy>Joanne McEntee</cp:lastModifiedBy>
  <cp:revision>4</cp:revision>
  <cp:lastPrinted>2019-12-09T12:59:00Z</cp:lastPrinted>
  <dcterms:created xsi:type="dcterms:W3CDTF">2024-09-04T11:24:00Z</dcterms:created>
  <dcterms:modified xsi:type="dcterms:W3CDTF">2024-09-04T11:52:00Z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