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31" w:type="pct"/>
        <w:tblInd w:w="-176" w:type="dxa"/>
        <w:tblLayout w:type="fixed"/>
        <w:tblLook w:val="01E0" w:firstRow="1" w:lastRow="1" w:firstColumn="1" w:lastColumn="1" w:noHBand="0" w:noVBand="0"/>
      </w:tblPr>
      <w:tblGrid>
        <w:gridCol w:w="10267"/>
      </w:tblGrid>
      <w:tr w:rsidR="00D2402E" w:rsidRPr="00862949" w14:paraId="53F0B881" w14:textId="77777777" w:rsidTr="009B0BCE">
        <w:trPr>
          <w:trHeight w:val="192"/>
        </w:trPr>
        <w:tc>
          <w:tcPr>
            <w:tcW w:w="5000" w:type="pct"/>
            <w:shd w:val="clear" w:color="auto" w:fill="auto"/>
            <w:tcMar>
              <w:top w:w="57" w:type="dxa"/>
              <w:bottom w:w="57" w:type="dxa"/>
            </w:tcMar>
          </w:tcPr>
          <w:p w14:paraId="0CE1F7EB" w14:textId="77777777" w:rsidR="00D2402E" w:rsidRPr="00E369CC" w:rsidRDefault="00860B89" w:rsidP="00F81A28">
            <w:pPr>
              <w:jc w:val="right"/>
              <w:rPr>
                <w:rFonts w:cs="Arial"/>
                <w:b/>
                <w:bCs/>
                <w:iCs/>
                <w:color w:val="0070C0"/>
                <w:sz w:val="15"/>
                <w:szCs w:val="15"/>
                <w:lang w:val="en-US"/>
              </w:rPr>
            </w:pPr>
            <w:r>
              <w:rPr>
                <w:rFonts w:cs="Arial"/>
                <w:b/>
                <w:bCs/>
                <w:iCs/>
                <w:color w:val="333399"/>
                <w:sz w:val="15"/>
                <w:szCs w:val="15"/>
                <w:lang w:val="en-US"/>
              </w:rPr>
              <w:t xml:space="preserve">  </w:t>
            </w:r>
            <w:r w:rsidR="00A3053B">
              <w:rPr>
                <w:rFonts w:cs="Arial"/>
                <w:b/>
                <w:bCs/>
                <w:iCs/>
                <w:color w:val="333399"/>
                <w:sz w:val="15"/>
                <w:szCs w:val="15"/>
                <w:lang w:val="en-US"/>
              </w:rPr>
              <w:t xml:space="preserve"> </w:t>
            </w:r>
            <w:r w:rsidR="00AB34E3" w:rsidRPr="00862949">
              <w:rPr>
                <w:rFonts w:cs="Arial"/>
                <w:b/>
                <w:bCs/>
                <w:iCs/>
                <w:color w:val="333399"/>
                <w:sz w:val="15"/>
                <w:szCs w:val="15"/>
                <w:lang w:val="en-US"/>
              </w:rPr>
              <w:t xml:space="preserve"> </w:t>
            </w:r>
            <w:r w:rsidR="009C539A" w:rsidRPr="00862949">
              <w:rPr>
                <w:rFonts w:cs="Arial"/>
                <w:b/>
                <w:bCs/>
                <w:iCs/>
                <w:color w:val="333399"/>
                <w:sz w:val="15"/>
                <w:szCs w:val="15"/>
                <w:lang w:val="en-US"/>
              </w:rPr>
              <w:t xml:space="preserve"> </w:t>
            </w:r>
            <w:hyperlink r:id="rId8" w:tgtFrame="_blank" w:history="1">
              <w:r w:rsidR="00F81A28" w:rsidRPr="009B0BCE">
                <w:rPr>
                  <w:rStyle w:val="Hyperlink"/>
                  <w:rFonts w:ascii="Arial" w:hAnsi="Arial" w:cs="Arial"/>
                  <w:b/>
                  <w:bCs/>
                  <w:iCs/>
                  <w:color w:val="0070C0"/>
                  <w:sz w:val="20"/>
                  <w:szCs w:val="15"/>
                  <w:lang w:val="en-US"/>
                </w:rPr>
                <w:t>SPS</w:t>
              </w:r>
              <w:r w:rsidR="00D2402E" w:rsidRPr="009B0BCE">
                <w:rPr>
                  <w:rStyle w:val="Hyperlink"/>
                  <w:rFonts w:ascii="Arial" w:hAnsi="Arial" w:cs="Arial"/>
                  <w:b/>
                  <w:bCs/>
                  <w:iCs/>
                  <w:color w:val="0070C0"/>
                  <w:sz w:val="20"/>
                  <w:szCs w:val="15"/>
                  <w:lang w:val="en-US"/>
                </w:rPr>
                <w:t xml:space="preserve"> home</w:t>
              </w:r>
            </w:hyperlink>
            <w:r w:rsidR="00D2402E" w:rsidRPr="009B0BCE">
              <w:rPr>
                <w:rFonts w:cs="Arial"/>
                <w:b/>
                <w:bCs/>
                <w:iCs/>
                <w:color w:val="0070C0"/>
                <w:sz w:val="20"/>
                <w:szCs w:val="15"/>
                <w:lang w:val="en-US"/>
              </w:rPr>
              <w:t xml:space="preserve"> | </w:t>
            </w:r>
            <w:hyperlink r:id="rId9" w:history="1">
              <w:r w:rsidR="00D2402E" w:rsidRPr="009B0BCE">
                <w:rPr>
                  <w:rStyle w:val="Hyperlink"/>
                  <w:rFonts w:ascii="Arial" w:hAnsi="Arial" w:cs="Arial"/>
                  <w:b/>
                  <w:bCs/>
                  <w:iCs/>
                  <w:color w:val="0070C0"/>
                  <w:sz w:val="20"/>
                  <w:szCs w:val="15"/>
                  <w:lang w:val="en-US"/>
                </w:rPr>
                <w:t>Contact</w:t>
              </w:r>
            </w:hyperlink>
          </w:p>
        </w:tc>
      </w:tr>
    </w:tbl>
    <w:p w14:paraId="54E3074D" w14:textId="77777777" w:rsidR="00B85859" w:rsidRDefault="00B85859" w:rsidP="00727945">
      <w:pPr>
        <w:rPr>
          <w:rFonts w:ascii="Latha" w:hAnsi="Latha" w:cs="Latha"/>
          <w:sz w:val="8"/>
          <w:szCs w:val="8"/>
        </w:rPr>
      </w:pPr>
    </w:p>
    <w:tbl>
      <w:tblPr>
        <w:tblW w:w="5170" w:type="pct"/>
        <w:tblInd w:w="-176" w:type="dxa"/>
        <w:tblLayout w:type="fixed"/>
        <w:tblLook w:val="01E0" w:firstRow="1" w:lastRow="1" w:firstColumn="1" w:lastColumn="1" w:noHBand="0" w:noVBand="0"/>
      </w:tblPr>
      <w:tblGrid>
        <w:gridCol w:w="3153"/>
        <w:gridCol w:w="7398"/>
      </w:tblGrid>
      <w:tr w:rsidR="0020101A" w:rsidRPr="00862949" w14:paraId="0E870355" w14:textId="77777777" w:rsidTr="002772ED">
        <w:tc>
          <w:tcPr>
            <w:tcW w:w="5000" w:type="pct"/>
            <w:gridSpan w:val="2"/>
            <w:shd w:val="clear" w:color="auto" w:fill="0070C0"/>
            <w:tcMar>
              <w:top w:w="85" w:type="dxa"/>
              <w:bottom w:w="85" w:type="dxa"/>
            </w:tcMar>
            <w:vAlign w:val="bottom"/>
          </w:tcPr>
          <w:p w14:paraId="249BF808" w14:textId="77777777" w:rsidR="0020101A" w:rsidRPr="00862949" w:rsidRDefault="0020101A" w:rsidP="00720F9E">
            <w:pPr>
              <w:rPr>
                <w:rFonts w:cs="Arial"/>
                <w:color w:val="FFFFFF"/>
                <w:sz w:val="15"/>
                <w:szCs w:val="15"/>
              </w:rPr>
            </w:pPr>
            <w:r>
              <w:rPr>
                <w:rFonts w:cs="Arial"/>
                <w:b/>
                <w:bCs/>
                <w:iCs/>
                <w:color w:val="FFFFFF"/>
                <w:sz w:val="28"/>
                <w:szCs w:val="28"/>
                <w:lang w:val="en-US"/>
              </w:rPr>
              <w:t>New product information</w:t>
            </w:r>
            <w:r w:rsidRPr="00862949">
              <w:rPr>
                <w:rFonts w:cs="Arial"/>
                <w:b/>
                <w:bCs/>
                <w:iCs/>
                <w:color w:val="FFFFFF"/>
                <w:sz w:val="28"/>
                <w:szCs w:val="28"/>
                <w:lang w:val="en-US"/>
              </w:rPr>
              <w:tab/>
            </w:r>
          </w:p>
        </w:tc>
      </w:tr>
      <w:tr w:rsidR="0020101A" w:rsidRPr="00862949" w14:paraId="0AE5EE9B" w14:textId="77777777" w:rsidTr="002772ED">
        <w:tc>
          <w:tcPr>
            <w:tcW w:w="5000" w:type="pct"/>
            <w:gridSpan w:val="2"/>
            <w:shd w:val="clear" w:color="auto" w:fill="DAEEF3"/>
            <w:tcMar>
              <w:top w:w="0" w:type="dxa"/>
              <w:bottom w:w="0" w:type="dxa"/>
            </w:tcMar>
          </w:tcPr>
          <w:p w14:paraId="6C977EBC" w14:textId="77777777" w:rsidR="0020101A" w:rsidRPr="00862949" w:rsidRDefault="0020101A" w:rsidP="00720F9E">
            <w:pPr>
              <w:rPr>
                <w:rFonts w:cs="Arial"/>
                <w:b/>
                <w:bCs/>
                <w:i/>
                <w:iCs/>
                <w:color w:val="000000"/>
                <w:sz w:val="8"/>
                <w:szCs w:val="8"/>
                <w:lang w:val="en-US"/>
              </w:rPr>
            </w:pPr>
          </w:p>
        </w:tc>
      </w:tr>
      <w:tr w:rsidR="0020101A" w:rsidRPr="00862949" w14:paraId="2F9DD0EE" w14:textId="77777777" w:rsidTr="002772ED">
        <w:tc>
          <w:tcPr>
            <w:tcW w:w="5000" w:type="pct"/>
            <w:gridSpan w:val="2"/>
            <w:shd w:val="clear" w:color="auto" w:fill="00B050"/>
            <w:tcMar>
              <w:top w:w="57" w:type="dxa"/>
              <w:bottom w:w="57" w:type="dxa"/>
            </w:tcMar>
          </w:tcPr>
          <w:p w14:paraId="31FF70F9" w14:textId="77777777" w:rsidR="0020101A" w:rsidRPr="00433D3E" w:rsidRDefault="0020101A" w:rsidP="00720F9E">
            <w:pPr>
              <w:rPr>
                <w:rFonts w:cs="Arial"/>
                <w:color w:val="FFFFFF"/>
                <w:sz w:val="20"/>
                <w:szCs w:val="20"/>
              </w:rPr>
            </w:pPr>
            <w:r w:rsidRPr="00433D3E">
              <w:rPr>
                <w:rFonts w:cs="Arial"/>
                <w:b/>
                <w:bCs/>
                <w:i/>
                <w:iCs/>
                <w:color w:val="FFFFFF"/>
                <w:sz w:val="22"/>
                <w:szCs w:val="20"/>
                <w:lang w:val="en-US"/>
              </w:rPr>
              <w:t>Launched in the UK (or licence change for existing products)</w:t>
            </w:r>
          </w:p>
        </w:tc>
      </w:tr>
      <w:tr w:rsidR="006F34D1" w:rsidRPr="00131D4C" w14:paraId="772EB5BC" w14:textId="77777777" w:rsidTr="00CC4965">
        <w:tc>
          <w:tcPr>
            <w:tcW w:w="1494" w:type="pct"/>
            <w:shd w:val="clear" w:color="auto" w:fill="auto"/>
            <w:tcMar>
              <w:top w:w="57" w:type="dxa"/>
              <w:left w:w="170" w:type="dxa"/>
              <w:bottom w:w="57" w:type="dxa"/>
              <w:right w:w="170" w:type="dxa"/>
            </w:tcMar>
          </w:tcPr>
          <w:p w14:paraId="54651772" w14:textId="2A744DB6" w:rsidR="006F34D1" w:rsidRPr="0011452F" w:rsidRDefault="006F34D1" w:rsidP="006F34D1">
            <w:pPr>
              <w:rPr>
                <w:rFonts w:cs="Arial"/>
                <w:szCs w:val="19"/>
              </w:rPr>
            </w:pPr>
            <w:r>
              <w:rPr>
                <w:rFonts w:cs="Arial"/>
                <w:szCs w:val="19"/>
              </w:rPr>
              <w:t>Adalimumab biosimilar (</w:t>
            </w:r>
            <w:r>
              <w:rPr>
                <w:rFonts w:cs="Arial"/>
                <w:i/>
                <w:iCs/>
                <w:szCs w:val="19"/>
              </w:rPr>
              <w:t>Yuflyma</w:t>
            </w:r>
            <w:r>
              <w:rPr>
                <w:rFonts w:cs="Arial"/>
                <w:szCs w:val="19"/>
              </w:rPr>
              <w:t xml:space="preserve">) </w:t>
            </w:r>
            <w:r w:rsidRPr="003C6117">
              <w:rPr>
                <w:rFonts w:cs="Arial"/>
                <w:sz w:val="16"/>
                <w:szCs w:val="16"/>
              </w:rPr>
              <w:t>20mg in 0.2mL prefilled syringe</w:t>
            </w:r>
          </w:p>
        </w:tc>
        <w:tc>
          <w:tcPr>
            <w:tcW w:w="3506" w:type="pct"/>
            <w:shd w:val="clear" w:color="auto" w:fill="auto"/>
            <w:tcMar>
              <w:top w:w="57" w:type="dxa"/>
              <w:left w:w="170" w:type="dxa"/>
              <w:bottom w:w="57" w:type="dxa"/>
              <w:right w:w="170" w:type="dxa"/>
            </w:tcMar>
          </w:tcPr>
          <w:p w14:paraId="45415A36" w14:textId="4AD6082C" w:rsidR="006F34D1" w:rsidRPr="009C4947" w:rsidRDefault="006F34D1" w:rsidP="006F34D1">
            <w:pPr>
              <w:tabs>
                <w:tab w:val="center" w:pos="3152"/>
              </w:tabs>
              <w:rPr>
                <w:rFonts w:cs="Arial"/>
                <w:szCs w:val="19"/>
                <w:lang w:val="en-US"/>
              </w:rPr>
            </w:pPr>
            <w:r w:rsidRPr="003C6117">
              <w:rPr>
                <w:rFonts w:cs="Arial"/>
                <w:szCs w:val="19"/>
                <w:lang w:val="en-US"/>
              </w:rPr>
              <w:t>Treatment of juvenile idiopathic arthritis, paediatric plaque psoriasis, paediatric Crohn´s disease and paediatric uveitis</w:t>
            </w:r>
            <w:r>
              <w:rPr>
                <w:rFonts w:cs="Arial"/>
                <w:szCs w:val="19"/>
                <w:lang w:val="en-US"/>
              </w:rPr>
              <w:t xml:space="preserve"> </w:t>
            </w:r>
            <w:r w:rsidRPr="003C6117">
              <w:rPr>
                <w:rFonts w:cs="Arial"/>
                <w:sz w:val="16"/>
                <w:szCs w:val="16"/>
                <w:lang w:val="en-US"/>
              </w:rPr>
              <w:t>[new strength]</w:t>
            </w:r>
          </w:p>
        </w:tc>
      </w:tr>
      <w:tr w:rsidR="000C2719" w:rsidRPr="00131D4C" w14:paraId="73FB0619" w14:textId="77777777" w:rsidTr="00CC4965">
        <w:tc>
          <w:tcPr>
            <w:tcW w:w="1494" w:type="pct"/>
            <w:shd w:val="clear" w:color="auto" w:fill="auto"/>
            <w:tcMar>
              <w:top w:w="57" w:type="dxa"/>
              <w:left w:w="170" w:type="dxa"/>
              <w:bottom w:w="57" w:type="dxa"/>
              <w:right w:w="170" w:type="dxa"/>
            </w:tcMar>
          </w:tcPr>
          <w:p w14:paraId="4A557096" w14:textId="77777777" w:rsidR="000C2719" w:rsidRDefault="000C2719" w:rsidP="000C2719">
            <w:pPr>
              <w:rPr>
                <w:rFonts w:cs="Arial"/>
                <w:szCs w:val="19"/>
              </w:rPr>
            </w:pPr>
            <w:r>
              <w:rPr>
                <w:rFonts w:cs="Arial"/>
                <w:szCs w:val="19"/>
              </w:rPr>
              <w:t>Alectinib (</w:t>
            </w:r>
            <w:r>
              <w:rPr>
                <w:rFonts w:cs="Arial"/>
                <w:i/>
                <w:iCs/>
                <w:szCs w:val="19"/>
              </w:rPr>
              <w:t>Alecensa</w:t>
            </w:r>
            <w:r>
              <w:rPr>
                <w:rFonts w:cs="Arial"/>
                <w:szCs w:val="19"/>
              </w:rPr>
              <w:t>)</w:t>
            </w:r>
          </w:p>
          <w:p w14:paraId="55FEF19F" w14:textId="1BB2B65C" w:rsidR="000C2719" w:rsidRPr="001842BB" w:rsidRDefault="000C2719" w:rsidP="000C2719">
            <w:pPr>
              <w:rPr>
                <w:rFonts w:cs="Arial"/>
                <w:szCs w:val="19"/>
              </w:rPr>
            </w:pPr>
            <w:r w:rsidRPr="000C2719">
              <w:rPr>
                <w:rFonts w:cs="Arial"/>
                <w:sz w:val="16"/>
                <w:szCs w:val="16"/>
              </w:rPr>
              <w:t>150mg capsule</w:t>
            </w:r>
          </w:p>
        </w:tc>
        <w:tc>
          <w:tcPr>
            <w:tcW w:w="3506" w:type="pct"/>
            <w:shd w:val="clear" w:color="auto" w:fill="auto"/>
            <w:tcMar>
              <w:top w:w="57" w:type="dxa"/>
              <w:left w:w="170" w:type="dxa"/>
              <w:bottom w:w="57" w:type="dxa"/>
              <w:right w:w="170" w:type="dxa"/>
            </w:tcMar>
          </w:tcPr>
          <w:p w14:paraId="30883236" w14:textId="25EA8F1E" w:rsidR="000C2719" w:rsidRDefault="000C2719" w:rsidP="000C2719">
            <w:pPr>
              <w:tabs>
                <w:tab w:val="center" w:pos="3152"/>
              </w:tabs>
              <w:rPr>
                <w:rFonts w:cs="Arial"/>
                <w:bCs/>
                <w:szCs w:val="19"/>
              </w:rPr>
            </w:pPr>
            <w:r>
              <w:rPr>
                <w:rFonts w:cs="Arial"/>
                <w:szCs w:val="19"/>
                <w:lang w:val="en-US"/>
              </w:rPr>
              <w:t>M</w:t>
            </w:r>
            <w:r w:rsidRPr="000C2719">
              <w:rPr>
                <w:rFonts w:cs="Arial"/>
                <w:szCs w:val="19"/>
                <w:lang w:val="en-US"/>
              </w:rPr>
              <w:t xml:space="preserve">onotherapy as adjuvant treatment for adults with Stage IB (tumours ≥4cm) to IIIA (7th edition of the UICC/AJCC-staging system) ALK-positive non-small cell lung cancer following complete tumour resection </w:t>
            </w:r>
            <w:r w:rsidRPr="00AD2E78">
              <w:rPr>
                <w:rFonts w:cs="Arial"/>
                <w:sz w:val="16"/>
                <w:szCs w:val="16"/>
                <w:lang w:val="en-US"/>
              </w:rPr>
              <w:t>[new indication]</w:t>
            </w:r>
          </w:p>
        </w:tc>
      </w:tr>
      <w:tr w:rsidR="000C2719" w:rsidRPr="00131D4C" w14:paraId="3904C2F8" w14:textId="77777777" w:rsidTr="00CC4965">
        <w:tc>
          <w:tcPr>
            <w:tcW w:w="1494" w:type="pct"/>
            <w:shd w:val="clear" w:color="auto" w:fill="auto"/>
            <w:tcMar>
              <w:top w:w="57" w:type="dxa"/>
              <w:left w:w="170" w:type="dxa"/>
              <w:bottom w:w="57" w:type="dxa"/>
              <w:right w:w="170" w:type="dxa"/>
            </w:tcMar>
          </w:tcPr>
          <w:p w14:paraId="2A2998F2" w14:textId="77777777" w:rsidR="000C2719" w:rsidRDefault="000C2719" w:rsidP="000C2719">
            <w:pPr>
              <w:rPr>
                <w:rFonts w:cs="Arial"/>
                <w:szCs w:val="19"/>
              </w:rPr>
            </w:pPr>
            <w:r w:rsidRPr="001B3421">
              <w:rPr>
                <w:rFonts w:cs="Arial"/>
                <w:szCs w:val="19"/>
              </w:rPr>
              <w:t>Amivantamab</w:t>
            </w:r>
            <w:r>
              <w:rPr>
                <w:rFonts w:cs="Arial"/>
                <w:szCs w:val="19"/>
              </w:rPr>
              <w:t xml:space="preserve"> (</w:t>
            </w:r>
            <w:r>
              <w:rPr>
                <w:rFonts w:cs="Arial"/>
                <w:i/>
                <w:iCs/>
                <w:szCs w:val="19"/>
              </w:rPr>
              <w:t>Rybrevant</w:t>
            </w:r>
            <w:r>
              <w:rPr>
                <w:rFonts w:cs="Arial"/>
                <w:szCs w:val="19"/>
              </w:rPr>
              <w:t>)</w:t>
            </w:r>
          </w:p>
          <w:p w14:paraId="0025EE0A" w14:textId="18DD5382" w:rsidR="000C2719" w:rsidRPr="009B4F9E" w:rsidRDefault="000C2719" w:rsidP="000C2719">
            <w:pPr>
              <w:rPr>
                <w:rFonts w:cs="Arial"/>
                <w:szCs w:val="19"/>
              </w:rPr>
            </w:pPr>
            <w:r w:rsidRPr="00DF6A7B">
              <w:rPr>
                <w:rFonts w:cs="Arial"/>
                <w:sz w:val="16"/>
                <w:szCs w:val="16"/>
              </w:rPr>
              <w:t>350mg in 7mL vial</w:t>
            </w:r>
          </w:p>
        </w:tc>
        <w:tc>
          <w:tcPr>
            <w:tcW w:w="3506" w:type="pct"/>
            <w:shd w:val="clear" w:color="auto" w:fill="auto"/>
            <w:tcMar>
              <w:top w:w="57" w:type="dxa"/>
              <w:left w:w="170" w:type="dxa"/>
              <w:bottom w:w="57" w:type="dxa"/>
              <w:right w:w="170" w:type="dxa"/>
            </w:tcMar>
          </w:tcPr>
          <w:p w14:paraId="4A2999F9" w14:textId="7DD962A9" w:rsidR="000C2719" w:rsidRPr="00A075A3" w:rsidRDefault="000C2719" w:rsidP="000C2719">
            <w:pPr>
              <w:tabs>
                <w:tab w:val="center" w:pos="3152"/>
              </w:tabs>
              <w:rPr>
                <w:rFonts w:cs="Arial"/>
                <w:szCs w:val="19"/>
                <w:lang w:val="en-US"/>
              </w:rPr>
            </w:pPr>
            <w:r>
              <w:rPr>
                <w:rFonts w:cs="Arial"/>
                <w:szCs w:val="19"/>
                <w:lang w:val="en-US"/>
              </w:rPr>
              <w:t xml:space="preserve">Use </w:t>
            </w:r>
            <w:r w:rsidRPr="001B3421">
              <w:rPr>
                <w:rFonts w:cs="Arial"/>
                <w:szCs w:val="19"/>
                <w:lang w:val="en-US"/>
              </w:rPr>
              <w:t>in combination with carboplatin and pemetrexed for the first</w:t>
            </w:r>
            <w:r w:rsidRPr="001B3421">
              <w:rPr>
                <w:rFonts w:ascii="Cambria Math" w:hAnsi="Cambria Math" w:cs="Cambria Math"/>
                <w:szCs w:val="19"/>
                <w:lang w:val="en-US"/>
              </w:rPr>
              <w:t>‑</w:t>
            </w:r>
            <w:r w:rsidRPr="001B3421">
              <w:rPr>
                <w:rFonts w:cs="Arial"/>
                <w:szCs w:val="19"/>
                <w:lang w:val="en-US"/>
              </w:rPr>
              <w:t>line treatment of adults with advanced non-small cell lung cancer with activating EGFR Exon 20 insertion mutations</w:t>
            </w:r>
            <w:r>
              <w:rPr>
                <w:rFonts w:cs="Arial"/>
                <w:szCs w:val="19"/>
                <w:lang w:val="en-US"/>
              </w:rPr>
              <w:t xml:space="preserve"> </w:t>
            </w:r>
            <w:r w:rsidRPr="00AD2E78">
              <w:rPr>
                <w:rFonts w:cs="Arial"/>
                <w:sz w:val="16"/>
                <w:szCs w:val="16"/>
                <w:lang w:val="en-US"/>
              </w:rPr>
              <w:t>[new indication]</w:t>
            </w:r>
          </w:p>
        </w:tc>
      </w:tr>
      <w:tr w:rsidR="000C2719" w:rsidRPr="00131D4C" w14:paraId="3AC71D07" w14:textId="77777777" w:rsidTr="00CC4965">
        <w:tc>
          <w:tcPr>
            <w:tcW w:w="1494" w:type="pct"/>
            <w:shd w:val="clear" w:color="auto" w:fill="auto"/>
            <w:tcMar>
              <w:top w:w="57" w:type="dxa"/>
              <w:left w:w="170" w:type="dxa"/>
              <w:bottom w:w="57" w:type="dxa"/>
              <w:right w:w="170" w:type="dxa"/>
            </w:tcMar>
          </w:tcPr>
          <w:p w14:paraId="17AAF5B1" w14:textId="77777777" w:rsidR="000C2719" w:rsidRDefault="000C2719" w:rsidP="000C2719">
            <w:pPr>
              <w:rPr>
                <w:rFonts w:cs="Arial"/>
                <w:szCs w:val="19"/>
              </w:rPr>
            </w:pPr>
            <w:r>
              <w:rPr>
                <w:rFonts w:cs="Arial"/>
                <w:szCs w:val="19"/>
              </w:rPr>
              <w:t>Durvalumab (</w:t>
            </w:r>
            <w:r>
              <w:rPr>
                <w:rFonts w:cs="Arial"/>
                <w:i/>
                <w:iCs/>
                <w:szCs w:val="19"/>
              </w:rPr>
              <w:t>Imfinzi</w:t>
            </w:r>
            <w:r>
              <w:rPr>
                <w:rFonts w:cs="Arial"/>
                <w:szCs w:val="19"/>
              </w:rPr>
              <w:t xml:space="preserve">) </w:t>
            </w:r>
          </w:p>
          <w:p w14:paraId="06B88056" w14:textId="14A04A5D" w:rsidR="000C2719" w:rsidRPr="00CD46F4" w:rsidRDefault="000C2719" w:rsidP="000C2719">
            <w:pPr>
              <w:rPr>
                <w:rFonts w:cs="Arial"/>
                <w:szCs w:val="19"/>
              </w:rPr>
            </w:pPr>
            <w:r w:rsidRPr="001842BB">
              <w:rPr>
                <w:rFonts w:cs="Arial"/>
                <w:sz w:val="16"/>
                <w:szCs w:val="16"/>
              </w:rPr>
              <w:t>120mg in 2.4mL and 500mg in 10mL vials</w:t>
            </w:r>
          </w:p>
        </w:tc>
        <w:tc>
          <w:tcPr>
            <w:tcW w:w="3506" w:type="pct"/>
            <w:shd w:val="clear" w:color="auto" w:fill="auto"/>
            <w:tcMar>
              <w:top w:w="57" w:type="dxa"/>
              <w:left w:w="170" w:type="dxa"/>
              <w:bottom w:w="57" w:type="dxa"/>
              <w:right w:w="170" w:type="dxa"/>
            </w:tcMar>
          </w:tcPr>
          <w:p w14:paraId="6F20075B" w14:textId="3FF5B423" w:rsidR="000C2719" w:rsidRPr="00CD46F4" w:rsidRDefault="000C2719" w:rsidP="000C2719">
            <w:pPr>
              <w:tabs>
                <w:tab w:val="center" w:pos="3152"/>
              </w:tabs>
              <w:rPr>
                <w:rFonts w:cs="Arial"/>
                <w:color w:val="000000"/>
                <w:szCs w:val="19"/>
                <w:lang w:val="en-US"/>
              </w:rPr>
            </w:pPr>
            <w:r>
              <w:rPr>
                <w:rFonts w:cs="Arial"/>
                <w:bCs/>
                <w:szCs w:val="19"/>
              </w:rPr>
              <w:t xml:space="preserve">Use </w:t>
            </w:r>
            <w:r w:rsidRPr="001842BB">
              <w:rPr>
                <w:rFonts w:cs="Arial"/>
                <w:bCs/>
                <w:szCs w:val="19"/>
              </w:rPr>
              <w:t xml:space="preserve">in combination with platinum-based chemotherapy as neoadjuvant treatment, followed by </w:t>
            </w:r>
            <w:r>
              <w:rPr>
                <w:rFonts w:cs="Arial"/>
                <w:bCs/>
                <w:i/>
                <w:iCs/>
                <w:szCs w:val="19"/>
              </w:rPr>
              <w:t>Imfinzi</w:t>
            </w:r>
            <w:r w:rsidRPr="001842BB">
              <w:rPr>
                <w:rFonts w:cs="Arial"/>
                <w:bCs/>
                <w:szCs w:val="19"/>
              </w:rPr>
              <w:t xml:space="preserve"> as monotherapy after surgery, for the treatment of adults with resectable (tumours ≥4cm and/or node positive) </w:t>
            </w:r>
            <w:r>
              <w:rPr>
                <w:rFonts w:cs="Arial"/>
                <w:bCs/>
                <w:szCs w:val="19"/>
              </w:rPr>
              <w:t>non-small cell lung cancer</w:t>
            </w:r>
            <w:r w:rsidRPr="001842BB">
              <w:rPr>
                <w:rFonts w:cs="Arial"/>
                <w:bCs/>
                <w:szCs w:val="19"/>
              </w:rPr>
              <w:t xml:space="preserve"> and no known EGFR mutations or ALK rearrangements</w:t>
            </w:r>
            <w:r>
              <w:rPr>
                <w:rFonts w:cs="Arial"/>
                <w:bCs/>
                <w:szCs w:val="19"/>
              </w:rPr>
              <w:t xml:space="preserve"> </w:t>
            </w:r>
            <w:r w:rsidRPr="001842BB">
              <w:rPr>
                <w:rFonts w:cs="Arial"/>
                <w:bCs/>
                <w:sz w:val="16"/>
                <w:szCs w:val="16"/>
              </w:rPr>
              <w:t>[new indication]</w:t>
            </w:r>
          </w:p>
        </w:tc>
      </w:tr>
      <w:tr w:rsidR="000C2719" w:rsidRPr="00131D4C" w14:paraId="5524D62A" w14:textId="77777777" w:rsidTr="00CC4965">
        <w:tc>
          <w:tcPr>
            <w:tcW w:w="1494" w:type="pct"/>
            <w:shd w:val="clear" w:color="auto" w:fill="auto"/>
            <w:tcMar>
              <w:top w:w="57" w:type="dxa"/>
              <w:left w:w="170" w:type="dxa"/>
              <w:bottom w:w="57" w:type="dxa"/>
              <w:right w:w="170" w:type="dxa"/>
            </w:tcMar>
          </w:tcPr>
          <w:p w14:paraId="29B6A761" w14:textId="77777777" w:rsidR="000C2719" w:rsidRDefault="000C2719" w:rsidP="000C2719">
            <w:pPr>
              <w:rPr>
                <w:rFonts w:cs="Arial"/>
                <w:szCs w:val="19"/>
              </w:rPr>
            </w:pPr>
            <w:r>
              <w:rPr>
                <w:rFonts w:cs="Arial"/>
                <w:szCs w:val="19"/>
              </w:rPr>
              <w:t>Empagliflozin (</w:t>
            </w:r>
            <w:r>
              <w:rPr>
                <w:rFonts w:cs="Arial"/>
                <w:i/>
                <w:iCs/>
                <w:szCs w:val="19"/>
              </w:rPr>
              <w:t>Jardiance</w:t>
            </w:r>
            <w:r>
              <w:rPr>
                <w:rFonts w:cs="Arial"/>
                <w:szCs w:val="19"/>
              </w:rPr>
              <w:t>)</w:t>
            </w:r>
          </w:p>
          <w:p w14:paraId="03B16FD6" w14:textId="5F4003A9" w:rsidR="000C2719" w:rsidRPr="00EA51C2" w:rsidRDefault="000C2719" w:rsidP="000C2719">
            <w:pPr>
              <w:rPr>
                <w:rFonts w:cs="Arial"/>
                <w:szCs w:val="19"/>
              </w:rPr>
            </w:pPr>
            <w:r w:rsidRPr="00CD46F4">
              <w:rPr>
                <w:rFonts w:cs="Arial"/>
                <w:sz w:val="16"/>
                <w:szCs w:val="16"/>
              </w:rPr>
              <w:t>10mg and 25mg tablets</w:t>
            </w:r>
          </w:p>
        </w:tc>
        <w:tc>
          <w:tcPr>
            <w:tcW w:w="3506" w:type="pct"/>
            <w:shd w:val="clear" w:color="auto" w:fill="auto"/>
            <w:tcMar>
              <w:top w:w="57" w:type="dxa"/>
              <w:left w:w="170" w:type="dxa"/>
              <w:bottom w:w="57" w:type="dxa"/>
              <w:right w:w="170" w:type="dxa"/>
            </w:tcMar>
          </w:tcPr>
          <w:p w14:paraId="14F425EC" w14:textId="77777777" w:rsidR="00CC4965" w:rsidRDefault="000C2719" w:rsidP="00CC4965">
            <w:pPr>
              <w:tabs>
                <w:tab w:val="center" w:pos="3152"/>
              </w:tabs>
              <w:rPr>
                <w:rFonts w:cs="Arial"/>
                <w:color w:val="000000"/>
                <w:szCs w:val="19"/>
                <w:lang w:val="en-US"/>
              </w:rPr>
            </w:pPr>
            <w:r w:rsidRPr="00CD46F4">
              <w:rPr>
                <w:rFonts w:cs="Arial"/>
                <w:color w:val="000000"/>
                <w:szCs w:val="19"/>
                <w:lang w:val="en-US"/>
              </w:rPr>
              <w:t xml:space="preserve">Use in adults and children aged ≥10 years for the treatment of insufficiently controlled type 2 diabetes mellitus as an adjunct to diet and exercise as monotherapy when metformin is considered inappropriate due to intolerance and in addition to other medicinal products for the treatment of </w:t>
            </w:r>
            <w:proofErr w:type="gramStart"/>
            <w:r w:rsidRPr="00CD46F4">
              <w:rPr>
                <w:rFonts w:cs="Arial"/>
                <w:color w:val="000000"/>
                <w:szCs w:val="19"/>
                <w:lang w:val="en-US"/>
              </w:rPr>
              <w:t>diabetes</w:t>
            </w:r>
            <w:proofErr w:type="gramEnd"/>
            <w:r>
              <w:rPr>
                <w:rFonts w:cs="Arial"/>
                <w:color w:val="000000"/>
                <w:szCs w:val="19"/>
                <w:lang w:val="en-US"/>
              </w:rPr>
              <w:t xml:space="preserve"> </w:t>
            </w:r>
          </w:p>
          <w:p w14:paraId="491C137F" w14:textId="35C3006D" w:rsidR="000C2719" w:rsidRPr="00B64A1C" w:rsidRDefault="000C2719" w:rsidP="00CC4965">
            <w:pPr>
              <w:tabs>
                <w:tab w:val="center" w:pos="3152"/>
              </w:tabs>
              <w:rPr>
                <w:rFonts w:cs="Arial"/>
                <w:sz w:val="18"/>
                <w:szCs w:val="18"/>
              </w:rPr>
            </w:pPr>
            <w:r w:rsidRPr="00CC4965">
              <w:rPr>
                <w:rFonts w:cs="Arial"/>
                <w:color w:val="000000"/>
                <w:sz w:val="16"/>
                <w:szCs w:val="16"/>
                <w:lang w:val="en-US"/>
              </w:rPr>
              <w:t>[licence change from use only in adults]</w:t>
            </w:r>
          </w:p>
        </w:tc>
      </w:tr>
      <w:tr w:rsidR="000C2719" w:rsidRPr="00131D4C" w14:paraId="5F6D9C2B" w14:textId="77777777" w:rsidTr="00CC4965">
        <w:tc>
          <w:tcPr>
            <w:tcW w:w="1494" w:type="pct"/>
            <w:shd w:val="clear" w:color="auto" w:fill="auto"/>
            <w:tcMar>
              <w:top w:w="57" w:type="dxa"/>
              <w:left w:w="170" w:type="dxa"/>
              <w:bottom w:w="57" w:type="dxa"/>
              <w:right w:w="170" w:type="dxa"/>
            </w:tcMar>
          </w:tcPr>
          <w:p w14:paraId="7D7995CE" w14:textId="77777777" w:rsidR="000C2719" w:rsidRDefault="000C2719" w:rsidP="000C2719">
            <w:pPr>
              <w:rPr>
                <w:rFonts w:cs="Arial"/>
                <w:szCs w:val="19"/>
              </w:rPr>
            </w:pPr>
            <w:r w:rsidRPr="00DB296C">
              <w:rPr>
                <w:rFonts w:cs="Arial"/>
                <w:szCs w:val="19"/>
              </w:rPr>
              <w:t>Etranacogene dezaparvovec</w:t>
            </w:r>
            <w:r>
              <w:rPr>
                <w:rFonts w:cs="Arial"/>
                <w:szCs w:val="19"/>
              </w:rPr>
              <w:t xml:space="preserve"> (</w:t>
            </w:r>
            <w:r>
              <w:rPr>
                <w:rFonts w:cs="Arial"/>
                <w:i/>
                <w:iCs/>
                <w:szCs w:val="19"/>
              </w:rPr>
              <w:t>Hemgenix</w:t>
            </w:r>
            <w:r>
              <w:rPr>
                <w:rFonts w:cs="Arial"/>
                <w:szCs w:val="19"/>
              </w:rPr>
              <w:t>)</w:t>
            </w:r>
          </w:p>
          <w:p w14:paraId="0138D9BC" w14:textId="3C74E8D0" w:rsidR="000C2719" w:rsidRPr="00723718" w:rsidRDefault="000C2719" w:rsidP="000C2719">
            <w:pPr>
              <w:rPr>
                <w:rFonts w:cs="Arial"/>
                <w:szCs w:val="19"/>
              </w:rPr>
            </w:pPr>
            <w:r w:rsidRPr="00DB296C">
              <w:rPr>
                <w:rFonts w:cs="Arial"/>
                <w:sz w:val="16"/>
                <w:szCs w:val="16"/>
              </w:rPr>
              <w:t>1x10</w:t>
            </w:r>
            <w:r w:rsidRPr="00DB296C">
              <w:rPr>
                <w:rFonts w:cs="Arial"/>
                <w:sz w:val="16"/>
                <w:szCs w:val="16"/>
                <w:vertAlign w:val="superscript"/>
              </w:rPr>
              <w:t>14</w:t>
            </w:r>
            <w:r w:rsidRPr="00DB296C">
              <w:rPr>
                <w:rFonts w:cs="Arial"/>
                <w:sz w:val="16"/>
                <w:szCs w:val="16"/>
              </w:rPr>
              <w:t xml:space="preserve"> genome copies in 10mL vial</w:t>
            </w:r>
          </w:p>
        </w:tc>
        <w:tc>
          <w:tcPr>
            <w:tcW w:w="3506" w:type="pct"/>
            <w:shd w:val="clear" w:color="auto" w:fill="auto"/>
            <w:tcMar>
              <w:top w:w="57" w:type="dxa"/>
              <w:left w:w="170" w:type="dxa"/>
              <w:bottom w:w="57" w:type="dxa"/>
              <w:right w:w="170" w:type="dxa"/>
            </w:tcMar>
          </w:tcPr>
          <w:p w14:paraId="7D05B7EB" w14:textId="6C143978" w:rsidR="000C2719" w:rsidRPr="001D7849" w:rsidRDefault="000C2719" w:rsidP="000C2719">
            <w:pPr>
              <w:tabs>
                <w:tab w:val="center" w:pos="3152"/>
              </w:tabs>
              <w:rPr>
                <w:rFonts w:cs="Arial"/>
                <w:szCs w:val="19"/>
              </w:rPr>
            </w:pPr>
            <w:r w:rsidRPr="00DB296C">
              <w:rPr>
                <w:rFonts w:cs="Arial"/>
                <w:szCs w:val="19"/>
                <w:lang w:val="en-US"/>
              </w:rPr>
              <w:t xml:space="preserve">Treatment of severe and moderately severe </w:t>
            </w:r>
            <w:r>
              <w:rPr>
                <w:rFonts w:cs="Arial"/>
                <w:szCs w:val="19"/>
                <w:lang w:val="en-US"/>
              </w:rPr>
              <w:t>h</w:t>
            </w:r>
            <w:r w:rsidRPr="00DB296C">
              <w:rPr>
                <w:rFonts w:cs="Arial"/>
                <w:szCs w:val="19"/>
                <w:lang w:val="en-US"/>
              </w:rPr>
              <w:t xml:space="preserve">aemophilia B (congenital </w:t>
            </w:r>
            <w:r>
              <w:rPr>
                <w:rFonts w:cs="Arial"/>
                <w:szCs w:val="19"/>
                <w:lang w:val="en-US"/>
              </w:rPr>
              <w:t>f</w:t>
            </w:r>
            <w:r w:rsidRPr="00DB296C">
              <w:rPr>
                <w:rFonts w:cs="Arial"/>
                <w:szCs w:val="19"/>
                <w:lang w:val="en-US"/>
              </w:rPr>
              <w:t xml:space="preserve">actor IX deficiency) in adults without a history of </w:t>
            </w:r>
            <w:r>
              <w:rPr>
                <w:rFonts w:cs="Arial"/>
                <w:szCs w:val="19"/>
                <w:lang w:val="en-US"/>
              </w:rPr>
              <w:t>f</w:t>
            </w:r>
            <w:r w:rsidRPr="00DB296C">
              <w:rPr>
                <w:rFonts w:cs="Arial"/>
                <w:szCs w:val="19"/>
                <w:lang w:val="en-US"/>
              </w:rPr>
              <w:t>actor IX inhibitors</w:t>
            </w:r>
          </w:p>
        </w:tc>
      </w:tr>
      <w:tr w:rsidR="00CC4965" w:rsidRPr="00131D4C" w14:paraId="76379701" w14:textId="77777777" w:rsidTr="00CC4965">
        <w:tc>
          <w:tcPr>
            <w:tcW w:w="1494" w:type="pct"/>
            <w:shd w:val="clear" w:color="auto" w:fill="auto"/>
            <w:tcMar>
              <w:top w:w="57" w:type="dxa"/>
              <w:left w:w="170" w:type="dxa"/>
              <w:bottom w:w="57" w:type="dxa"/>
              <w:right w:w="170" w:type="dxa"/>
            </w:tcMar>
          </w:tcPr>
          <w:p w14:paraId="3BA8B10D" w14:textId="77777777" w:rsidR="000E3AF0" w:rsidRDefault="00CD7CE2" w:rsidP="00CC4965">
            <w:pPr>
              <w:rPr>
                <w:rFonts w:cs="Arial"/>
                <w:szCs w:val="19"/>
              </w:rPr>
            </w:pPr>
            <w:r>
              <w:rPr>
                <w:rFonts w:cs="Arial"/>
                <w:szCs w:val="19"/>
              </w:rPr>
              <w:t>Human normal immunoglobulin (</w:t>
            </w:r>
            <w:r>
              <w:rPr>
                <w:rFonts w:cs="Arial"/>
                <w:i/>
                <w:iCs/>
                <w:szCs w:val="19"/>
              </w:rPr>
              <w:t>Xembify</w:t>
            </w:r>
            <w:r>
              <w:rPr>
                <w:rFonts w:cs="Arial"/>
                <w:szCs w:val="19"/>
              </w:rPr>
              <w:t>)</w:t>
            </w:r>
          </w:p>
          <w:p w14:paraId="0B0D1549" w14:textId="1CF6D875" w:rsidR="00CD7CE2" w:rsidRPr="00CD7CE2" w:rsidRDefault="00CD7CE2" w:rsidP="00CC4965">
            <w:pPr>
              <w:rPr>
                <w:rFonts w:cs="Arial"/>
                <w:szCs w:val="19"/>
              </w:rPr>
            </w:pPr>
            <w:r w:rsidRPr="00CD7CE2">
              <w:rPr>
                <w:rFonts w:cs="Arial"/>
                <w:sz w:val="16"/>
                <w:szCs w:val="16"/>
              </w:rPr>
              <w:t>1g in 5mL, 2g in 10mL, 4g in 20mL and 10g in 50mL vials</w:t>
            </w:r>
          </w:p>
        </w:tc>
        <w:tc>
          <w:tcPr>
            <w:tcW w:w="3506" w:type="pct"/>
            <w:shd w:val="clear" w:color="auto" w:fill="auto"/>
            <w:tcMar>
              <w:top w:w="57" w:type="dxa"/>
              <w:left w:w="170" w:type="dxa"/>
              <w:bottom w:w="57" w:type="dxa"/>
              <w:right w:w="170" w:type="dxa"/>
            </w:tcMar>
          </w:tcPr>
          <w:p w14:paraId="0FF64812" w14:textId="795FFA5E" w:rsidR="00CC4965" w:rsidRPr="00A075A3" w:rsidRDefault="003F524C" w:rsidP="00CC4965">
            <w:pPr>
              <w:tabs>
                <w:tab w:val="num" w:pos="720"/>
                <w:tab w:val="center" w:pos="3152"/>
              </w:tabs>
              <w:rPr>
                <w:rFonts w:cs="Arial"/>
                <w:szCs w:val="19"/>
                <w:lang w:val="en-US"/>
              </w:rPr>
            </w:pPr>
            <w:r w:rsidRPr="003F524C">
              <w:rPr>
                <w:rFonts w:cs="Arial"/>
                <w:szCs w:val="19"/>
                <w:lang w:val="en-US"/>
              </w:rPr>
              <w:t xml:space="preserve">Replacement therapy in adults, children and adolescents </w:t>
            </w:r>
            <w:r>
              <w:rPr>
                <w:rFonts w:cs="Arial"/>
                <w:szCs w:val="19"/>
                <w:lang w:val="en-US"/>
              </w:rPr>
              <w:t xml:space="preserve">aged </w:t>
            </w:r>
            <w:r w:rsidRPr="003F524C">
              <w:rPr>
                <w:rFonts w:cs="Arial"/>
                <w:szCs w:val="19"/>
                <w:lang w:val="en-US"/>
              </w:rPr>
              <w:t>0-18 years in primary immunodeficiency syndromes with impaired antibody production, hypogammaglobulinaemia and recurrent bacterial infections in patients with chronic lymphocytic leukaemia in whom prophylactic antibiotics have failed or are contra-indicated, hypogammaglobulinaemia and recurrent bacterial infections in multiple myeloma patients, and hypogammaglobulinaemia in patients pre- and post- allogeneic haematopoietic stem cell transplantation</w:t>
            </w:r>
            <w:r>
              <w:rPr>
                <w:rFonts w:cs="Arial"/>
                <w:szCs w:val="19"/>
                <w:lang w:val="en-US"/>
              </w:rPr>
              <w:t xml:space="preserve"> </w:t>
            </w:r>
            <w:r w:rsidRPr="003F524C">
              <w:rPr>
                <w:rFonts w:cs="Arial"/>
                <w:sz w:val="16"/>
                <w:szCs w:val="16"/>
                <w:lang w:val="en-US"/>
              </w:rPr>
              <w:t xml:space="preserve">[new </w:t>
            </w:r>
            <w:r>
              <w:rPr>
                <w:rFonts w:cs="Arial"/>
                <w:sz w:val="16"/>
                <w:szCs w:val="16"/>
                <w:lang w:val="en-US"/>
              </w:rPr>
              <w:t xml:space="preserve">subcutaneous </w:t>
            </w:r>
            <w:r w:rsidRPr="003F524C">
              <w:rPr>
                <w:rFonts w:cs="Arial"/>
                <w:sz w:val="16"/>
                <w:szCs w:val="16"/>
                <w:lang w:val="en-US"/>
              </w:rPr>
              <w:t>formulation]</w:t>
            </w:r>
          </w:p>
        </w:tc>
      </w:tr>
      <w:tr w:rsidR="00CD7CE2" w14:paraId="554D79C0" w14:textId="77777777" w:rsidTr="00CC4965">
        <w:tc>
          <w:tcPr>
            <w:tcW w:w="1494" w:type="pct"/>
            <w:shd w:val="clear" w:color="auto" w:fill="auto"/>
            <w:tcMar>
              <w:top w:w="57" w:type="dxa"/>
              <w:left w:w="170" w:type="dxa"/>
              <w:bottom w:w="57" w:type="dxa"/>
              <w:right w:w="170" w:type="dxa"/>
            </w:tcMar>
          </w:tcPr>
          <w:p w14:paraId="370A932F" w14:textId="77777777" w:rsidR="00CD7CE2" w:rsidRDefault="00CD7CE2" w:rsidP="00CD7CE2">
            <w:pPr>
              <w:rPr>
                <w:rFonts w:cs="Arial"/>
                <w:szCs w:val="19"/>
              </w:rPr>
            </w:pPr>
            <w:r>
              <w:rPr>
                <w:rFonts w:cs="Arial"/>
                <w:szCs w:val="19"/>
              </w:rPr>
              <w:t>Semaglutide (</w:t>
            </w:r>
            <w:r>
              <w:rPr>
                <w:rFonts w:cs="Arial"/>
                <w:i/>
                <w:iCs/>
                <w:szCs w:val="19"/>
              </w:rPr>
              <w:t>Wegovy</w:t>
            </w:r>
            <w:r>
              <w:rPr>
                <w:rFonts w:cs="Arial"/>
                <w:szCs w:val="19"/>
              </w:rPr>
              <w:t>)</w:t>
            </w:r>
          </w:p>
          <w:p w14:paraId="4DA8F19B" w14:textId="2BBD3463" w:rsidR="00CD7CE2" w:rsidRPr="00CA0AC9" w:rsidRDefault="00CD7CE2" w:rsidP="00CD7CE2">
            <w:pPr>
              <w:rPr>
                <w:rFonts w:cs="Arial"/>
                <w:szCs w:val="19"/>
              </w:rPr>
            </w:pPr>
            <w:r w:rsidRPr="000E3AF0">
              <w:rPr>
                <w:rFonts w:cs="Arial"/>
                <w:sz w:val="16"/>
                <w:szCs w:val="16"/>
              </w:rPr>
              <w:t>2.4mg prefilled pen</w:t>
            </w:r>
          </w:p>
        </w:tc>
        <w:tc>
          <w:tcPr>
            <w:tcW w:w="3506" w:type="pct"/>
            <w:shd w:val="clear" w:color="auto" w:fill="auto"/>
            <w:tcMar>
              <w:top w:w="57" w:type="dxa"/>
              <w:left w:w="170" w:type="dxa"/>
              <w:bottom w:w="57" w:type="dxa"/>
              <w:right w:w="170" w:type="dxa"/>
            </w:tcMar>
          </w:tcPr>
          <w:p w14:paraId="148F8A4A" w14:textId="77777777" w:rsidR="00CD7CE2" w:rsidRDefault="00CD7CE2" w:rsidP="00CD7CE2">
            <w:pPr>
              <w:tabs>
                <w:tab w:val="num" w:pos="720"/>
                <w:tab w:val="center" w:pos="3152"/>
              </w:tabs>
              <w:rPr>
                <w:rFonts w:cs="Arial"/>
                <w:color w:val="000000" w:themeColor="text1"/>
                <w:szCs w:val="19"/>
                <w:lang w:val="en-US"/>
              </w:rPr>
            </w:pPr>
            <w:r>
              <w:rPr>
                <w:rFonts w:cs="Arial"/>
                <w:color w:val="000000" w:themeColor="text1"/>
                <w:szCs w:val="19"/>
                <w:lang w:val="en-US"/>
              </w:rPr>
              <w:t xml:space="preserve">Use </w:t>
            </w:r>
            <w:r w:rsidRPr="000E3AF0">
              <w:rPr>
                <w:rFonts w:cs="Arial"/>
                <w:color w:val="000000" w:themeColor="text1"/>
                <w:szCs w:val="19"/>
                <w:lang w:val="en-US"/>
              </w:rPr>
              <w:t>as an adjunct to a reduced-calorie diet and increased physical activity to reduce the risk of major adverse cardiovascular events (cardiovascular death, non-fatal myocardial infarction, or non-fatal stroke) in adults with established cardiovascular disease and either obesity or overweight (BMI ≥ 27kg/m</w:t>
            </w:r>
            <w:r w:rsidRPr="000E3AF0">
              <w:rPr>
                <w:rFonts w:cs="Arial"/>
                <w:color w:val="000000" w:themeColor="text1"/>
                <w:szCs w:val="19"/>
                <w:vertAlign w:val="superscript"/>
                <w:lang w:val="en-US"/>
              </w:rPr>
              <w:t>2</w:t>
            </w:r>
            <w:r w:rsidRPr="000E3AF0">
              <w:rPr>
                <w:rFonts w:cs="Arial"/>
                <w:color w:val="000000" w:themeColor="text1"/>
                <w:szCs w:val="19"/>
                <w:lang w:val="en-US"/>
              </w:rPr>
              <w:t>)</w:t>
            </w:r>
            <w:r>
              <w:rPr>
                <w:rFonts w:cs="Arial"/>
                <w:color w:val="000000" w:themeColor="text1"/>
                <w:szCs w:val="19"/>
                <w:lang w:val="en-US"/>
              </w:rPr>
              <w:t xml:space="preserve"> </w:t>
            </w:r>
          </w:p>
          <w:p w14:paraId="6549A50B" w14:textId="61B907EE" w:rsidR="00CD7CE2" w:rsidRPr="00A075A3" w:rsidRDefault="00CD7CE2" w:rsidP="00CD7CE2">
            <w:pPr>
              <w:tabs>
                <w:tab w:val="center" w:pos="3152"/>
              </w:tabs>
              <w:rPr>
                <w:rFonts w:cs="Arial"/>
                <w:bCs/>
                <w:szCs w:val="19"/>
              </w:rPr>
            </w:pPr>
            <w:r w:rsidRPr="000E3AF0">
              <w:rPr>
                <w:rFonts w:cs="Arial"/>
                <w:color w:val="000000" w:themeColor="text1"/>
                <w:sz w:val="16"/>
                <w:szCs w:val="16"/>
                <w:lang w:val="en-US"/>
              </w:rPr>
              <w:t>[new indication]</w:t>
            </w:r>
          </w:p>
        </w:tc>
      </w:tr>
      <w:tr w:rsidR="00CD7CE2" w14:paraId="49E43F86" w14:textId="77777777" w:rsidTr="00CC4965">
        <w:tc>
          <w:tcPr>
            <w:tcW w:w="1494" w:type="pct"/>
            <w:shd w:val="clear" w:color="auto" w:fill="auto"/>
            <w:tcMar>
              <w:top w:w="57" w:type="dxa"/>
              <w:left w:w="170" w:type="dxa"/>
              <w:bottom w:w="57" w:type="dxa"/>
              <w:right w:w="170" w:type="dxa"/>
            </w:tcMar>
          </w:tcPr>
          <w:p w14:paraId="12722781" w14:textId="77777777" w:rsidR="00CD7CE2" w:rsidRDefault="00CD7CE2" w:rsidP="00CD7CE2">
            <w:pPr>
              <w:rPr>
                <w:rFonts w:cs="Arial"/>
                <w:szCs w:val="19"/>
              </w:rPr>
            </w:pPr>
            <w:r>
              <w:rPr>
                <w:rFonts w:cs="Arial"/>
                <w:szCs w:val="19"/>
              </w:rPr>
              <w:t>Teduglutide (</w:t>
            </w:r>
            <w:r>
              <w:rPr>
                <w:rFonts w:cs="Arial"/>
                <w:i/>
                <w:iCs/>
                <w:szCs w:val="19"/>
              </w:rPr>
              <w:t>Revestive</w:t>
            </w:r>
            <w:r>
              <w:rPr>
                <w:rFonts w:cs="Arial"/>
                <w:szCs w:val="19"/>
              </w:rPr>
              <w:t xml:space="preserve">) </w:t>
            </w:r>
          </w:p>
          <w:p w14:paraId="1777A452" w14:textId="406244DF" w:rsidR="00CD7CE2" w:rsidRPr="00CC4965" w:rsidRDefault="00CD7CE2" w:rsidP="00CD7CE2">
            <w:pPr>
              <w:rPr>
                <w:rFonts w:cs="Arial"/>
                <w:color w:val="FF0000"/>
                <w:szCs w:val="19"/>
              </w:rPr>
            </w:pPr>
            <w:r w:rsidRPr="00EC6600">
              <w:rPr>
                <w:rFonts w:cs="Arial"/>
                <w:sz w:val="16"/>
                <w:szCs w:val="16"/>
              </w:rPr>
              <w:t>1.25mg and 5mg vials</w:t>
            </w:r>
          </w:p>
        </w:tc>
        <w:tc>
          <w:tcPr>
            <w:tcW w:w="3506" w:type="pct"/>
            <w:shd w:val="clear" w:color="auto" w:fill="auto"/>
            <w:tcMar>
              <w:top w:w="57" w:type="dxa"/>
              <w:left w:w="170" w:type="dxa"/>
              <w:bottom w:w="57" w:type="dxa"/>
              <w:right w:w="170" w:type="dxa"/>
            </w:tcMar>
          </w:tcPr>
          <w:p w14:paraId="63E7ACFD" w14:textId="14F90405" w:rsidR="00CD7CE2" w:rsidRPr="00CC4965" w:rsidRDefault="00CD7CE2" w:rsidP="00CD7CE2">
            <w:pPr>
              <w:tabs>
                <w:tab w:val="center" w:pos="3152"/>
              </w:tabs>
              <w:rPr>
                <w:rFonts w:cs="Arial"/>
                <w:color w:val="FF0000"/>
                <w:sz w:val="18"/>
                <w:szCs w:val="18"/>
                <w:lang w:val="en-US"/>
              </w:rPr>
            </w:pPr>
            <w:r w:rsidRPr="00EC6600">
              <w:rPr>
                <w:rFonts w:cs="Arial"/>
                <w:color w:val="000000"/>
                <w:sz w:val="18"/>
                <w:szCs w:val="18"/>
                <w:lang w:val="en-US"/>
              </w:rPr>
              <w:t xml:space="preserve">Treatment of short bowel syndrome in those aged </w:t>
            </w:r>
            <w:r>
              <w:rPr>
                <w:rFonts w:cs="Arial"/>
                <w:color w:val="000000"/>
                <w:sz w:val="18"/>
                <w:szCs w:val="18"/>
                <w:lang w:val="en-US"/>
              </w:rPr>
              <w:t>≥</w:t>
            </w:r>
            <w:r w:rsidRPr="00EC6600">
              <w:rPr>
                <w:rFonts w:cs="Arial"/>
                <w:color w:val="000000"/>
                <w:sz w:val="18"/>
                <w:szCs w:val="18"/>
                <w:lang w:val="en-US"/>
              </w:rPr>
              <w:t xml:space="preserve">4 months corrected gestational age </w:t>
            </w:r>
            <w:r w:rsidRPr="00CC4965">
              <w:rPr>
                <w:rFonts w:cs="Arial"/>
                <w:color w:val="000000"/>
                <w:sz w:val="16"/>
                <w:szCs w:val="16"/>
                <w:lang w:val="en-US"/>
              </w:rPr>
              <w:t>[licence change from use only in patients aged ≥1 year]</w:t>
            </w:r>
          </w:p>
        </w:tc>
      </w:tr>
      <w:tr w:rsidR="00CD7CE2" w:rsidRPr="00862949" w14:paraId="62881CF3" w14:textId="77777777" w:rsidTr="002772ED">
        <w:tc>
          <w:tcPr>
            <w:tcW w:w="5000" w:type="pct"/>
            <w:gridSpan w:val="2"/>
            <w:shd w:val="clear" w:color="auto" w:fill="auto"/>
            <w:tcMar>
              <w:top w:w="0" w:type="dxa"/>
              <w:bottom w:w="0" w:type="dxa"/>
            </w:tcMar>
          </w:tcPr>
          <w:p w14:paraId="5465DACF" w14:textId="77777777" w:rsidR="00CD7CE2" w:rsidRPr="00862949" w:rsidRDefault="00CD7CE2" w:rsidP="00CD7CE2">
            <w:pPr>
              <w:rPr>
                <w:rFonts w:cs="Arial"/>
                <w:b/>
                <w:noProof/>
                <w:sz w:val="8"/>
                <w:szCs w:val="8"/>
              </w:rPr>
            </w:pPr>
          </w:p>
        </w:tc>
      </w:tr>
      <w:tr w:rsidR="00CD7CE2" w:rsidRPr="00862949" w14:paraId="0D701458" w14:textId="77777777" w:rsidTr="002772ED">
        <w:tc>
          <w:tcPr>
            <w:tcW w:w="5000" w:type="pct"/>
            <w:gridSpan w:val="2"/>
            <w:shd w:val="clear" w:color="auto" w:fill="DAEEF3"/>
            <w:tcMar>
              <w:top w:w="0" w:type="dxa"/>
              <w:bottom w:w="0" w:type="dxa"/>
            </w:tcMar>
          </w:tcPr>
          <w:p w14:paraId="1ACB89BF" w14:textId="77777777" w:rsidR="00CD7CE2" w:rsidRPr="00862949" w:rsidRDefault="00CD7CE2" w:rsidP="00CD7CE2">
            <w:pPr>
              <w:rPr>
                <w:rFonts w:cs="Arial"/>
                <w:b/>
                <w:i/>
                <w:noProof/>
                <w:sz w:val="8"/>
                <w:szCs w:val="8"/>
              </w:rPr>
            </w:pPr>
          </w:p>
        </w:tc>
      </w:tr>
    </w:tbl>
    <w:p w14:paraId="35C3DBEC" w14:textId="77777777" w:rsidR="00CC4965" w:rsidRDefault="00CC4965" w:rsidP="00727945">
      <w:pPr>
        <w:rPr>
          <w:rFonts w:ascii="Latha" w:hAnsi="Latha" w:cs="Latha"/>
          <w:sz w:val="8"/>
          <w:szCs w:val="8"/>
        </w:rPr>
      </w:pPr>
    </w:p>
    <w:p w14:paraId="046B0189" w14:textId="77777777" w:rsidR="0022269C" w:rsidRDefault="0022269C" w:rsidP="00727945">
      <w:pPr>
        <w:rPr>
          <w:rFonts w:ascii="Latha" w:hAnsi="Latha" w:cs="Latha"/>
          <w:sz w:val="8"/>
          <w:szCs w:val="8"/>
        </w:rPr>
      </w:pPr>
    </w:p>
    <w:p w14:paraId="1826A164" w14:textId="77777777" w:rsidR="0022269C" w:rsidRDefault="0022269C" w:rsidP="00727945">
      <w:pPr>
        <w:rPr>
          <w:rFonts w:ascii="Latha" w:hAnsi="Latha" w:cs="Latha"/>
          <w:sz w:val="8"/>
          <w:szCs w:val="8"/>
        </w:rPr>
      </w:pPr>
    </w:p>
    <w:p w14:paraId="1D0A2AC9" w14:textId="77777777" w:rsidR="0022269C" w:rsidRDefault="0022269C" w:rsidP="00727945">
      <w:pPr>
        <w:rPr>
          <w:rFonts w:ascii="Latha" w:hAnsi="Latha" w:cs="Latha"/>
          <w:sz w:val="8"/>
          <w:szCs w:val="8"/>
        </w:rPr>
      </w:pPr>
    </w:p>
    <w:p w14:paraId="2A181000" w14:textId="77777777" w:rsidR="001A42CE" w:rsidRPr="00727945" w:rsidRDefault="001A42CE" w:rsidP="00727945">
      <w:pPr>
        <w:rPr>
          <w:rFonts w:ascii="Latha" w:hAnsi="Latha" w:cs="Latha"/>
          <w:sz w:val="8"/>
          <w:szCs w:val="8"/>
        </w:rPr>
        <w:sectPr w:rsidR="001A42CE" w:rsidRPr="00727945" w:rsidSect="002772ED">
          <w:headerReference w:type="even" r:id="rId10"/>
          <w:headerReference w:type="default" r:id="rId11"/>
          <w:footerReference w:type="even" r:id="rId12"/>
          <w:footerReference w:type="default" r:id="rId13"/>
          <w:headerReference w:type="first" r:id="rId14"/>
          <w:pgSz w:w="11906" w:h="16838" w:code="9"/>
          <w:pgMar w:top="680" w:right="851" w:bottom="680" w:left="851" w:header="567" w:footer="227" w:gutter="0"/>
          <w:cols w:space="708"/>
          <w:docGrid w:linePitch="360"/>
        </w:sectPr>
      </w:pPr>
    </w:p>
    <w:p w14:paraId="782AA591" w14:textId="77777777" w:rsidR="006825BB" w:rsidRDefault="006825BB">
      <w:pPr>
        <w:rPr>
          <w:sz w:val="8"/>
          <w:szCs w:val="16"/>
        </w:rPr>
      </w:pPr>
    </w:p>
    <w:p w14:paraId="4DA9CD96" w14:textId="77777777" w:rsidR="00CC4965" w:rsidRDefault="00CC4965" w:rsidP="00EB3E6F">
      <w:pPr>
        <w:tabs>
          <w:tab w:val="left" w:pos="2087"/>
        </w:tabs>
      </w:pPr>
    </w:p>
    <w:tbl>
      <w:tblPr>
        <w:tblW w:w="5170" w:type="pct"/>
        <w:tblInd w:w="-176" w:type="dxa"/>
        <w:tblLayout w:type="fixed"/>
        <w:tblLook w:val="01E0" w:firstRow="1" w:lastRow="1" w:firstColumn="1" w:lastColumn="1" w:noHBand="0" w:noVBand="0"/>
      </w:tblPr>
      <w:tblGrid>
        <w:gridCol w:w="3153"/>
        <w:gridCol w:w="7398"/>
      </w:tblGrid>
      <w:tr w:rsidR="00CC4965" w:rsidRPr="00862949" w14:paraId="7FEF5D97" w14:textId="77777777" w:rsidTr="00335732">
        <w:tc>
          <w:tcPr>
            <w:tcW w:w="5000" w:type="pct"/>
            <w:gridSpan w:val="2"/>
            <w:shd w:val="clear" w:color="auto" w:fill="0070C0"/>
            <w:tcMar>
              <w:top w:w="85" w:type="dxa"/>
              <w:bottom w:w="85" w:type="dxa"/>
            </w:tcMar>
            <w:vAlign w:val="bottom"/>
          </w:tcPr>
          <w:p w14:paraId="0640D31B" w14:textId="77777777" w:rsidR="00CC4965" w:rsidRPr="00862949" w:rsidRDefault="00CC4965" w:rsidP="00335732">
            <w:pPr>
              <w:rPr>
                <w:rFonts w:cs="Arial"/>
                <w:color w:val="FFFFFF"/>
                <w:sz w:val="15"/>
                <w:szCs w:val="15"/>
              </w:rPr>
            </w:pPr>
            <w:r>
              <w:rPr>
                <w:rFonts w:cs="Arial"/>
                <w:b/>
                <w:bCs/>
                <w:iCs/>
                <w:color w:val="FFFFFF"/>
                <w:sz w:val="28"/>
                <w:szCs w:val="28"/>
                <w:lang w:val="en-US"/>
              </w:rPr>
              <w:t>New product information</w:t>
            </w:r>
            <w:r w:rsidRPr="00862949">
              <w:rPr>
                <w:rFonts w:cs="Arial"/>
                <w:b/>
                <w:bCs/>
                <w:iCs/>
                <w:color w:val="FFFFFF"/>
                <w:sz w:val="28"/>
                <w:szCs w:val="28"/>
                <w:lang w:val="en-US"/>
              </w:rPr>
              <w:tab/>
            </w:r>
          </w:p>
        </w:tc>
      </w:tr>
      <w:tr w:rsidR="00CC4965" w:rsidRPr="00862949" w14:paraId="4CDEC606" w14:textId="77777777" w:rsidTr="00335732">
        <w:tc>
          <w:tcPr>
            <w:tcW w:w="5000" w:type="pct"/>
            <w:gridSpan w:val="2"/>
            <w:shd w:val="clear" w:color="auto" w:fill="DAEEF3"/>
            <w:tcMar>
              <w:top w:w="0" w:type="dxa"/>
              <w:bottom w:w="0" w:type="dxa"/>
            </w:tcMar>
          </w:tcPr>
          <w:p w14:paraId="1CE65F32" w14:textId="77777777" w:rsidR="00CC4965" w:rsidRPr="00862949" w:rsidRDefault="00CC4965" w:rsidP="00335732">
            <w:pPr>
              <w:rPr>
                <w:rFonts w:cs="Arial"/>
                <w:b/>
                <w:bCs/>
                <w:i/>
                <w:iCs/>
                <w:color w:val="000000"/>
                <w:sz w:val="8"/>
                <w:szCs w:val="8"/>
                <w:lang w:val="en-US"/>
              </w:rPr>
            </w:pPr>
          </w:p>
        </w:tc>
      </w:tr>
      <w:tr w:rsidR="00CC4965" w:rsidRPr="00862949" w14:paraId="06396C47" w14:textId="77777777" w:rsidTr="00335732">
        <w:tc>
          <w:tcPr>
            <w:tcW w:w="5000" w:type="pct"/>
            <w:gridSpan w:val="2"/>
            <w:shd w:val="clear" w:color="auto" w:fill="00B050"/>
            <w:tcMar>
              <w:top w:w="57" w:type="dxa"/>
              <w:bottom w:w="57" w:type="dxa"/>
            </w:tcMar>
          </w:tcPr>
          <w:p w14:paraId="195FAB40" w14:textId="430BC762" w:rsidR="00CC4965" w:rsidRPr="00433D3E" w:rsidRDefault="00CC4965" w:rsidP="00335732">
            <w:pPr>
              <w:rPr>
                <w:rFonts w:cs="Arial"/>
                <w:color w:val="FFFFFF"/>
                <w:sz w:val="20"/>
                <w:szCs w:val="20"/>
              </w:rPr>
            </w:pPr>
            <w:r w:rsidRPr="00433D3E">
              <w:rPr>
                <w:rFonts w:cs="Arial"/>
                <w:b/>
                <w:bCs/>
                <w:i/>
                <w:iCs/>
                <w:color w:val="FFFFFF"/>
                <w:sz w:val="22"/>
                <w:szCs w:val="20"/>
                <w:lang w:val="en-US"/>
              </w:rPr>
              <w:t>Launched in the UK (or licence change for existing products)</w:t>
            </w:r>
            <w:r>
              <w:rPr>
                <w:rFonts w:cs="Arial"/>
                <w:b/>
                <w:bCs/>
                <w:i/>
                <w:iCs/>
                <w:color w:val="FFFFFF"/>
                <w:sz w:val="22"/>
                <w:szCs w:val="20"/>
                <w:lang w:val="en-US"/>
              </w:rPr>
              <w:t xml:space="preserve"> </w:t>
            </w:r>
            <w:r w:rsidRPr="00CC4965">
              <w:rPr>
                <w:rFonts w:cs="Arial"/>
                <w:b/>
                <w:bCs/>
                <w:color w:val="FFFFFF"/>
                <w:sz w:val="16"/>
                <w:szCs w:val="14"/>
                <w:lang w:val="en-US"/>
              </w:rPr>
              <w:t>(continued)</w:t>
            </w:r>
          </w:p>
        </w:tc>
      </w:tr>
      <w:tr w:rsidR="00CD7CE2" w:rsidRPr="00131D4C" w14:paraId="39812B16" w14:textId="77777777" w:rsidTr="00335732">
        <w:tc>
          <w:tcPr>
            <w:tcW w:w="1494" w:type="pct"/>
            <w:shd w:val="clear" w:color="auto" w:fill="auto"/>
            <w:tcMar>
              <w:top w:w="57" w:type="dxa"/>
              <w:left w:w="170" w:type="dxa"/>
              <w:bottom w:w="57" w:type="dxa"/>
              <w:right w:w="170" w:type="dxa"/>
            </w:tcMar>
          </w:tcPr>
          <w:p w14:paraId="4B9E35A1" w14:textId="77777777" w:rsidR="00CD7CE2" w:rsidRDefault="00CD7CE2" w:rsidP="00CD7CE2">
            <w:pPr>
              <w:rPr>
                <w:rFonts w:cs="Arial"/>
                <w:szCs w:val="19"/>
              </w:rPr>
            </w:pPr>
            <w:r>
              <w:rPr>
                <w:rFonts w:cs="Arial"/>
                <w:szCs w:val="19"/>
              </w:rPr>
              <w:t>Ustekinumab biosimilar (</w:t>
            </w:r>
            <w:r>
              <w:rPr>
                <w:rFonts w:cs="Arial"/>
                <w:i/>
                <w:iCs/>
                <w:szCs w:val="19"/>
              </w:rPr>
              <w:t>Wezenla</w:t>
            </w:r>
            <w:r>
              <w:rPr>
                <w:rFonts w:cs="Arial"/>
                <w:szCs w:val="19"/>
              </w:rPr>
              <w:t>)</w:t>
            </w:r>
          </w:p>
          <w:p w14:paraId="3408128C" w14:textId="0F7C3676" w:rsidR="00CD7CE2" w:rsidRDefault="00CD7CE2" w:rsidP="00CD7CE2">
            <w:pPr>
              <w:rPr>
                <w:rFonts w:cs="Arial"/>
                <w:szCs w:val="19"/>
              </w:rPr>
            </w:pPr>
            <w:r w:rsidRPr="00A86A21">
              <w:rPr>
                <w:rFonts w:cs="Arial"/>
                <w:color w:val="000000" w:themeColor="text1"/>
                <w:sz w:val="16"/>
                <w:szCs w:val="16"/>
              </w:rPr>
              <w:t xml:space="preserve">45mg in 0.5mL prefilled syringe and vial, </w:t>
            </w:r>
            <w:r>
              <w:rPr>
                <w:rFonts w:cs="Arial"/>
                <w:color w:val="000000" w:themeColor="text1"/>
                <w:sz w:val="16"/>
                <w:szCs w:val="16"/>
              </w:rPr>
              <w:t xml:space="preserve">and </w:t>
            </w:r>
            <w:r w:rsidRPr="00A86A21">
              <w:rPr>
                <w:rFonts w:cs="Arial"/>
                <w:color w:val="000000" w:themeColor="text1"/>
                <w:sz w:val="16"/>
                <w:szCs w:val="16"/>
              </w:rPr>
              <w:t>90mg in 1 mL prefilled syringe</w:t>
            </w:r>
          </w:p>
        </w:tc>
        <w:tc>
          <w:tcPr>
            <w:tcW w:w="3506" w:type="pct"/>
            <w:shd w:val="clear" w:color="auto" w:fill="auto"/>
            <w:tcMar>
              <w:top w:w="57" w:type="dxa"/>
              <w:left w:w="170" w:type="dxa"/>
              <w:bottom w:w="57" w:type="dxa"/>
              <w:right w:w="170" w:type="dxa"/>
            </w:tcMar>
          </w:tcPr>
          <w:p w14:paraId="34BC5E7A" w14:textId="2B41FF98" w:rsidR="00CD7CE2" w:rsidRPr="00A86A21" w:rsidRDefault="00CD7CE2" w:rsidP="00CD7CE2">
            <w:pPr>
              <w:tabs>
                <w:tab w:val="num" w:pos="720"/>
                <w:tab w:val="center" w:pos="3152"/>
              </w:tabs>
              <w:rPr>
                <w:rFonts w:cs="Arial"/>
                <w:szCs w:val="19"/>
                <w:lang w:val="en-US"/>
              </w:rPr>
            </w:pPr>
            <w:r w:rsidRPr="000E6952">
              <w:rPr>
                <w:rFonts w:cs="Arial"/>
                <w:szCs w:val="19"/>
                <w:lang w:val="en-US"/>
              </w:rPr>
              <w:t>Treatment of moderate to severe plaque psoriasis in adults who failed to respond to, or who have a contraindication to, or are intolerant to other systemic therapies including ciclosporin, methotrexate (MTX) or PUVA (psoralen and ultraviolet A); treatment of moderate to severe plaque psoriasis in children and adolescent patients aged ≥6 years who are inadequately controlled by, or are intolerant to, other systemic therapies or phototherapies; use alone or in combination with MTX for the treatment of active psoriatic arthritis in adults when the response to previous non-biological disease-modifying anti-rheumatic drug therapy has been inadequate; treatment of adults with moderately to severely active Crohn’s disease who have had an inadequate response with, lost response to, or were intolerant to either conventional therapy or a TNFα antagonist or have medical contraindications to such therapies</w:t>
            </w:r>
          </w:p>
        </w:tc>
      </w:tr>
      <w:tr w:rsidR="00CD7CE2" w:rsidRPr="00131D4C" w14:paraId="1C564321" w14:textId="77777777" w:rsidTr="00335732">
        <w:tc>
          <w:tcPr>
            <w:tcW w:w="1494" w:type="pct"/>
            <w:shd w:val="clear" w:color="auto" w:fill="auto"/>
            <w:tcMar>
              <w:top w:w="57" w:type="dxa"/>
              <w:left w:w="170" w:type="dxa"/>
              <w:bottom w:w="57" w:type="dxa"/>
              <w:right w:w="170" w:type="dxa"/>
            </w:tcMar>
          </w:tcPr>
          <w:p w14:paraId="22E98CC8" w14:textId="77777777" w:rsidR="00CD7CE2" w:rsidRDefault="00CD7CE2" w:rsidP="00CD7CE2">
            <w:pPr>
              <w:rPr>
                <w:rFonts w:cs="Arial"/>
                <w:szCs w:val="19"/>
              </w:rPr>
            </w:pPr>
            <w:r>
              <w:rPr>
                <w:rFonts w:cs="Arial"/>
                <w:szCs w:val="19"/>
              </w:rPr>
              <w:t>Ustekinumab biosimilar (</w:t>
            </w:r>
            <w:r>
              <w:rPr>
                <w:rFonts w:cs="Arial"/>
                <w:i/>
                <w:iCs/>
                <w:szCs w:val="19"/>
              </w:rPr>
              <w:t>Wezenla</w:t>
            </w:r>
            <w:r>
              <w:rPr>
                <w:rFonts w:cs="Arial"/>
                <w:szCs w:val="19"/>
              </w:rPr>
              <w:t>)</w:t>
            </w:r>
          </w:p>
          <w:p w14:paraId="63FB91D8" w14:textId="53485755" w:rsidR="00CD7CE2" w:rsidRPr="00E07B89" w:rsidRDefault="00CD7CE2" w:rsidP="00CD7CE2">
            <w:pPr>
              <w:rPr>
                <w:rFonts w:cs="Arial"/>
                <w:szCs w:val="19"/>
              </w:rPr>
            </w:pPr>
            <w:r w:rsidRPr="00A86A21">
              <w:rPr>
                <w:rFonts w:cs="Arial"/>
                <w:sz w:val="16"/>
                <w:szCs w:val="16"/>
              </w:rPr>
              <w:t>130mg in 26mL vial</w:t>
            </w:r>
          </w:p>
        </w:tc>
        <w:tc>
          <w:tcPr>
            <w:tcW w:w="3506" w:type="pct"/>
            <w:shd w:val="clear" w:color="auto" w:fill="auto"/>
            <w:tcMar>
              <w:top w:w="57" w:type="dxa"/>
              <w:left w:w="170" w:type="dxa"/>
              <w:bottom w:w="57" w:type="dxa"/>
              <w:right w:w="170" w:type="dxa"/>
            </w:tcMar>
          </w:tcPr>
          <w:p w14:paraId="4516F232" w14:textId="0E3C1E96" w:rsidR="00CD7CE2" w:rsidRPr="00A075A3" w:rsidRDefault="00CD7CE2" w:rsidP="00CD7CE2">
            <w:pPr>
              <w:tabs>
                <w:tab w:val="num" w:pos="720"/>
                <w:tab w:val="center" w:pos="3152"/>
              </w:tabs>
              <w:rPr>
                <w:rFonts w:cs="Arial"/>
                <w:szCs w:val="19"/>
                <w:lang w:val="en-US"/>
              </w:rPr>
            </w:pPr>
            <w:r w:rsidRPr="00A86A21">
              <w:rPr>
                <w:rFonts w:cs="Arial"/>
                <w:szCs w:val="19"/>
                <w:lang w:val="en-US"/>
              </w:rPr>
              <w:t xml:space="preserve">Treatment of adults with moderately to severely active Crohn’s disease who have had an inadequate response </w:t>
            </w:r>
            <w:proofErr w:type="gramStart"/>
            <w:r w:rsidRPr="00A86A21">
              <w:rPr>
                <w:rFonts w:cs="Arial"/>
                <w:szCs w:val="19"/>
                <w:lang w:val="en-US"/>
              </w:rPr>
              <w:t>with,</w:t>
            </w:r>
            <w:proofErr w:type="gramEnd"/>
            <w:r w:rsidRPr="00A86A21">
              <w:rPr>
                <w:rFonts w:cs="Arial"/>
                <w:szCs w:val="19"/>
                <w:lang w:val="en-US"/>
              </w:rPr>
              <w:t xml:space="preserve"> lost response to, or were intolerant to either conventional therapy or a TNFα antagonist or have medical contraindications to such therapies</w:t>
            </w:r>
          </w:p>
        </w:tc>
      </w:tr>
      <w:tr w:rsidR="00CD7CE2" w:rsidRPr="00862949" w14:paraId="53C08A66" w14:textId="77777777" w:rsidTr="00335732">
        <w:tc>
          <w:tcPr>
            <w:tcW w:w="5000" w:type="pct"/>
            <w:gridSpan w:val="2"/>
            <w:shd w:val="clear" w:color="auto" w:fill="auto"/>
            <w:tcMar>
              <w:top w:w="0" w:type="dxa"/>
              <w:bottom w:w="0" w:type="dxa"/>
            </w:tcMar>
          </w:tcPr>
          <w:p w14:paraId="34203C92" w14:textId="77777777" w:rsidR="00CD7CE2" w:rsidRPr="00862949" w:rsidRDefault="00CD7CE2" w:rsidP="00CD7CE2">
            <w:pPr>
              <w:rPr>
                <w:rFonts w:cs="Arial"/>
                <w:b/>
                <w:noProof/>
                <w:sz w:val="8"/>
                <w:szCs w:val="8"/>
              </w:rPr>
            </w:pPr>
          </w:p>
        </w:tc>
      </w:tr>
      <w:tr w:rsidR="00CD7CE2" w:rsidRPr="00862949" w14:paraId="015F0166" w14:textId="77777777" w:rsidTr="00335732">
        <w:tc>
          <w:tcPr>
            <w:tcW w:w="5000" w:type="pct"/>
            <w:gridSpan w:val="2"/>
            <w:shd w:val="clear" w:color="auto" w:fill="DAEEF3"/>
            <w:tcMar>
              <w:top w:w="0" w:type="dxa"/>
              <w:bottom w:w="0" w:type="dxa"/>
            </w:tcMar>
          </w:tcPr>
          <w:p w14:paraId="1C8A5156" w14:textId="77777777" w:rsidR="00CD7CE2" w:rsidRPr="00862949" w:rsidRDefault="00CD7CE2" w:rsidP="00CD7CE2">
            <w:pPr>
              <w:rPr>
                <w:rFonts w:cs="Arial"/>
                <w:b/>
                <w:i/>
                <w:noProof/>
                <w:sz w:val="8"/>
                <w:szCs w:val="8"/>
              </w:rPr>
            </w:pPr>
          </w:p>
        </w:tc>
      </w:tr>
    </w:tbl>
    <w:p w14:paraId="57EC891C" w14:textId="22F9366E" w:rsidR="00A81694" w:rsidRDefault="00EB3E6F" w:rsidP="00EB3E6F">
      <w:pPr>
        <w:tabs>
          <w:tab w:val="left" w:pos="2087"/>
        </w:tabs>
      </w:pPr>
      <w:r>
        <w:tab/>
      </w:r>
    </w:p>
    <w:p w14:paraId="3AF6FFAF" w14:textId="77777777" w:rsidR="00CC4965" w:rsidRDefault="00CC4965" w:rsidP="00EB3E6F">
      <w:pPr>
        <w:tabs>
          <w:tab w:val="left" w:pos="2087"/>
        </w:tabs>
      </w:pPr>
    </w:p>
    <w:tbl>
      <w:tblPr>
        <w:tblW w:w="5170" w:type="pct"/>
        <w:tblInd w:w="-176" w:type="dxa"/>
        <w:tblLayout w:type="fixed"/>
        <w:tblLook w:val="01E0" w:firstRow="1" w:lastRow="1" w:firstColumn="1" w:lastColumn="1" w:noHBand="0" w:noVBand="0"/>
      </w:tblPr>
      <w:tblGrid>
        <w:gridCol w:w="2431"/>
        <w:gridCol w:w="722"/>
        <w:gridCol w:w="7398"/>
      </w:tblGrid>
      <w:tr w:rsidR="005A7E09" w:rsidRPr="00862949" w14:paraId="5D3E7F95" w14:textId="77777777" w:rsidTr="005A7E09">
        <w:tc>
          <w:tcPr>
            <w:tcW w:w="5000" w:type="pct"/>
            <w:gridSpan w:val="3"/>
            <w:shd w:val="clear" w:color="auto" w:fill="0070C0"/>
            <w:tcMar>
              <w:top w:w="85" w:type="dxa"/>
              <w:bottom w:w="85" w:type="dxa"/>
            </w:tcMar>
            <w:vAlign w:val="bottom"/>
          </w:tcPr>
          <w:p w14:paraId="2854EE16" w14:textId="77777777" w:rsidR="005A7E09" w:rsidRPr="00862949" w:rsidRDefault="005A7E09" w:rsidP="005A7E09">
            <w:pPr>
              <w:rPr>
                <w:rFonts w:cs="Arial"/>
                <w:color w:val="FFFFFF"/>
                <w:sz w:val="15"/>
                <w:szCs w:val="15"/>
              </w:rPr>
            </w:pPr>
            <w:bookmarkStart w:id="0" w:name="_Hlk172824692"/>
            <w:r w:rsidRPr="00862949">
              <w:rPr>
                <w:rFonts w:cs="Arial"/>
                <w:b/>
                <w:bCs/>
                <w:iCs/>
                <w:color w:val="FFFFFF"/>
                <w:sz w:val="28"/>
                <w:szCs w:val="28"/>
                <w:lang w:val="en-US"/>
              </w:rPr>
              <w:t xml:space="preserve">Regulatory changes in the </w:t>
            </w:r>
            <w:r w:rsidR="00AA1F49">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5A7E09" w:rsidRPr="00862949" w14:paraId="4C423755" w14:textId="77777777" w:rsidTr="005A7E09">
        <w:tc>
          <w:tcPr>
            <w:tcW w:w="5000" w:type="pct"/>
            <w:gridSpan w:val="3"/>
            <w:shd w:val="clear" w:color="auto" w:fill="DAEEF3"/>
            <w:tcMar>
              <w:top w:w="0" w:type="dxa"/>
              <w:bottom w:w="0" w:type="dxa"/>
            </w:tcMar>
          </w:tcPr>
          <w:p w14:paraId="41B15CCF" w14:textId="77777777" w:rsidR="005A7E09" w:rsidRPr="00862949" w:rsidRDefault="005A7E09" w:rsidP="005A7E09">
            <w:pPr>
              <w:rPr>
                <w:rFonts w:cs="Arial"/>
                <w:b/>
                <w:bCs/>
                <w:i/>
                <w:iCs/>
                <w:color w:val="000000"/>
                <w:sz w:val="8"/>
                <w:szCs w:val="8"/>
                <w:lang w:val="en-US"/>
              </w:rPr>
            </w:pPr>
          </w:p>
        </w:tc>
      </w:tr>
      <w:bookmarkEnd w:id="0"/>
      <w:tr w:rsidR="005A7E09" w:rsidRPr="00862949" w14:paraId="0B67107C" w14:textId="77777777" w:rsidTr="005A7E09">
        <w:tc>
          <w:tcPr>
            <w:tcW w:w="5000" w:type="pct"/>
            <w:gridSpan w:val="3"/>
            <w:shd w:val="clear" w:color="auto" w:fill="00B050"/>
            <w:tcMar>
              <w:top w:w="57" w:type="dxa"/>
              <w:bottom w:w="57" w:type="dxa"/>
            </w:tcMar>
          </w:tcPr>
          <w:p w14:paraId="23519252" w14:textId="77777777" w:rsidR="005A7E09" w:rsidRPr="00433D3E" w:rsidRDefault="005A7E09" w:rsidP="00EB3E6F">
            <w:pPr>
              <w:rPr>
                <w:rFonts w:cs="Arial"/>
                <w:color w:val="FFFFFF"/>
                <w:sz w:val="20"/>
                <w:szCs w:val="20"/>
              </w:rPr>
            </w:pPr>
            <w:r w:rsidRPr="00433D3E">
              <w:rPr>
                <w:rFonts w:cs="Arial"/>
                <w:b/>
                <w:bCs/>
                <w:i/>
                <w:iCs/>
                <w:color w:val="FFFFFF"/>
                <w:sz w:val="22"/>
                <w:szCs w:val="20"/>
                <w:lang w:val="en-US"/>
              </w:rPr>
              <w:t xml:space="preserve">Approved in the </w:t>
            </w:r>
            <w:r w:rsidR="0048777D">
              <w:rPr>
                <w:rFonts w:cs="Arial"/>
                <w:b/>
                <w:bCs/>
                <w:i/>
                <w:iCs/>
                <w:color w:val="FFFFFF"/>
                <w:sz w:val="22"/>
                <w:szCs w:val="20"/>
                <w:lang w:val="en-US"/>
              </w:rPr>
              <w:t>UK</w:t>
            </w:r>
          </w:p>
        </w:tc>
      </w:tr>
      <w:tr w:rsidR="006F34D1" w14:paraId="4F9408DE" w14:textId="77777777" w:rsidTr="000A11A9">
        <w:tc>
          <w:tcPr>
            <w:tcW w:w="1494" w:type="pct"/>
            <w:gridSpan w:val="2"/>
            <w:shd w:val="clear" w:color="auto" w:fill="auto"/>
            <w:tcMar>
              <w:top w:w="57" w:type="dxa"/>
              <w:bottom w:w="57" w:type="dxa"/>
            </w:tcMar>
          </w:tcPr>
          <w:p w14:paraId="575F714C" w14:textId="77777777" w:rsidR="000A11A9" w:rsidRDefault="006F34D1" w:rsidP="006F34D1">
            <w:pPr>
              <w:rPr>
                <w:rFonts w:cs="Arial"/>
                <w:szCs w:val="19"/>
              </w:rPr>
            </w:pPr>
            <w:r>
              <w:rPr>
                <w:rFonts w:cs="Arial"/>
                <w:szCs w:val="19"/>
              </w:rPr>
              <w:t>Aztreona</w:t>
            </w:r>
            <w:r w:rsidRPr="001414BF">
              <w:rPr>
                <w:rFonts w:cs="Arial"/>
                <w:szCs w:val="19"/>
              </w:rPr>
              <w:t>m + avibactam </w:t>
            </w:r>
          </w:p>
          <w:p w14:paraId="201D2376" w14:textId="1E059630" w:rsidR="006F34D1" w:rsidRDefault="006F34D1" w:rsidP="006F34D1">
            <w:pPr>
              <w:rPr>
                <w:rFonts w:cs="Arial"/>
                <w:szCs w:val="19"/>
              </w:rPr>
            </w:pPr>
            <w:r>
              <w:rPr>
                <w:rFonts w:cs="Arial"/>
                <w:szCs w:val="19"/>
              </w:rPr>
              <w:t>(</w:t>
            </w:r>
            <w:r w:rsidRPr="001414BF">
              <w:rPr>
                <w:rFonts w:cs="Arial"/>
                <w:i/>
                <w:iCs/>
                <w:szCs w:val="19"/>
              </w:rPr>
              <w:t>Emblaveo</w:t>
            </w:r>
            <w:r>
              <w:rPr>
                <w:rFonts w:cs="Arial"/>
                <w:szCs w:val="19"/>
              </w:rPr>
              <w:t>)</w:t>
            </w:r>
          </w:p>
          <w:p w14:paraId="0BF01D79" w14:textId="0E77C7E6" w:rsidR="006F34D1" w:rsidRPr="00247547" w:rsidRDefault="006F34D1" w:rsidP="006F34D1">
            <w:pPr>
              <w:rPr>
                <w:rFonts w:cs="Arial"/>
                <w:szCs w:val="19"/>
              </w:rPr>
            </w:pPr>
            <w:r w:rsidRPr="006F34D1">
              <w:rPr>
                <w:rFonts w:cs="Arial"/>
                <w:sz w:val="16"/>
                <w:szCs w:val="16"/>
              </w:rPr>
              <w:t>1.5g/0.5g vial</w:t>
            </w:r>
          </w:p>
        </w:tc>
        <w:tc>
          <w:tcPr>
            <w:tcW w:w="3506" w:type="pct"/>
            <w:shd w:val="clear" w:color="auto" w:fill="auto"/>
            <w:tcMar>
              <w:top w:w="57" w:type="dxa"/>
              <w:bottom w:w="57" w:type="dxa"/>
            </w:tcMar>
          </w:tcPr>
          <w:p w14:paraId="15A755D2" w14:textId="7A2679E7" w:rsidR="006F34D1" w:rsidRPr="002B10C1" w:rsidRDefault="006F34D1" w:rsidP="006F34D1">
            <w:pPr>
              <w:tabs>
                <w:tab w:val="center" w:pos="3152"/>
              </w:tabs>
              <w:rPr>
                <w:rFonts w:cs="Arial"/>
                <w:szCs w:val="19"/>
                <w:lang w:val="en-US"/>
              </w:rPr>
            </w:pPr>
            <w:r w:rsidRPr="001414BF">
              <w:rPr>
                <w:rFonts w:cs="Arial"/>
                <w:szCs w:val="19"/>
                <w:lang w:val="en-US"/>
              </w:rPr>
              <w:t xml:space="preserve">Treatment of the following infections in adults: Complicated intra-abdominal infection; hospital-acquired pneumonia, including ventilator-associated pneumonia; complicated urinary tract infection, including pyelonephritis. </w:t>
            </w:r>
            <w:proofErr w:type="gramStart"/>
            <w:r>
              <w:rPr>
                <w:rFonts w:cs="Arial"/>
                <w:szCs w:val="19"/>
                <w:lang w:val="en-US"/>
              </w:rPr>
              <w:t>Also</w:t>
            </w:r>
            <w:proofErr w:type="gramEnd"/>
            <w:r w:rsidRPr="001414BF">
              <w:rPr>
                <w:rFonts w:cs="Arial"/>
                <w:szCs w:val="19"/>
                <w:lang w:val="en-US"/>
              </w:rPr>
              <w:t xml:space="preserve"> treatment of infections due to aerobic Gram-negative organisms in adults with limited treatment options</w:t>
            </w:r>
            <w:r>
              <w:rPr>
                <w:rFonts w:cs="Arial"/>
                <w:szCs w:val="19"/>
                <w:lang w:val="en-US"/>
              </w:rPr>
              <w:t>.</w:t>
            </w:r>
          </w:p>
        </w:tc>
      </w:tr>
      <w:tr w:rsidR="006F34D1" w14:paraId="181650F6" w14:textId="77777777" w:rsidTr="000A11A9">
        <w:tc>
          <w:tcPr>
            <w:tcW w:w="1494" w:type="pct"/>
            <w:gridSpan w:val="2"/>
            <w:shd w:val="clear" w:color="auto" w:fill="auto"/>
            <w:tcMar>
              <w:top w:w="57" w:type="dxa"/>
              <w:bottom w:w="57" w:type="dxa"/>
            </w:tcMar>
          </w:tcPr>
          <w:p w14:paraId="719690E5" w14:textId="77777777" w:rsidR="006F34D1" w:rsidRDefault="006F34D1" w:rsidP="006F34D1">
            <w:pPr>
              <w:rPr>
                <w:rFonts w:cs="Arial"/>
                <w:szCs w:val="19"/>
              </w:rPr>
            </w:pPr>
            <w:r w:rsidRPr="00797952">
              <w:rPr>
                <w:rFonts w:cs="Arial"/>
                <w:szCs w:val="19"/>
              </w:rPr>
              <w:t>Bevacizumab</w:t>
            </w:r>
            <w:r>
              <w:rPr>
                <w:rFonts w:cs="Arial"/>
                <w:szCs w:val="19"/>
              </w:rPr>
              <w:t xml:space="preserve"> gamma (</w:t>
            </w:r>
            <w:r>
              <w:rPr>
                <w:rFonts w:cs="Arial"/>
                <w:i/>
                <w:iCs/>
                <w:szCs w:val="19"/>
              </w:rPr>
              <w:t>Lytenava</w:t>
            </w:r>
            <w:r>
              <w:rPr>
                <w:rFonts w:cs="Arial"/>
                <w:szCs w:val="19"/>
              </w:rPr>
              <w:t>)</w:t>
            </w:r>
            <w:r w:rsidRPr="00797952">
              <w:rPr>
                <w:rFonts w:cs="Arial"/>
                <w:szCs w:val="19"/>
              </w:rPr>
              <w:t> </w:t>
            </w:r>
          </w:p>
          <w:p w14:paraId="7D251399" w14:textId="4E822371" w:rsidR="006F34D1" w:rsidRPr="002B10C1" w:rsidRDefault="006F34D1" w:rsidP="006F34D1">
            <w:pPr>
              <w:rPr>
                <w:rFonts w:cs="Arial"/>
                <w:szCs w:val="19"/>
              </w:rPr>
            </w:pPr>
            <w:r w:rsidRPr="00E65841">
              <w:rPr>
                <w:rFonts w:cs="Arial"/>
                <w:sz w:val="16"/>
                <w:szCs w:val="16"/>
              </w:rPr>
              <w:t>7.5mg in 0.3mL vial</w:t>
            </w:r>
          </w:p>
        </w:tc>
        <w:tc>
          <w:tcPr>
            <w:tcW w:w="3506" w:type="pct"/>
            <w:shd w:val="clear" w:color="auto" w:fill="auto"/>
            <w:tcMar>
              <w:top w:w="57" w:type="dxa"/>
              <w:bottom w:w="57" w:type="dxa"/>
            </w:tcMar>
          </w:tcPr>
          <w:p w14:paraId="04FF9320" w14:textId="3E843568" w:rsidR="006F34D1" w:rsidRDefault="006F34D1" w:rsidP="006F34D1">
            <w:pPr>
              <w:tabs>
                <w:tab w:val="center" w:pos="3152"/>
              </w:tabs>
              <w:rPr>
                <w:rFonts w:cs="Arial"/>
                <w:sz w:val="16"/>
                <w:szCs w:val="16"/>
                <w:lang w:val="en-US"/>
              </w:rPr>
            </w:pPr>
            <w:r>
              <w:rPr>
                <w:rFonts w:cs="Arial"/>
                <w:szCs w:val="19"/>
                <w:lang w:val="en-US"/>
              </w:rPr>
              <w:t xml:space="preserve">Use </w:t>
            </w:r>
            <w:r w:rsidRPr="00797952">
              <w:rPr>
                <w:rFonts w:cs="Arial"/>
                <w:szCs w:val="19"/>
                <w:lang w:val="en-US"/>
              </w:rPr>
              <w:t xml:space="preserve">in adults for treatment of neovascular (wet) age-related macular </w:t>
            </w:r>
            <w:proofErr w:type="gramStart"/>
            <w:r w:rsidRPr="00797952">
              <w:rPr>
                <w:rFonts w:cs="Arial"/>
                <w:szCs w:val="19"/>
                <w:lang w:val="en-US"/>
              </w:rPr>
              <w:t>degeneration</w:t>
            </w:r>
            <w:proofErr w:type="gramEnd"/>
            <w:r>
              <w:rPr>
                <w:rFonts w:cs="Arial"/>
                <w:sz w:val="16"/>
                <w:szCs w:val="16"/>
                <w:lang w:val="en-US"/>
              </w:rPr>
              <w:t xml:space="preserve"> </w:t>
            </w:r>
          </w:p>
          <w:p w14:paraId="126DC474" w14:textId="5BBBF5AF" w:rsidR="006F34D1" w:rsidRDefault="006F34D1" w:rsidP="006F34D1">
            <w:pPr>
              <w:tabs>
                <w:tab w:val="center" w:pos="3152"/>
              </w:tabs>
              <w:rPr>
                <w:rFonts w:cs="Arial"/>
                <w:sz w:val="18"/>
                <w:szCs w:val="18"/>
                <w:lang w:val="en-US"/>
              </w:rPr>
            </w:pPr>
            <w:r>
              <w:rPr>
                <w:rFonts w:cs="Arial"/>
                <w:sz w:val="16"/>
                <w:szCs w:val="16"/>
                <w:lang w:val="en-US"/>
              </w:rPr>
              <w:t>[new ophthalmic formulation]</w:t>
            </w:r>
          </w:p>
        </w:tc>
      </w:tr>
      <w:tr w:rsidR="007875EA" w14:paraId="577733EE" w14:textId="77777777" w:rsidTr="000A11A9">
        <w:tc>
          <w:tcPr>
            <w:tcW w:w="1494" w:type="pct"/>
            <w:gridSpan w:val="2"/>
            <w:shd w:val="clear" w:color="auto" w:fill="auto"/>
            <w:tcMar>
              <w:top w:w="57" w:type="dxa"/>
              <w:bottom w:w="57" w:type="dxa"/>
            </w:tcMar>
          </w:tcPr>
          <w:p w14:paraId="7119559B" w14:textId="77777777" w:rsidR="007875EA" w:rsidRDefault="007875EA" w:rsidP="006F34D1">
            <w:pPr>
              <w:rPr>
                <w:rFonts w:cs="Arial"/>
                <w:szCs w:val="19"/>
              </w:rPr>
            </w:pPr>
            <w:r w:rsidRPr="007875EA">
              <w:rPr>
                <w:rFonts w:cs="Arial"/>
                <w:szCs w:val="19"/>
              </w:rPr>
              <w:t>Bretovamera</w:t>
            </w:r>
            <w:r>
              <w:rPr>
                <w:rFonts w:cs="Arial"/>
                <w:szCs w:val="19"/>
              </w:rPr>
              <w:t>n (</w:t>
            </w:r>
            <w:r>
              <w:rPr>
                <w:rFonts w:cs="Arial"/>
                <w:i/>
                <w:iCs/>
                <w:szCs w:val="19"/>
              </w:rPr>
              <w:t xml:space="preserve">Comirnaty </w:t>
            </w:r>
            <w:r w:rsidRPr="007875EA">
              <w:rPr>
                <w:rFonts w:cs="Arial"/>
                <w:i/>
                <w:iCs/>
                <w:szCs w:val="19"/>
              </w:rPr>
              <w:t>JN.1 3micrograms/dose)</w:t>
            </w:r>
          </w:p>
          <w:p w14:paraId="25229EAE" w14:textId="0A50AFEE" w:rsidR="008035B5" w:rsidRPr="008035B5" w:rsidRDefault="008035B5" w:rsidP="006F34D1">
            <w:pPr>
              <w:rPr>
                <w:rFonts w:cs="Arial"/>
                <w:szCs w:val="19"/>
              </w:rPr>
            </w:pPr>
            <w:r w:rsidRPr="008035B5">
              <w:rPr>
                <w:rFonts w:cs="Arial"/>
                <w:sz w:val="16"/>
                <w:szCs w:val="16"/>
              </w:rPr>
              <w:t>3-dose multi-dose vial</w:t>
            </w:r>
          </w:p>
        </w:tc>
        <w:tc>
          <w:tcPr>
            <w:tcW w:w="3506" w:type="pct"/>
            <w:shd w:val="clear" w:color="auto" w:fill="auto"/>
            <w:tcMar>
              <w:top w:w="57" w:type="dxa"/>
              <w:bottom w:w="57" w:type="dxa"/>
            </w:tcMar>
          </w:tcPr>
          <w:p w14:paraId="3C2E4E1B" w14:textId="5A1B8582" w:rsidR="007875EA" w:rsidRDefault="008109D0" w:rsidP="006F34D1">
            <w:pPr>
              <w:tabs>
                <w:tab w:val="center" w:pos="3152"/>
              </w:tabs>
              <w:rPr>
                <w:rFonts w:cs="Arial"/>
                <w:szCs w:val="19"/>
                <w:lang w:val="en-US"/>
              </w:rPr>
            </w:pPr>
            <w:r w:rsidRPr="008109D0">
              <w:rPr>
                <w:rFonts w:cs="Arial"/>
                <w:szCs w:val="19"/>
                <w:lang w:val="en-US"/>
              </w:rPr>
              <w:t>Active immunisation to prevent COVID-19 caused by SARS-CoV-2 in infants and children aged 6 months to 4 years</w:t>
            </w:r>
          </w:p>
        </w:tc>
      </w:tr>
      <w:tr w:rsidR="007875EA" w14:paraId="437B7500" w14:textId="77777777" w:rsidTr="000A11A9">
        <w:tc>
          <w:tcPr>
            <w:tcW w:w="1494" w:type="pct"/>
            <w:gridSpan w:val="2"/>
            <w:shd w:val="clear" w:color="auto" w:fill="auto"/>
            <w:tcMar>
              <w:top w:w="57" w:type="dxa"/>
              <w:bottom w:w="57" w:type="dxa"/>
            </w:tcMar>
          </w:tcPr>
          <w:p w14:paraId="675BDEFE" w14:textId="77777777" w:rsidR="007875EA" w:rsidRDefault="007875EA" w:rsidP="007875EA">
            <w:pPr>
              <w:rPr>
                <w:rFonts w:cs="Arial"/>
                <w:szCs w:val="19"/>
              </w:rPr>
            </w:pPr>
            <w:r w:rsidRPr="007875EA">
              <w:rPr>
                <w:rFonts w:cs="Arial"/>
                <w:szCs w:val="19"/>
              </w:rPr>
              <w:t>Bretovamera</w:t>
            </w:r>
            <w:r>
              <w:rPr>
                <w:rFonts w:cs="Arial"/>
                <w:szCs w:val="19"/>
              </w:rPr>
              <w:t>n (</w:t>
            </w:r>
            <w:r>
              <w:rPr>
                <w:rFonts w:cs="Arial"/>
                <w:i/>
                <w:iCs/>
                <w:szCs w:val="19"/>
              </w:rPr>
              <w:t xml:space="preserve">Comirnaty </w:t>
            </w:r>
            <w:r w:rsidRPr="007875EA">
              <w:rPr>
                <w:rFonts w:cs="Arial"/>
                <w:i/>
                <w:iCs/>
                <w:szCs w:val="19"/>
              </w:rPr>
              <w:t xml:space="preserve">JN.1 </w:t>
            </w:r>
            <w:r>
              <w:rPr>
                <w:rFonts w:cs="Arial"/>
                <w:i/>
                <w:iCs/>
                <w:szCs w:val="19"/>
              </w:rPr>
              <w:t>10</w:t>
            </w:r>
            <w:r w:rsidRPr="007875EA">
              <w:rPr>
                <w:rFonts w:cs="Arial"/>
                <w:i/>
                <w:iCs/>
                <w:szCs w:val="19"/>
              </w:rPr>
              <w:t>micrograms/dose)</w:t>
            </w:r>
          </w:p>
          <w:p w14:paraId="7C68D998" w14:textId="372541EB" w:rsidR="008035B5" w:rsidRPr="008035B5" w:rsidRDefault="008109D0" w:rsidP="007875EA">
            <w:pPr>
              <w:rPr>
                <w:rFonts w:cs="Arial"/>
                <w:szCs w:val="19"/>
              </w:rPr>
            </w:pPr>
            <w:r w:rsidRPr="008109D0">
              <w:rPr>
                <w:rFonts w:cs="Arial"/>
                <w:sz w:val="16"/>
                <w:szCs w:val="16"/>
              </w:rPr>
              <w:t>10microgram in 0.3mL single-dose vial</w:t>
            </w:r>
          </w:p>
        </w:tc>
        <w:tc>
          <w:tcPr>
            <w:tcW w:w="3506" w:type="pct"/>
            <w:shd w:val="clear" w:color="auto" w:fill="auto"/>
            <w:tcMar>
              <w:top w:w="57" w:type="dxa"/>
              <w:bottom w:w="57" w:type="dxa"/>
            </w:tcMar>
          </w:tcPr>
          <w:p w14:paraId="5D7097C6" w14:textId="017ADD94" w:rsidR="007875EA" w:rsidRDefault="00981139" w:rsidP="00981139">
            <w:pPr>
              <w:tabs>
                <w:tab w:val="center" w:pos="3152"/>
              </w:tabs>
              <w:rPr>
                <w:rFonts w:cs="Arial"/>
                <w:szCs w:val="19"/>
                <w:lang w:val="en-US"/>
              </w:rPr>
            </w:pPr>
            <w:r>
              <w:rPr>
                <w:rFonts w:cs="Arial"/>
                <w:szCs w:val="19"/>
                <w:lang w:val="en-US"/>
              </w:rPr>
              <w:t>A</w:t>
            </w:r>
            <w:r w:rsidRPr="00981139">
              <w:rPr>
                <w:rFonts w:cs="Arial"/>
                <w:szCs w:val="19"/>
                <w:lang w:val="en-US"/>
              </w:rPr>
              <w:t>ctive</w:t>
            </w:r>
            <w:r>
              <w:rPr>
                <w:rFonts w:cs="Arial"/>
                <w:szCs w:val="19"/>
                <w:lang w:val="en-US"/>
              </w:rPr>
              <w:t xml:space="preserve"> </w:t>
            </w:r>
            <w:r w:rsidRPr="00981139">
              <w:rPr>
                <w:rFonts w:cs="Arial"/>
                <w:szCs w:val="19"/>
                <w:lang w:val="en-US"/>
              </w:rPr>
              <w:t>immunisation to prevent COVID-19 caused by SARS-CoV-2 in children aged 5 to</w:t>
            </w:r>
            <w:r>
              <w:rPr>
                <w:rFonts w:cs="Arial"/>
                <w:szCs w:val="19"/>
                <w:lang w:val="en-US"/>
              </w:rPr>
              <w:t xml:space="preserve"> </w:t>
            </w:r>
            <w:r w:rsidRPr="00981139">
              <w:rPr>
                <w:rFonts w:cs="Arial"/>
                <w:szCs w:val="19"/>
                <w:lang w:val="en-US"/>
              </w:rPr>
              <w:t>11 years</w:t>
            </w:r>
          </w:p>
        </w:tc>
      </w:tr>
      <w:tr w:rsidR="007875EA" w14:paraId="06AC3204" w14:textId="77777777" w:rsidTr="000A11A9">
        <w:tc>
          <w:tcPr>
            <w:tcW w:w="1494" w:type="pct"/>
            <w:gridSpan w:val="2"/>
            <w:shd w:val="clear" w:color="auto" w:fill="auto"/>
            <w:tcMar>
              <w:top w:w="57" w:type="dxa"/>
              <w:bottom w:w="57" w:type="dxa"/>
            </w:tcMar>
          </w:tcPr>
          <w:p w14:paraId="7F41EA42" w14:textId="77777777" w:rsidR="007875EA" w:rsidRDefault="007875EA" w:rsidP="007875EA">
            <w:pPr>
              <w:rPr>
                <w:rFonts w:cs="Arial"/>
                <w:szCs w:val="19"/>
              </w:rPr>
            </w:pPr>
            <w:r w:rsidRPr="007875EA">
              <w:rPr>
                <w:rFonts w:cs="Arial"/>
                <w:szCs w:val="19"/>
              </w:rPr>
              <w:t>Bretovamera</w:t>
            </w:r>
            <w:r>
              <w:rPr>
                <w:rFonts w:cs="Arial"/>
                <w:szCs w:val="19"/>
              </w:rPr>
              <w:t>n (</w:t>
            </w:r>
            <w:r>
              <w:rPr>
                <w:rFonts w:cs="Arial"/>
                <w:i/>
                <w:iCs/>
                <w:szCs w:val="19"/>
              </w:rPr>
              <w:t xml:space="preserve">Comirnaty </w:t>
            </w:r>
            <w:r w:rsidRPr="007875EA">
              <w:rPr>
                <w:rFonts w:cs="Arial"/>
                <w:i/>
                <w:iCs/>
                <w:szCs w:val="19"/>
              </w:rPr>
              <w:t>JN.1 3</w:t>
            </w:r>
            <w:r>
              <w:rPr>
                <w:rFonts w:cs="Arial"/>
                <w:i/>
                <w:iCs/>
                <w:szCs w:val="19"/>
              </w:rPr>
              <w:t>0</w:t>
            </w:r>
            <w:r w:rsidRPr="007875EA">
              <w:rPr>
                <w:rFonts w:cs="Arial"/>
                <w:i/>
                <w:iCs/>
                <w:szCs w:val="19"/>
              </w:rPr>
              <w:t>micrograms/dose)</w:t>
            </w:r>
          </w:p>
          <w:p w14:paraId="040B9E46" w14:textId="54F7F2BE" w:rsidR="000A11A9" w:rsidRPr="000A11A9" w:rsidRDefault="000A11A9" w:rsidP="007875EA">
            <w:pPr>
              <w:rPr>
                <w:rFonts w:cs="Arial"/>
                <w:szCs w:val="19"/>
              </w:rPr>
            </w:pPr>
            <w:r w:rsidRPr="000A11A9">
              <w:rPr>
                <w:rFonts w:cs="Arial"/>
                <w:sz w:val="16"/>
                <w:szCs w:val="16"/>
              </w:rPr>
              <w:t>6-dose multi-dose vial and 30micrograms in 0.3mL single-dose prefilled syringe</w:t>
            </w:r>
          </w:p>
        </w:tc>
        <w:tc>
          <w:tcPr>
            <w:tcW w:w="3506" w:type="pct"/>
            <w:shd w:val="clear" w:color="auto" w:fill="auto"/>
            <w:tcMar>
              <w:top w:w="57" w:type="dxa"/>
              <w:bottom w:w="57" w:type="dxa"/>
            </w:tcMar>
          </w:tcPr>
          <w:p w14:paraId="4CC39807" w14:textId="71AAAD51" w:rsidR="007875EA" w:rsidRDefault="000A11A9" w:rsidP="007875EA">
            <w:pPr>
              <w:tabs>
                <w:tab w:val="center" w:pos="3152"/>
              </w:tabs>
              <w:rPr>
                <w:rFonts w:cs="Arial"/>
                <w:szCs w:val="19"/>
                <w:lang w:val="en-US"/>
              </w:rPr>
            </w:pPr>
            <w:r w:rsidRPr="000A11A9">
              <w:rPr>
                <w:rFonts w:cs="Arial"/>
                <w:szCs w:val="19"/>
                <w:lang w:val="en-US"/>
              </w:rPr>
              <w:t xml:space="preserve">Active immunisation to prevent COVID-19 caused by SARS-CoV-2 in individuals </w:t>
            </w:r>
            <w:r w:rsidR="004C1258">
              <w:rPr>
                <w:rFonts w:cs="Arial"/>
                <w:szCs w:val="19"/>
                <w:lang w:val="en-US"/>
              </w:rPr>
              <w:t>≥</w:t>
            </w:r>
            <w:r w:rsidRPr="000A11A9">
              <w:rPr>
                <w:rFonts w:cs="Arial"/>
                <w:szCs w:val="19"/>
                <w:lang w:val="en-US"/>
              </w:rPr>
              <w:t>12 years</w:t>
            </w:r>
          </w:p>
        </w:tc>
      </w:tr>
      <w:tr w:rsidR="007875EA" w14:paraId="1090CF8F" w14:textId="77777777" w:rsidTr="000A11A9">
        <w:tc>
          <w:tcPr>
            <w:tcW w:w="1494" w:type="pct"/>
            <w:gridSpan w:val="2"/>
            <w:shd w:val="clear" w:color="auto" w:fill="auto"/>
            <w:tcMar>
              <w:top w:w="57" w:type="dxa"/>
              <w:bottom w:w="57" w:type="dxa"/>
            </w:tcMar>
          </w:tcPr>
          <w:p w14:paraId="609B8BC4" w14:textId="77777777" w:rsidR="007875EA" w:rsidRDefault="007875EA" w:rsidP="007875EA">
            <w:pPr>
              <w:rPr>
                <w:rFonts w:cs="Arial"/>
                <w:szCs w:val="19"/>
              </w:rPr>
            </w:pPr>
            <w:r>
              <w:rPr>
                <w:rFonts w:cs="Arial"/>
                <w:szCs w:val="19"/>
              </w:rPr>
              <w:t>Capivasertib (</w:t>
            </w:r>
            <w:r>
              <w:rPr>
                <w:rFonts w:cs="Arial"/>
                <w:i/>
                <w:iCs/>
                <w:szCs w:val="19"/>
              </w:rPr>
              <w:t>Truqap</w:t>
            </w:r>
            <w:r>
              <w:rPr>
                <w:rFonts w:cs="Arial"/>
                <w:szCs w:val="19"/>
              </w:rPr>
              <w:t>)</w:t>
            </w:r>
          </w:p>
          <w:p w14:paraId="5E53DD5A" w14:textId="353C4743" w:rsidR="007875EA" w:rsidRPr="00BE4FA3" w:rsidRDefault="007875EA" w:rsidP="007875EA">
            <w:pPr>
              <w:rPr>
                <w:rFonts w:cs="Arial"/>
                <w:sz w:val="16"/>
                <w:szCs w:val="16"/>
              </w:rPr>
            </w:pPr>
            <w:r w:rsidRPr="00BE4FA3">
              <w:rPr>
                <w:rFonts w:cs="Arial"/>
                <w:sz w:val="16"/>
                <w:szCs w:val="16"/>
              </w:rPr>
              <w:t>160mg and 200mg tablets</w:t>
            </w:r>
          </w:p>
          <w:p w14:paraId="2B2CB766" w14:textId="6C3E3A0E" w:rsidR="007875EA" w:rsidRPr="00BE4FA3" w:rsidRDefault="007875EA" w:rsidP="007875EA">
            <w:pPr>
              <w:rPr>
                <w:rFonts w:cs="Arial"/>
                <w:szCs w:val="19"/>
              </w:rPr>
            </w:pPr>
          </w:p>
        </w:tc>
        <w:tc>
          <w:tcPr>
            <w:tcW w:w="3506" w:type="pct"/>
            <w:shd w:val="clear" w:color="auto" w:fill="auto"/>
            <w:tcMar>
              <w:top w:w="57" w:type="dxa"/>
              <w:bottom w:w="57" w:type="dxa"/>
            </w:tcMar>
          </w:tcPr>
          <w:p w14:paraId="6D848936" w14:textId="2B0768A4" w:rsidR="007875EA" w:rsidRPr="00A075A3" w:rsidRDefault="007875EA" w:rsidP="007875EA">
            <w:pPr>
              <w:tabs>
                <w:tab w:val="center" w:pos="3152"/>
              </w:tabs>
              <w:rPr>
                <w:rFonts w:cs="Arial"/>
                <w:szCs w:val="19"/>
                <w:lang w:val="en-US"/>
              </w:rPr>
            </w:pPr>
            <w:r>
              <w:rPr>
                <w:rFonts w:cs="Arial"/>
                <w:szCs w:val="19"/>
                <w:lang w:val="en-US"/>
              </w:rPr>
              <w:t xml:space="preserve">Use </w:t>
            </w:r>
            <w:r w:rsidRPr="00BE4FA3">
              <w:rPr>
                <w:rFonts w:cs="Arial"/>
                <w:szCs w:val="19"/>
                <w:lang w:val="en-US"/>
              </w:rPr>
              <w:t>in combination with fulvestrant for the treatment of adults with hormone receptor</w:t>
            </w:r>
            <w:r>
              <w:rPr>
                <w:rFonts w:cs="Arial"/>
                <w:szCs w:val="19"/>
                <w:lang w:val="en-US"/>
              </w:rPr>
              <w:t>-</w:t>
            </w:r>
            <w:r w:rsidRPr="00BE4FA3">
              <w:rPr>
                <w:rFonts w:cs="Arial"/>
                <w:szCs w:val="19"/>
                <w:lang w:val="en-US"/>
              </w:rPr>
              <w:t>positive, human epidermal growth factor receptor 2</w:t>
            </w:r>
            <w:r>
              <w:rPr>
                <w:rFonts w:cs="Arial"/>
                <w:szCs w:val="19"/>
                <w:lang w:val="en-US"/>
              </w:rPr>
              <w:t>-</w:t>
            </w:r>
            <w:r w:rsidRPr="00BE4FA3">
              <w:rPr>
                <w:rFonts w:cs="Arial"/>
                <w:szCs w:val="19"/>
                <w:lang w:val="en-US"/>
              </w:rPr>
              <w:t>negative (defined as IHC 0 or 1+, or IHC 2+/ISH-) locally advanced or metastatic breast cancer with one or more PIK3CA/AKT1/PTEN-alterations following recurrence or progression on or after an endocrine based regimen</w:t>
            </w:r>
          </w:p>
        </w:tc>
      </w:tr>
      <w:tr w:rsidR="007875EA" w14:paraId="4364FB98" w14:textId="77777777" w:rsidTr="000A11A9">
        <w:tc>
          <w:tcPr>
            <w:tcW w:w="1494" w:type="pct"/>
            <w:gridSpan w:val="2"/>
            <w:shd w:val="clear" w:color="auto" w:fill="auto"/>
            <w:tcMar>
              <w:top w:w="57" w:type="dxa"/>
              <w:bottom w:w="57" w:type="dxa"/>
            </w:tcMar>
          </w:tcPr>
          <w:p w14:paraId="54C1735A" w14:textId="77777777" w:rsidR="007875EA" w:rsidRDefault="007875EA" w:rsidP="007875EA">
            <w:pPr>
              <w:rPr>
                <w:rFonts w:cs="Arial"/>
                <w:szCs w:val="19"/>
              </w:rPr>
            </w:pPr>
            <w:r w:rsidRPr="00E44D0D">
              <w:rPr>
                <w:rFonts w:cs="Arial"/>
                <w:szCs w:val="19"/>
              </w:rPr>
              <w:t>Liraglutide biosimilar </w:t>
            </w:r>
          </w:p>
          <w:p w14:paraId="7A489811" w14:textId="77777777" w:rsidR="007875EA" w:rsidRDefault="007875EA" w:rsidP="007875EA">
            <w:pPr>
              <w:rPr>
                <w:rFonts w:cs="Arial"/>
                <w:szCs w:val="19"/>
              </w:rPr>
            </w:pPr>
            <w:r>
              <w:rPr>
                <w:rFonts w:cs="Arial"/>
                <w:szCs w:val="19"/>
              </w:rPr>
              <w:t>(</w:t>
            </w:r>
            <w:r w:rsidRPr="00E44D0D">
              <w:rPr>
                <w:rFonts w:cs="Arial"/>
                <w:i/>
                <w:iCs/>
                <w:szCs w:val="19"/>
              </w:rPr>
              <w:t>Diavic/Liraglutide SUN</w:t>
            </w:r>
            <w:r>
              <w:rPr>
                <w:rFonts w:cs="Arial"/>
                <w:szCs w:val="19"/>
              </w:rPr>
              <w:t>)</w:t>
            </w:r>
          </w:p>
          <w:p w14:paraId="1E776D01" w14:textId="6704B0A3" w:rsidR="007875EA" w:rsidRPr="009B4F9E" w:rsidRDefault="007875EA" w:rsidP="007875EA">
            <w:pPr>
              <w:rPr>
                <w:rFonts w:cs="Arial"/>
                <w:szCs w:val="19"/>
              </w:rPr>
            </w:pPr>
            <w:r w:rsidRPr="00E44D0D">
              <w:rPr>
                <w:rFonts w:cs="Arial"/>
                <w:sz w:val="16"/>
                <w:szCs w:val="16"/>
              </w:rPr>
              <w:t>18mg in 3mL prefilled pen</w:t>
            </w:r>
          </w:p>
        </w:tc>
        <w:tc>
          <w:tcPr>
            <w:tcW w:w="3506" w:type="pct"/>
            <w:shd w:val="clear" w:color="auto" w:fill="auto"/>
            <w:tcMar>
              <w:top w:w="57" w:type="dxa"/>
              <w:bottom w:w="57" w:type="dxa"/>
            </w:tcMar>
          </w:tcPr>
          <w:p w14:paraId="669D80D9" w14:textId="63224746" w:rsidR="007875EA" w:rsidRPr="00A075A3" w:rsidRDefault="007875EA" w:rsidP="007875EA">
            <w:pPr>
              <w:tabs>
                <w:tab w:val="num" w:pos="720"/>
                <w:tab w:val="center" w:pos="3152"/>
              </w:tabs>
              <w:rPr>
                <w:rFonts w:cs="Arial"/>
                <w:szCs w:val="19"/>
                <w:lang w:val="en-US"/>
              </w:rPr>
            </w:pPr>
            <w:r w:rsidRPr="00E44D0D">
              <w:rPr>
                <w:rFonts w:cs="Arial"/>
                <w:szCs w:val="19"/>
                <w:lang w:val="en-US"/>
              </w:rPr>
              <w:t xml:space="preserve">Treatment of adults, adolescents and children aged </w:t>
            </w:r>
            <w:r>
              <w:rPr>
                <w:rFonts w:cs="Arial"/>
                <w:szCs w:val="19"/>
                <w:lang w:val="en-US"/>
              </w:rPr>
              <w:t>≥</w:t>
            </w:r>
            <w:r w:rsidRPr="00E44D0D">
              <w:rPr>
                <w:rFonts w:cs="Arial"/>
                <w:szCs w:val="19"/>
                <w:lang w:val="en-US"/>
              </w:rPr>
              <w:t>10 years</w:t>
            </w:r>
            <w:r>
              <w:rPr>
                <w:rFonts w:cs="Arial"/>
                <w:szCs w:val="19"/>
                <w:lang w:val="en-US"/>
              </w:rPr>
              <w:t xml:space="preserve"> </w:t>
            </w:r>
            <w:r w:rsidRPr="00E44D0D">
              <w:rPr>
                <w:rFonts w:cs="Arial"/>
                <w:szCs w:val="19"/>
                <w:lang w:val="en-US"/>
              </w:rPr>
              <w:t>with insufficiently controlled type 2 diabetes mellitus as an adjunct to diet and exercise as monotherapy when metformin is considered inappropriate due to intolerance or contraindications and in addition to other medicinal products for the treatment of diabetes</w:t>
            </w:r>
          </w:p>
        </w:tc>
      </w:tr>
      <w:tr w:rsidR="00D14A06" w:rsidRPr="00862949" w14:paraId="637D3C56" w14:textId="77777777" w:rsidTr="005A7E09">
        <w:tc>
          <w:tcPr>
            <w:tcW w:w="5000" w:type="pct"/>
            <w:gridSpan w:val="3"/>
            <w:shd w:val="clear" w:color="auto" w:fill="auto"/>
            <w:tcMar>
              <w:top w:w="0" w:type="dxa"/>
              <w:bottom w:w="0" w:type="dxa"/>
            </w:tcMar>
          </w:tcPr>
          <w:p w14:paraId="7C159836" w14:textId="77777777" w:rsidR="00D14A06" w:rsidRPr="00862949" w:rsidRDefault="00D14A06" w:rsidP="00D14A06">
            <w:pPr>
              <w:jc w:val="center"/>
              <w:rPr>
                <w:rFonts w:cs="Arial"/>
                <w:noProof/>
                <w:sz w:val="8"/>
                <w:szCs w:val="8"/>
              </w:rPr>
            </w:pPr>
          </w:p>
        </w:tc>
      </w:tr>
      <w:tr w:rsidR="00D14A06" w:rsidRPr="000F19E1" w14:paraId="64D6CFDF" w14:textId="77777777" w:rsidTr="00155BD9">
        <w:tc>
          <w:tcPr>
            <w:tcW w:w="1152" w:type="pct"/>
            <w:shd w:val="clear" w:color="auto" w:fill="DAEEF3"/>
            <w:tcMar>
              <w:top w:w="0" w:type="dxa"/>
              <w:bottom w:w="0" w:type="dxa"/>
            </w:tcMar>
          </w:tcPr>
          <w:p w14:paraId="56809EA9" w14:textId="77777777" w:rsidR="00D14A06" w:rsidRPr="000F19E1" w:rsidRDefault="00D14A06" w:rsidP="00D14A06">
            <w:pPr>
              <w:rPr>
                <w:rFonts w:cs="Arial"/>
                <w:bCs/>
                <w:sz w:val="8"/>
                <w:szCs w:val="8"/>
              </w:rPr>
            </w:pPr>
          </w:p>
        </w:tc>
        <w:tc>
          <w:tcPr>
            <w:tcW w:w="3848" w:type="pct"/>
            <w:gridSpan w:val="2"/>
            <w:shd w:val="clear" w:color="auto" w:fill="DAEEF3"/>
            <w:tcMar>
              <w:top w:w="0" w:type="dxa"/>
              <w:bottom w:w="0" w:type="dxa"/>
            </w:tcMar>
          </w:tcPr>
          <w:p w14:paraId="1F53970F" w14:textId="77777777" w:rsidR="00D14A06" w:rsidRPr="000F19E1" w:rsidRDefault="00D14A06" w:rsidP="00D14A06">
            <w:pPr>
              <w:tabs>
                <w:tab w:val="center" w:pos="3152"/>
              </w:tabs>
              <w:rPr>
                <w:rFonts w:cs="Arial"/>
                <w:sz w:val="8"/>
                <w:szCs w:val="8"/>
                <w:lang w:val="en-US"/>
              </w:rPr>
            </w:pPr>
          </w:p>
        </w:tc>
      </w:tr>
    </w:tbl>
    <w:p w14:paraId="4CA21235" w14:textId="77777777" w:rsidR="008B662C" w:rsidRDefault="008B662C">
      <w:r>
        <w:br w:type="page"/>
      </w:r>
    </w:p>
    <w:p w14:paraId="0B097571" w14:textId="77777777" w:rsidR="00CC4965" w:rsidRDefault="00CC4965"/>
    <w:tbl>
      <w:tblPr>
        <w:tblW w:w="5170" w:type="pct"/>
        <w:tblInd w:w="-176" w:type="dxa"/>
        <w:tblLayout w:type="fixed"/>
        <w:tblLook w:val="01E0" w:firstRow="1" w:lastRow="1" w:firstColumn="1" w:lastColumn="1" w:noHBand="0" w:noVBand="0"/>
      </w:tblPr>
      <w:tblGrid>
        <w:gridCol w:w="2430"/>
        <w:gridCol w:w="623"/>
        <w:gridCol w:w="7498"/>
      </w:tblGrid>
      <w:tr w:rsidR="00CC4965" w:rsidRPr="00862949" w14:paraId="505E2D67" w14:textId="77777777" w:rsidTr="00335732">
        <w:tc>
          <w:tcPr>
            <w:tcW w:w="5000" w:type="pct"/>
            <w:gridSpan w:val="3"/>
            <w:shd w:val="clear" w:color="auto" w:fill="0070C0"/>
            <w:tcMar>
              <w:top w:w="85" w:type="dxa"/>
              <w:bottom w:w="85" w:type="dxa"/>
            </w:tcMar>
            <w:vAlign w:val="bottom"/>
          </w:tcPr>
          <w:p w14:paraId="4297B095" w14:textId="77777777" w:rsidR="00CC4965" w:rsidRPr="00862949" w:rsidRDefault="00CC4965" w:rsidP="00335732">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CC4965" w:rsidRPr="00862949" w14:paraId="5C8B6211" w14:textId="77777777" w:rsidTr="00335732">
        <w:tc>
          <w:tcPr>
            <w:tcW w:w="5000" w:type="pct"/>
            <w:gridSpan w:val="3"/>
            <w:shd w:val="clear" w:color="auto" w:fill="DAEEF3"/>
            <w:tcMar>
              <w:top w:w="0" w:type="dxa"/>
              <w:bottom w:w="0" w:type="dxa"/>
            </w:tcMar>
          </w:tcPr>
          <w:p w14:paraId="4800AA20" w14:textId="77777777" w:rsidR="00CC4965" w:rsidRPr="00862949" w:rsidRDefault="00CC4965" w:rsidP="00335732">
            <w:pPr>
              <w:rPr>
                <w:rFonts w:cs="Arial"/>
                <w:b/>
                <w:bCs/>
                <w:i/>
                <w:iCs/>
                <w:color w:val="000000"/>
                <w:sz w:val="8"/>
                <w:szCs w:val="8"/>
                <w:lang w:val="en-US"/>
              </w:rPr>
            </w:pPr>
          </w:p>
        </w:tc>
      </w:tr>
      <w:tr w:rsidR="00CC4965" w:rsidRPr="00862949" w14:paraId="6BA6DC2D" w14:textId="77777777" w:rsidTr="00335732">
        <w:tc>
          <w:tcPr>
            <w:tcW w:w="5000" w:type="pct"/>
            <w:gridSpan w:val="3"/>
            <w:shd w:val="clear" w:color="auto" w:fill="00B050"/>
            <w:tcMar>
              <w:top w:w="57" w:type="dxa"/>
              <w:bottom w:w="57" w:type="dxa"/>
            </w:tcMar>
          </w:tcPr>
          <w:p w14:paraId="6A3E1B36" w14:textId="3467C472" w:rsidR="00CC4965" w:rsidRPr="00433D3E" w:rsidRDefault="00CC4965" w:rsidP="00335732">
            <w:pPr>
              <w:rPr>
                <w:rFonts w:cs="Arial"/>
                <w:color w:val="FFFFFF"/>
                <w:sz w:val="20"/>
                <w:szCs w:val="20"/>
              </w:rPr>
            </w:pPr>
            <w:r w:rsidRPr="00433D3E">
              <w:rPr>
                <w:rFonts w:cs="Arial"/>
                <w:b/>
                <w:bCs/>
                <w:i/>
                <w:iCs/>
                <w:color w:val="FFFFFF"/>
                <w:sz w:val="22"/>
                <w:szCs w:val="20"/>
                <w:lang w:val="en-US"/>
              </w:rPr>
              <w:t xml:space="preserve">Approved in the </w:t>
            </w:r>
            <w:r>
              <w:rPr>
                <w:rFonts w:cs="Arial"/>
                <w:b/>
                <w:bCs/>
                <w:i/>
                <w:iCs/>
                <w:color w:val="FFFFFF"/>
                <w:sz w:val="22"/>
                <w:szCs w:val="20"/>
                <w:lang w:val="en-US"/>
              </w:rPr>
              <w:t xml:space="preserve">UK </w:t>
            </w:r>
            <w:r w:rsidRPr="00CC4965">
              <w:rPr>
                <w:rFonts w:cs="Arial"/>
                <w:b/>
                <w:bCs/>
                <w:color w:val="FFFFFF"/>
                <w:sz w:val="16"/>
                <w:szCs w:val="14"/>
                <w:lang w:val="en-US"/>
              </w:rPr>
              <w:t>(continued)</w:t>
            </w:r>
          </w:p>
        </w:tc>
      </w:tr>
      <w:tr w:rsidR="00D87D74" w14:paraId="6AE492AF" w14:textId="77777777" w:rsidTr="00335732">
        <w:tc>
          <w:tcPr>
            <w:tcW w:w="1447" w:type="pct"/>
            <w:gridSpan w:val="2"/>
            <w:shd w:val="clear" w:color="auto" w:fill="auto"/>
            <w:tcMar>
              <w:top w:w="57" w:type="dxa"/>
              <w:bottom w:w="57" w:type="dxa"/>
            </w:tcMar>
          </w:tcPr>
          <w:p w14:paraId="200797DB" w14:textId="77777777" w:rsidR="00D87D74" w:rsidRDefault="00D87D74" w:rsidP="00D87D74">
            <w:pPr>
              <w:rPr>
                <w:rFonts w:cs="Arial"/>
                <w:szCs w:val="19"/>
              </w:rPr>
            </w:pPr>
            <w:r>
              <w:rPr>
                <w:rFonts w:cs="Arial"/>
                <w:szCs w:val="19"/>
              </w:rPr>
              <w:t>Liraglutide</w:t>
            </w:r>
            <w:r w:rsidRPr="00E44D0D">
              <w:rPr>
                <w:rFonts w:cs="Arial"/>
                <w:szCs w:val="19"/>
              </w:rPr>
              <w:t xml:space="preserve"> biosimilar </w:t>
            </w:r>
            <w:r>
              <w:rPr>
                <w:rFonts w:cs="Arial"/>
                <w:szCs w:val="19"/>
              </w:rPr>
              <w:t>(</w:t>
            </w:r>
            <w:r>
              <w:rPr>
                <w:rFonts w:cs="Arial"/>
                <w:i/>
                <w:iCs/>
                <w:szCs w:val="19"/>
              </w:rPr>
              <w:t>Liobesy</w:t>
            </w:r>
            <w:r>
              <w:rPr>
                <w:rFonts w:cs="Arial"/>
                <w:szCs w:val="19"/>
              </w:rPr>
              <w:t>)</w:t>
            </w:r>
          </w:p>
          <w:p w14:paraId="5E597C48" w14:textId="77777777" w:rsidR="00D87D74" w:rsidRDefault="00D87D74" w:rsidP="00D87D74">
            <w:pPr>
              <w:rPr>
                <w:rFonts w:cs="Arial"/>
                <w:szCs w:val="19"/>
              </w:rPr>
            </w:pPr>
            <w:r w:rsidRPr="00E44D0D">
              <w:rPr>
                <w:rFonts w:cs="Arial"/>
                <w:sz w:val="16"/>
                <w:szCs w:val="16"/>
              </w:rPr>
              <w:t>18mg in 3mL prefilled pen</w:t>
            </w:r>
          </w:p>
          <w:p w14:paraId="501CC9B0" w14:textId="77777777" w:rsidR="00D87D74" w:rsidRDefault="00D87D74" w:rsidP="00D87D74">
            <w:pPr>
              <w:rPr>
                <w:rFonts w:cs="Arial"/>
                <w:szCs w:val="19"/>
              </w:rPr>
            </w:pPr>
          </w:p>
        </w:tc>
        <w:tc>
          <w:tcPr>
            <w:tcW w:w="3553" w:type="pct"/>
            <w:shd w:val="clear" w:color="auto" w:fill="auto"/>
            <w:tcMar>
              <w:top w:w="57" w:type="dxa"/>
              <w:bottom w:w="57" w:type="dxa"/>
            </w:tcMar>
          </w:tcPr>
          <w:p w14:paraId="7B724C43" w14:textId="2A01BA30" w:rsidR="00D87D74" w:rsidRDefault="00D87D74" w:rsidP="00D87D74">
            <w:pPr>
              <w:tabs>
                <w:tab w:val="center" w:pos="3152"/>
              </w:tabs>
              <w:rPr>
                <w:rFonts w:cs="Arial"/>
                <w:szCs w:val="19"/>
                <w:lang w:val="en-US"/>
              </w:rPr>
            </w:pPr>
            <w:r w:rsidRPr="00CC4965">
              <w:rPr>
                <w:rFonts w:cs="Arial"/>
                <w:color w:val="000000"/>
                <w:szCs w:val="19"/>
                <w:lang w:val="en-US"/>
              </w:rPr>
              <w:t xml:space="preserve">Use as an adjunct to a reduced-calorie diet and increased physical activity for weight management in adults with an initial Body Mass Index (BMI) of ≥30kg/m² (obesity), or ≥27kg/m² to &lt;30kg/m² (overweight) in the presence of at least one weight-related comorbidity such as dysglycaemia (pre-diabetes or type 2 diabetes mellitus), hypertension, </w:t>
            </w:r>
            <w:proofErr w:type="gramStart"/>
            <w:r w:rsidRPr="00CC4965">
              <w:rPr>
                <w:rFonts w:cs="Arial"/>
                <w:color w:val="000000"/>
                <w:szCs w:val="19"/>
                <w:lang w:val="en-US"/>
              </w:rPr>
              <w:t>dyslipidaemia</w:t>
            </w:r>
            <w:proofErr w:type="gramEnd"/>
            <w:r w:rsidRPr="00CC4965">
              <w:rPr>
                <w:rFonts w:cs="Arial"/>
                <w:color w:val="000000"/>
                <w:szCs w:val="19"/>
                <w:lang w:val="en-US"/>
              </w:rPr>
              <w:t xml:space="preserve"> or obstructive sleep apnoea. And use as an adjunct to a healthy nutrition and increased physical activity for weight management in adolescent patients aged ≥12 years with obesity (BMI corresponding to ≥30kg/m</w:t>
            </w:r>
            <w:r w:rsidRPr="00CC4965">
              <w:rPr>
                <w:rFonts w:cs="Arial"/>
                <w:color w:val="000000"/>
                <w:szCs w:val="19"/>
                <w:vertAlign w:val="superscript"/>
                <w:lang w:val="en-US"/>
              </w:rPr>
              <w:t xml:space="preserve">2 </w:t>
            </w:r>
            <w:r w:rsidRPr="00CC4965">
              <w:rPr>
                <w:rFonts w:cs="Arial"/>
                <w:color w:val="000000"/>
                <w:szCs w:val="19"/>
                <w:lang w:val="en-US"/>
              </w:rPr>
              <w:t>for adults by international cut-off points) and body weight &gt;60 kg.</w:t>
            </w:r>
          </w:p>
        </w:tc>
      </w:tr>
      <w:tr w:rsidR="00D87D74" w14:paraId="13E8526E" w14:textId="77777777" w:rsidTr="00335732">
        <w:tc>
          <w:tcPr>
            <w:tcW w:w="1447" w:type="pct"/>
            <w:gridSpan w:val="2"/>
            <w:shd w:val="clear" w:color="auto" w:fill="auto"/>
            <w:tcMar>
              <w:top w:w="57" w:type="dxa"/>
              <w:bottom w:w="57" w:type="dxa"/>
            </w:tcMar>
          </w:tcPr>
          <w:p w14:paraId="01E6A0EB" w14:textId="77777777" w:rsidR="00D87D74" w:rsidRDefault="00D87D74" w:rsidP="00D87D74">
            <w:pPr>
              <w:rPr>
                <w:rFonts w:cs="Arial"/>
                <w:szCs w:val="19"/>
              </w:rPr>
            </w:pPr>
            <w:r>
              <w:rPr>
                <w:rFonts w:cs="Arial"/>
                <w:szCs w:val="19"/>
              </w:rPr>
              <w:t>Ocrelizumab (</w:t>
            </w:r>
            <w:r>
              <w:rPr>
                <w:rFonts w:cs="Arial"/>
                <w:i/>
                <w:iCs/>
                <w:szCs w:val="19"/>
              </w:rPr>
              <w:t>Ocrevus</w:t>
            </w:r>
            <w:r>
              <w:rPr>
                <w:rFonts w:cs="Arial"/>
                <w:szCs w:val="19"/>
              </w:rPr>
              <w:t>)</w:t>
            </w:r>
          </w:p>
          <w:p w14:paraId="649C7877" w14:textId="07B81963" w:rsidR="00D87D74" w:rsidRPr="00E52E04" w:rsidRDefault="00D87D74" w:rsidP="00D87D74">
            <w:pPr>
              <w:rPr>
                <w:rFonts w:cs="Arial"/>
                <w:szCs w:val="19"/>
              </w:rPr>
            </w:pPr>
            <w:r w:rsidRPr="00A1070C">
              <w:rPr>
                <w:rFonts w:cs="Arial"/>
                <w:sz w:val="16"/>
                <w:szCs w:val="16"/>
              </w:rPr>
              <w:t>920mg in 23mL vial</w:t>
            </w:r>
          </w:p>
        </w:tc>
        <w:tc>
          <w:tcPr>
            <w:tcW w:w="3553" w:type="pct"/>
            <w:shd w:val="clear" w:color="auto" w:fill="auto"/>
            <w:tcMar>
              <w:top w:w="57" w:type="dxa"/>
              <w:bottom w:w="57" w:type="dxa"/>
            </w:tcMar>
          </w:tcPr>
          <w:p w14:paraId="61C66A49" w14:textId="3CB29F6B" w:rsidR="00D87D74" w:rsidRDefault="00D87D74" w:rsidP="00D87D74">
            <w:pPr>
              <w:tabs>
                <w:tab w:val="center" w:pos="3152"/>
              </w:tabs>
              <w:rPr>
                <w:rFonts w:cs="Arial"/>
                <w:szCs w:val="19"/>
                <w:lang w:val="en-US"/>
              </w:rPr>
            </w:pPr>
            <w:r>
              <w:rPr>
                <w:rFonts w:cs="Arial"/>
                <w:szCs w:val="19"/>
                <w:lang w:val="en-US"/>
              </w:rPr>
              <w:t>T</w:t>
            </w:r>
            <w:r w:rsidRPr="00A1070C">
              <w:rPr>
                <w:rFonts w:cs="Arial"/>
                <w:szCs w:val="19"/>
                <w:lang w:val="en-US"/>
              </w:rPr>
              <w:t>reatment of adults with relapsing forms of multiple sclerosis with active disease defined by</w:t>
            </w:r>
            <w:r>
              <w:rPr>
                <w:rFonts w:cs="Arial"/>
                <w:szCs w:val="19"/>
                <w:lang w:val="en-US"/>
              </w:rPr>
              <w:t xml:space="preserve"> </w:t>
            </w:r>
            <w:r w:rsidRPr="00A1070C">
              <w:rPr>
                <w:rFonts w:cs="Arial"/>
                <w:szCs w:val="19"/>
                <w:lang w:val="en-US"/>
              </w:rPr>
              <w:t>clinical or imaging features, and early primary progressive multiple sclerosis in terms of disease duration and level of disability, and with imaging features characteristic of inflammatory activity</w:t>
            </w:r>
            <w:r>
              <w:rPr>
                <w:rFonts w:cs="Arial"/>
                <w:szCs w:val="19"/>
                <w:lang w:val="en-US"/>
              </w:rPr>
              <w:t xml:space="preserve"> </w:t>
            </w:r>
            <w:r w:rsidRPr="00A1070C">
              <w:rPr>
                <w:rFonts w:cs="Arial"/>
                <w:sz w:val="16"/>
                <w:szCs w:val="16"/>
                <w:lang w:val="en-US"/>
              </w:rPr>
              <w:t>[new subcutaneous formulation]</w:t>
            </w:r>
          </w:p>
        </w:tc>
      </w:tr>
      <w:tr w:rsidR="00D87D74" w14:paraId="2A34C566" w14:textId="77777777" w:rsidTr="00335732">
        <w:tc>
          <w:tcPr>
            <w:tcW w:w="1447" w:type="pct"/>
            <w:gridSpan w:val="2"/>
            <w:shd w:val="clear" w:color="auto" w:fill="auto"/>
            <w:tcMar>
              <w:top w:w="57" w:type="dxa"/>
              <w:bottom w:w="57" w:type="dxa"/>
            </w:tcMar>
          </w:tcPr>
          <w:p w14:paraId="7B677B1F" w14:textId="77777777" w:rsidR="00D87D74" w:rsidRDefault="00D87D74" w:rsidP="00D87D74">
            <w:pPr>
              <w:rPr>
                <w:rFonts w:cs="Arial"/>
                <w:szCs w:val="19"/>
              </w:rPr>
            </w:pPr>
            <w:r w:rsidRPr="00E52E04">
              <w:rPr>
                <w:rFonts w:cs="Arial"/>
                <w:szCs w:val="19"/>
              </w:rPr>
              <w:t>Omalizumab biosimilar (</w:t>
            </w:r>
            <w:r w:rsidRPr="00E52E04">
              <w:rPr>
                <w:rFonts w:cs="Arial"/>
                <w:i/>
                <w:iCs/>
                <w:szCs w:val="19"/>
              </w:rPr>
              <w:t>Omlyclo</w:t>
            </w:r>
            <w:r w:rsidRPr="00E52E04">
              <w:rPr>
                <w:rFonts w:cs="Arial"/>
                <w:szCs w:val="19"/>
              </w:rPr>
              <w:t>) </w:t>
            </w:r>
          </w:p>
          <w:p w14:paraId="4BEB5450" w14:textId="77777777" w:rsidR="00D87D74" w:rsidRDefault="00D87D74" w:rsidP="00D87D74">
            <w:pPr>
              <w:rPr>
                <w:rFonts w:cs="Arial"/>
                <w:szCs w:val="19"/>
              </w:rPr>
            </w:pPr>
            <w:r w:rsidRPr="00312D78">
              <w:rPr>
                <w:rFonts w:cs="Arial"/>
                <w:sz w:val="16"/>
                <w:szCs w:val="16"/>
              </w:rPr>
              <w:t>75mg in 0.5mL and 150mg in 1mL prefilled syringes</w:t>
            </w:r>
          </w:p>
        </w:tc>
        <w:tc>
          <w:tcPr>
            <w:tcW w:w="3553" w:type="pct"/>
            <w:shd w:val="clear" w:color="auto" w:fill="auto"/>
            <w:tcMar>
              <w:top w:w="57" w:type="dxa"/>
              <w:bottom w:w="57" w:type="dxa"/>
            </w:tcMar>
          </w:tcPr>
          <w:p w14:paraId="1E0E6B3D" w14:textId="77777777" w:rsidR="00D87D74" w:rsidRDefault="00D87D74" w:rsidP="00D87D74">
            <w:pPr>
              <w:tabs>
                <w:tab w:val="center" w:pos="3152"/>
              </w:tabs>
              <w:rPr>
                <w:rFonts w:cs="Arial"/>
                <w:szCs w:val="19"/>
                <w:lang w:val="en-US"/>
              </w:rPr>
            </w:pPr>
            <w:r>
              <w:rPr>
                <w:rFonts w:cs="Arial"/>
                <w:szCs w:val="19"/>
                <w:lang w:val="en-US"/>
              </w:rPr>
              <w:t>U</w:t>
            </w:r>
            <w:r w:rsidRPr="00312D78">
              <w:rPr>
                <w:rFonts w:cs="Arial"/>
                <w:szCs w:val="19"/>
                <w:lang w:val="en-US"/>
              </w:rPr>
              <w:t xml:space="preserve">se as add-on therapy to improve asthma control in </w:t>
            </w:r>
            <w:r w:rsidRPr="008B662C">
              <w:rPr>
                <w:rFonts w:cs="Arial"/>
                <w:szCs w:val="19"/>
                <w:lang w:val="en-US"/>
              </w:rPr>
              <w:t xml:space="preserve">adults and adolescents aged </w:t>
            </w:r>
            <w:r>
              <w:rPr>
                <w:rFonts w:cs="Arial"/>
                <w:szCs w:val="19"/>
                <w:lang w:val="en-US"/>
              </w:rPr>
              <w:t xml:space="preserve">≥12 years </w:t>
            </w:r>
            <w:r w:rsidRPr="00312D78">
              <w:rPr>
                <w:rFonts w:cs="Arial"/>
                <w:szCs w:val="19"/>
                <w:lang w:val="en-US"/>
              </w:rPr>
              <w:t xml:space="preserve">with severe persistent allergic asthma who have a positive skin test or in vitro reactivity to a perennial aeroallergen and who have reduced lung function (FEV1&lt;80%) as well as frequent daytime symptoms or night-time awakenings and who have had multiple documented severe asthma exacerbations despite daily high-dose inhaled corticosteroids, plus a long-acting inhaled beta2-agonist. </w:t>
            </w:r>
            <w:proofErr w:type="gramStart"/>
            <w:r w:rsidRPr="00312D78">
              <w:rPr>
                <w:rFonts w:cs="Arial"/>
                <w:szCs w:val="19"/>
                <w:lang w:val="en-US"/>
              </w:rPr>
              <w:t>Also</w:t>
            </w:r>
            <w:proofErr w:type="gramEnd"/>
            <w:r w:rsidRPr="00312D78">
              <w:rPr>
                <w:rFonts w:cs="Arial"/>
                <w:szCs w:val="19"/>
                <w:lang w:val="en-US"/>
              </w:rPr>
              <w:t xml:space="preserve"> for use as add-on therapy to improve asthma control in </w:t>
            </w:r>
            <w:r>
              <w:rPr>
                <w:rFonts w:cs="Arial"/>
                <w:szCs w:val="19"/>
                <w:lang w:val="en-US"/>
              </w:rPr>
              <w:t>children aged 6 to 11 years</w:t>
            </w:r>
            <w:r w:rsidRPr="00312D78">
              <w:rPr>
                <w:rFonts w:cs="Arial"/>
                <w:szCs w:val="19"/>
                <w:lang w:val="en-US"/>
              </w:rPr>
              <w:t xml:space="preserve"> with severe persistent allergic asthma who have a positive skin test or in vitro reactivity to a perennial aeroallergen and frequent daytime symptoms or night-time awakenings and who have had multiple documented severe asthma exacerbations despite daily high-dose inhaled corticosteroids, plus a long-acting inhaled beta2- agonist. </w:t>
            </w:r>
            <w:proofErr w:type="gramStart"/>
            <w:r w:rsidRPr="00312D78">
              <w:rPr>
                <w:rFonts w:cs="Arial"/>
                <w:szCs w:val="19"/>
                <w:lang w:val="en-US"/>
              </w:rPr>
              <w:t>Also</w:t>
            </w:r>
            <w:proofErr w:type="gramEnd"/>
            <w:r w:rsidRPr="00312D78">
              <w:rPr>
                <w:rFonts w:cs="Arial"/>
                <w:szCs w:val="19"/>
                <w:lang w:val="en-US"/>
              </w:rPr>
              <w:t xml:space="preserve"> for use as add-on therapy with intranasal corticosteroids (INC) for the treatment of adults with severe chronic rhinosinusitis with nasal polyps for whom therapy with INC does not provide adequate disease control. </w:t>
            </w:r>
          </w:p>
        </w:tc>
      </w:tr>
      <w:tr w:rsidR="00D87D74" w14:paraId="527EBA77" w14:textId="77777777" w:rsidTr="00335732">
        <w:tc>
          <w:tcPr>
            <w:tcW w:w="1447" w:type="pct"/>
            <w:gridSpan w:val="2"/>
            <w:shd w:val="clear" w:color="auto" w:fill="auto"/>
            <w:tcMar>
              <w:top w:w="57" w:type="dxa"/>
              <w:bottom w:w="57" w:type="dxa"/>
            </w:tcMar>
          </w:tcPr>
          <w:p w14:paraId="4585A369" w14:textId="77777777" w:rsidR="00D87D74" w:rsidRDefault="00D87D74" w:rsidP="00D87D74">
            <w:pPr>
              <w:rPr>
                <w:rFonts w:cs="Arial"/>
                <w:szCs w:val="19"/>
              </w:rPr>
            </w:pPr>
            <w:r w:rsidRPr="00E52E04">
              <w:rPr>
                <w:rFonts w:cs="Arial"/>
                <w:szCs w:val="19"/>
              </w:rPr>
              <w:t>Omalizumab biosimilar (</w:t>
            </w:r>
            <w:r w:rsidRPr="00E52E04">
              <w:rPr>
                <w:rFonts w:cs="Arial"/>
                <w:i/>
                <w:iCs/>
                <w:szCs w:val="19"/>
              </w:rPr>
              <w:t>Omlyclo</w:t>
            </w:r>
            <w:r w:rsidRPr="00E52E04">
              <w:rPr>
                <w:rFonts w:cs="Arial"/>
                <w:szCs w:val="19"/>
              </w:rPr>
              <w:t>) </w:t>
            </w:r>
          </w:p>
          <w:p w14:paraId="32DAC651" w14:textId="77777777" w:rsidR="00D87D74" w:rsidRPr="00E52E04" w:rsidRDefault="00D87D74" w:rsidP="00D87D74">
            <w:pPr>
              <w:rPr>
                <w:rFonts w:cs="Arial"/>
                <w:szCs w:val="19"/>
              </w:rPr>
            </w:pPr>
            <w:r w:rsidRPr="00312D78">
              <w:rPr>
                <w:rFonts w:cs="Arial"/>
                <w:sz w:val="16"/>
                <w:szCs w:val="16"/>
              </w:rPr>
              <w:t>150mg in 1mL prefilled syringe</w:t>
            </w:r>
          </w:p>
        </w:tc>
        <w:tc>
          <w:tcPr>
            <w:tcW w:w="3553" w:type="pct"/>
            <w:shd w:val="clear" w:color="auto" w:fill="auto"/>
            <w:tcMar>
              <w:top w:w="57" w:type="dxa"/>
              <w:bottom w:w="57" w:type="dxa"/>
            </w:tcMar>
          </w:tcPr>
          <w:p w14:paraId="0DF6DCBB" w14:textId="77777777" w:rsidR="00D87D74" w:rsidRPr="00312D78" w:rsidRDefault="00D87D74" w:rsidP="00D87D74">
            <w:pPr>
              <w:tabs>
                <w:tab w:val="center" w:pos="3152"/>
              </w:tabs>
              <w:rPr>
                <w:rFonts w:cs="Arial"/>
                <w:szCs w:val="19"/>
                <w:lang w:val="en-US"/>
              </w:rPr>
            </w:pPr>
            <w:r>
              <w:rPr>
                <w:rFonts w:cs="Arial"/>
                <w:szCs w:val="19"/>
                <w:lang w:val="en-US"/>
              </w:rPr>
              <w:t xml:space="preserve">Use </w:t>
            </w:r>
            <w:r w:rsidRPr="00312D78">
              <w:rPr>
                <w:rFonts w:cs="Arial"/>
                <w:szCs w:val="19"/>
                <w:lang w:val="en-US"/>
              </w:rPr>
              <w:t>as add-on therapy for the treatment of chronic spontaneous urticaria in adult</w:t>
            </w:r>
            <w:r>
              <w:rPr>
                <w:rFonts w:cs="Arial"/>
                <w:szCs w:val="19"/>
                <w:lang w:val="en-US"/>
              </w:rPr>
              <w:t>s</w:t>
            </w:r>
            <w:r w:rsidRPr="00312D78">
              <w:rPr>
                <w:rFonts w:cs="Arial"/>
                <w:szCs w:val="19"/>
                <w:lang w:val="en-US"/>
              </w:rPr>
              <w:t xml:space="preserve"> and adolescent</w:t>
            </w:r>
            <w:r>
              <w:rPr>
                <w:rFonts w:cs="Arial"/>
                <w:szCs w:val="19"/>
                <w:lang w:val="en-US"/>
              </w:rPr>
              <w:t>s</w:t>
            </w:r>
            <w:r w:rsidRPr="00312D78">
              <w:rPr>
                <w:rFonts w:cs="Arial"/>
                <w:szCs w:val="19"/>
                <w:lang w:val="en-US"/>
              </w:rPr>
              <w:t xml:space="preserve"> </w:t>
            </w:r>
            <w:r>
              <w:rPr>
                <w:rFonts w:cs="Arial"/>
                <w:szCs w:val="19"/>
                <w:lang w:val="en-US"/>
              </w:rPr>
              <w:t>aged ≥</w:t>
            </w:r>
            <w:r w:rsidRPr="00312D78">
              <w:rPr>
                <w:rFonts w:cs="Arial"/>
                <w:szCs w:val="19"/>
                <w:lang w:val="en-US"/>
              </w:rPr>
              <w:t>12 years with inadequate response to H1 antihistamine treatment</w:t>
            </w:r>
          </w:p>
        </w:tc>
      </w:tr>
      <w:tr w:rsidR="00D87D74" w14:paraId="59790FA3" w14:textId="77777777" w:rsidTr="00335732">
        <w:tc>
          <w:tcPr>
            <w:tcW w:w="1447" w:type="pct"/>
            <w:gridSpan w:val="2"/>
            <w:shd w:val="clear" w:color="auto" w:fill="auto"/>
            <w:tcMar>
              <w:top w:w="57" w:type="dxa"/>
              <w:bottom w:w="57" w:type="dxa"/>
            </w:tcMar>
          </w:tcPr>
          <w:p w14:paraId="798E5D82" w14:textId="77777777" w:rsidR="00D87D74" w:rsidRDefault="00D87D74" w:rsidP="00D87D74">
            <w:pPr>
              <w:rPr>
                <w:rFonts w:cs="Arial"/>
                <w:szCs w:val="19"/>
              </w:rPr>
            </w:pPr>
            <w:r w:rsidRPr="00AC13F9">
              <w:rPr>
                <w:rFonts w:cs="Arial"/>
                <w:szCs w:val="19"/>
              </w:rPr>
              <w:t>Selvacovatein</w:t>
            </w:r>
            <w:r>
              <w:rPr>
                <w:rFonts w:cs="Arial"/>
                <w:szCs w:val="19"/>
              </w:rPr>
              <w:t xml:space="preserve"> (</w:t>
            </w:r>
            <w:r>
              <w:rPr>
                <w:rFonts w:cs="Arial"/>
                <w:i/>
                <w:iCs/>
                <w:szCs w:val="19"/>
              </w:rPr>
              <w:t>Bimervax</w:t>
            </w:r>
            <w:r>
              <w:rPr>
                <w:rFonts w:cs="Arial"/>
                <w:szCs w:val="19"/>
              </w:rPr>
              <w:t>)</w:t>
            </w:r>
          </w:p>
          <w:p w14:paraId="332953AE" w14:textId="26575A66" w:rsidR="00D87D74" w:rsidRPr="00AC13F9" w:rsidRDefault="00D87D74" w:rsidP="00D87D74">
            <w:pPr>
              <w:rPr>
                <w:rFonts w:cs="Arial"/>
                <w:szCs w:val="19"/>
              </w:rPr>
            </w:pPr>
            <w:r>
              <w:rPr>
                <w:rFonts w:cs="Arial"/>
                <w:sz w:val="16"/>
                <w:szCs w:val="16"/>
              </w:rPr>
              <w:t>40micrograms in 0.5mL s</w:t>
            </w:r>
            <w:r w:rsidRPr="00AC13F9">
              <w:rPr>
                <w:rFonts w:cs="Arial"/>
                <w:sz w:val="16"/>
                <w:szCs w:val="16"/>
              </w:rPr>
              <w:t>ingle-dose vial</w:t>
            </w:r>
          </w:p>
        </w:tc>
        <w:tc>
          <w:tcPr>
            <w:tcW w:w="3553" w:type="pct"/>
            <w:shd w:val="clear" w:color="auto" w:fill="auto"/>
            <w:tcMar>
              <w:top w:w="57" w:type="dxa"/>
              <w:bottom w:w="57" w:type="dxa"/>
            </w:tcMar>
          </w:tcPr>
          <w:p w14:paraId="6916F60B" w14:textId="77777777" w:rsidR="00D87D74" w:rsidRDefault="00D87D74" w:rsidP="00D87D74">
            <w:pPr>
              <w:tabs>
                <w:tab w:val="center" w:pos="3152"/>
              </w:tabs>
              <w:rPr>
                <w:rFonts w:cs="Arial"/>
                <w:szCs w:val="19"/>
                <w:lang w:val="en-US"/>
              </w:rPr>
            </w:pPr>
            <w:r>
              <w:rPr>
                <w:rFonts w:cs="Arial"/>
                <w:szCs w:val="19"/>
                <w:lang w:val="en-US"/>
              </w:rPr>
              <w:t xml:space="preserve">Use </w:t>
            </w:r>
            <w:r w:rsidRPr="00AC13F9">
              <w:rPr>
                <w:rFonts w:cs="Arial"/>
                <w:szCs w:val="19"/>
                <w:lang w:val="en-US"/>
              </w:rPr>
              <w:t>as a booster for active immunisation to prevent COVID-19</w:t>
            </w:r>
            <w:r>
              <w:rPr>
                <w:rFonts w:cs="Arial"/>
                <w:szCs w:val="19"/>
                <w:lang w:val="en-US"/>
              </w:rPr>
              <w:t xml:space="preserve"> </w:t>
            </w:r>
            <w:r w:rsidRPr="00AC13F9">
              <w:rPr>
                <w:rFonts w:cs="Arial"/>
                <w:szCs w:val="19"/>
                <w:lang w:val="en-US"/>
              </w:rPr>
              <w:t xml:space="preserve">in individuals </w:t>
            </w:r>
            <w:r>
              <w:rPr>
                <w:rFonts w:cs="Arial"/>
                <w:szCs w:val="19"/>
                <w:lang w:val="en-US"/>
              </w:rPr>
              <w:t>aged ≥</w:t>
            </w:r>
            <w:r w:rsidRPr="00AC13F9">
              <w:rPr>
                <w:rFonts w:cs="Arial"/>
                <w:szCs w:val="19"/>
                <w:lang w:val="en-US"/>
              </w:rPr>
              <w:t>16 years who have previously received a mRNA</w:t>
            </w:r>
            <w:r>
              <w:rPr>
                <w:rFonts w:cs="Arial"/>
                <w:szCs w:val="19"/>
                <w:lang w:val="en-US"/>
              </w:rPr>
              <w:t xml:space="preserve"> </w:t>
            </w:r>
            <w:r w:rsidRPr="00AC13F9">
              <w:rPr>
                <w:rFonts w:cs="Arial"/>
                <w:szCs w:val="19"/>
                <w:lang w:val="en-US"/>
              </w:rPr>
              <w:t xml:space="preserve">COVID-19 </w:t>
            </w:r>
            <w:proofErr w:type="gramStart"/>
            <w:r w:rsidRPr="00AC13F9">
              <w:rPr>
                <w:rFonts w:cs="Arial"/>
                <w:szCs w:val="19"/>
                <w:lang w:val="en-US"/>
              </w:rPr>
              <w:t>vaccine</w:t>
            </w:r>
            <w:proofErr w:type="gramEnd"/>
            <w:r>
              <w:rPr>
                <w:rFonts w:cs="Arial"/>
                <w:szCs w:val="19"/>
                <w:lang w:val="en-US"/>
              </w:rPr>
              <w:t xml:space="preserve"> </w:t>
            </w:r>
          </w:p>
          <w:p w14:paraId="537C0FDA" w14:textId="397C1AA5" w:rsidR="00D87D74" w:rsidRDefault="00D87D74" w:rsidP="00D87D74">
            <w:pPr>
              <w:tabs>
                <w:tab w:val="center" w:pos="3152"/>
              </w:tabs>
              <w:rPr>
                <w:rFonts w:cs="Arial"/>
                <w:szCs w:val="19"/>
                <w:lang w:val="en-US"/>
              </w:rPr>
            </w:pPr>
            <w:r w:rsidRPr="00AC13F9">
              <w:rPr>
                <w:rFonts w:cs="Arial"/>
                <w:sz w:val="16"/>
                <w:szCs w:val="16"/>
                <w:lang w:val="en-US"/>
              </w:rPr>
              <w:t>[new single-dose formulation]</w:t>
            </w:r>
          </w:p>
        </w:tc>
      </w:tr>
      <w:tr w:rsidR="00D87D74" w14:paraId="6E72FF1B" w14:textId="77777777" w:rsidTr="00335732">
        <w:tc>
          <w:tcPr>
            <w:tcW w:w="1447" w:type="pct"/>
            <w:gridSpan w:val="2"/>
            <w:shd w:val="clear" w:color="auto" w:fill="auto"/>
            <w:tcMar>
              <w:top w:w="57" w:type="dxa"/>
              <w:bottom w:w="57" w:type="dxa"/>
            </w:tcMar>
          </w:tcPr>
          <w:p w14:paraId="62C43A79" w14:textId="77777777" w:rsidR="00D87D74" w:rsidRDefault="00D87D74" w:rsidP="00D87D74">
            <w:pPr>
              <w:rPr>
                <w:rFonts w:cs="Arial"/>
                <w:szCs w:val="19"/>
              </w:rPr>
            </w:pPr>
            <w:r>
              <w:rPr>
                <w:rFonts w:cs="Arial"/>
                <w:szCs w:val="19"/>
              </w:rPr>
              <w:t>Vibegron (</w:t>
            </w:r>
            <w:r>
              <w:rPr>
                <w:rFonts w:cs="Arial"/>
                <w:i/>
                <w:iCs/>
                <w:szCs w:val="19"/>
              </w:rPr>
              <w:t>Obgemsa</w:t>
            </w:r>
            <w:r>
              <w:rPr>
                <w:rFonts w:cs="Arial"/>
                <w:szCs w:val="19"/>
              </w:rPr>
              <w:t>)</w:t>
            </w:r>
          </w:p>
          <w:p w14:paraId="1D042C98" w14:textId="77777777" w:rsidR="00D87D74" w:rsidRPr="00796BAC" w:rsidRDefault="00D87D74" w:rsidP="00D87D74">
            <w:pPr>
              <w:rPr>
                <w:rFonts w:cs="Arial"/>
                <w:szCs w:val="19"/>
              </w:rPr>
            </w:pPr>
            <w:r w:rsidRPr="00796BAC">
              <w:rPr>
                <w:rFonts w:cs="Arial"/>
                <w:sz w:val="16"/>
                <w:szCs w:val="16"/>
              </w:rPr>
              <w:t>75mg tablet</w:t>
            </w:r>
          </w:p>
        </w:tc>
        <w:tc>
          <w:tcPr>
            <w:tcW w:w="3553" w:type="pct"/>
            <w:shd w:val="clear" w:color="auto" w:fill="auto"/>
            <w:tcMar>
              <w:top w:w="57" w:type="dxa"/>
              <w:bottom w:w="57" w:type="dxa"/>
            </w:tcMar>
          </w:tcPr>
          <w:p w14:paraId="442F87A1" w14:textId="77777777" w:rsidR="00D87D74" w:rsidRPr="00A075A3" w:rsidRDefault="00D87D74" w:rsidP="00D87D74">
            <w:pPr>
              <w:tabs>
                <w:tab w:val="center" w:pos="3152"/>
              </w:tabs>
              <w:rPr>
                <w:rFonts w:cs="Arial"/>
                <w:szCs w:val="19"/>
                <w:lang w:val="en-US"/>
              </w:rPr>
            </w:pPr>
            <w:r>
              <w:rPr>
                <w:rFonts w:cs="Arial"/>
                <w:szCs w:val="19"/>
                <w:lang w:val="en-US"/>
              </w:rPr>
              <w:t>S</w:t>
            </w:r>
            <w:r w:rsidRPr="00796BAC">
              <w:rPr>
                <w:rFonts w:cs="Arial"/>
                <w:szCs w:val="19"/>
                <w:lang w:val="en-US"/>
              </w:rPr>
              <w:t>ymptomatic treatment of adults with overactive</w:t>
            </w:r>
            <w:r>
              <w:rPr>
                <w:rFonts w:cs="Arial"/>
                <w:szCs w:val="19"/>
                <w:lang w:val="en-US"/>
              </w:rPr>
              <w:t xml:space="preserve"> </w:t>
            </w:r>
            <w:r w:rsidRPr="00796BAC">
              <w:rPr>
                <w:rFonts w:cs="Arial"/>
                <w:szCs w:val="19"/>
                <w:lang w:val="en-US"/>
              </w:rPr>
              <w:t>bladder syndrome</w:t>
            </w:r>
          </w:p>
        </w:tc>
      </w:tr>
      <w:tr w:rsidR="00D87D74" w:rsidRPr="00862949" w14:paraId="55EA6AFA" w14:textId="77777777" w:rsidTr="00335732">
        <w:tc>
          <w:tcPr>
            <w:tcW w:w="5000" w:type="pct"/>
            <w:gridSpan w:val="3"/>
            <w:shd w:val="clear" w:color="auto" w:fill="auto"/>
            <w:tcMar>
              <w:top w:w="0" w:type="dxa"/>
              <w:bottom w:w="0" w:type="dxa"/>
            </w:tcMar>
          </w:tcPr>
          <w:p w14:paraId="4CB1A3EC" w14:textId="77777777" w:rsidR="00D87D74" w:rsidRPr="00862949" w:rsidRDefault="00D87D74" w:rsidP="00D87D74">
            <w:pPr>
              <w:jc w:val="center"/>
              <w:rPr>
                <w:rFonts w:cs="Arial"/>
                <w:noProof/>
                <w:sz w:val="8"/>
                <w:szCs w:val="8"/>
              </w:rPr>
            </w:pPr>
          </w:p>
        </w:tc>
      </w:tr>
      <w:tr w:rsidR="00D87D74" w:rsidRPr="000F19E1" w14:paraId="12FE32BE" w14:textId="77777777" w:rsidTr="00335732">
        <w:tc>
          <w:tcPr>
            <w:tcW w:w="1152" w:type="pct"/>
            <w:shd w:val="clear" w:color="auto" w:fill="DAEEF3"/>
            <w:tcMar>
              <w:top w:w="0" w:type="dxa"/>
              <w:bottom w:w="0" w:type="dxa"/>
            </w:tcMar>
          </w:tcPr>
          <w:p w14:paraId="1D16D549" w14:textId="77777777" w:rsidR="00D87D74" w:rsidRPr="000F19E1" w:rsidRDefault="00D87D74" w:rsidP="00D87D74">
            <w:pPr>
              <w:rPr>
                <w:rFonts w:cs="Arial"/>
                <w:bCs/>
                <w:sz w:val="8"/>
                <w:szCs w:val="8"/>
              </w:rPr>
            </w:pPr>
          </w:p>
        </w:tc>
        <w:tc>
          <w:tcPr>
            <w:tcW w:w="3848" w:type="pct"/>
            <w:gridSpan w:val="2"/>
            <w:shd w:val="clear" w:color="auto" w:fill="DAEEF3"/>
            <w:tcMar>
              <w:top w:w="0" w:type="dxa"/>
              <w:bottom w:w="0" w:type="dxa"/>
            </w:tcMar>
          </w:tcPr>
          <w:p w14:paraId="10010A8B" w14:textId="77777777" w:rsidR="00D87D74" w:rsidRPr="000F19E1" w:rsidRDefault="00D87D74" w:rsidP="00D87D74">
            <w:pPr>
              <w:tabs>
                <w:tab w:val="center" w:pos="3152"/>
              </w:tabs>
              <w:rPr>
                <w:rFonts w:cs="Arial"/>
                <w:sz w:val="8"/>
                <w:szCs w:val="8"/>
                <w:lang w:val="en-US"/>
              </w:rPr>
            </w:pPr>
          </w:p>
        </w:tc>
      </w:tr>
      <w:tr w:rsidR="00D87D74" w:rsidRPr="00831779" w14:paraId="107DF61E" w14:textId="77777777" w:rsidTr="00D6452A">
        <w:tc>
          <w:tcPr>
            <w:tcW w:w="5000" w:type="pct"/>
            <w:gridSpan w:val="3"/>
            <w:shd w:val="clear" w:color="auto" w:fill="00B050"/>
            <w:tcMar>
              <w:top w:w="57" w:type="dxa"/>
              <w:bottom w:w="57" w:type="dxa"/>
            </w:tcMar>
          </w:tcPr>
          <w:p w14:paraId="1FF18B69" w14:textId="6080EA1C" w:rsidR="00D87D74" w:rsidRPr="00831779" w:rsidRDefault="00D87D74" w:rsidP="00D87D74">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Pr>
                <w:rFonts w:cs="Arial"/>
                <w:b/>
                <w:bCs/>
                <w:i/>
                <w:iCs/>
                <w:color w:val="FFFFFF"/>
                <w:sz w:val="22"/>
                <w:szCs w:val="20"/>
                <w:lang w:val="en-US"/>
              </w:rPr>
              <w:t xml:space="preserve">UK or </w:t>
            </w:r>
            <w:r w:rsidRPr="00433D3E">
              <w:rPr>
                <w:rFonts w:cs="Arial"/>
                <w:b/>
                <w:bCs/>
                <w:i/>
                <w:iCs/>
                <w:color w:val="FFFFFF"/>
                <w:sz w:val="22"/>
                <w:szCs w:val="20"/>
                <w:lang w:val="en-US"/>
              </w:rPr>
              <w:t>EU</w:t>
            </w:r>
          </w:p>
        </w:tc>
      </w:tr>
      <w:tr w:rsidR="00D87D74" w:rsidRPr="00A075A3" w14:paraId="7F23B335" w14:textId="77777777" w:rsidTr="00D6452A">
        <w:tc>
          <w:tcPr>
            <w:tcW w:w="1447" w:type="pct"/>
            <w:gridSpan w:val="2"/>
            <w:shd w:val="clear" w:color="auto" w:fill="auto"/>
            <w:tcMar>
              <w:top w:w="57" w:type="dxa"/>
              <w:bottom w:w="57" w:type="dxa"/>
            </w:tcMar>
          </w:tcPr>
          <w:p w14:paraId="5BEDD0FE" w14:textId="66F62DF5" w:rsidR="00D87D74" w:rsidRPr="007A56BA" w:rsidRDefault="00D87D74" w:rsidP="00D87D74">
            <w:pPr>
              <w:rPr>
                <w:rFonts w:cs="Arial"/>
                <w:szCs w:val="19"/>
              </w:rPr>
            </w:pPr>
            <w:r>
              <w:rPr>
                <w:rFonts w:cs="Arial"/>
                <w:szCs w:val="19"/>
              </w:rPr>
              <w:t>Atezolizumab (</w:t>
            </w:r>
            <w:r>
              <w:rPr>
                <w:rFonts w:cs="Arial"/>
                <w:i/>
                <w:iCs/>
                <w:szCs w:val="19"/>
              </w:rPr>
              <w:t>Tecentriq</w:t>
            </w:r>
            <w:r>
              <w:rPr>
                <w:rFonts w:cs="Arial"/>
                <w:szCs w:val="19"/>
              </w:rPr>
              <w:t>)</w:t>
            </w:r>
          </w:p>
        </w:tc>
        <w:tc>
          <w:tcPr>
            <w:tcW w:w="3553" w:type="pct"/>
            <w:shd w:val="clear" w:color="auto" w:fill="auto"/>
            <w:tcMar>
              <w:top w:w="57" w:type="dxa"/>
              <w:bottom w:w="57" w:type="dxa"/>
            </w:tcMar>
          </w:tcPr>
          <w:p w14:paraId="4D7791DD" w14:textId="1F1E29A8" w:rsidR="00D87D74" w:rsidRPr="008B2624" w:rsidRDefault="00D87D74" w:rsidP="00D87D74">
            <w:pPr>
              <w:tabs>
                <w:tab w:val="center" w:pos="3152"/>
              </w:tabs>
              <w:rPr>
                <w:rFonts w:cs="Arial"/>
                <w:szCs w:val="19"/>
                <w:lang w:val="en-US"/>
              </w:rPr>
            </w:pPr>
            <w:r w:rsidRPr="007A56BA">
              <w:rPr>
                <w:rFonts w:cs="Arial"/>
                <w:szCs w:val="19"/>
                <w:lang w:val="en-US"/>
              </w:rPr>
              <w:t>U</w:t>
            </w:r>
            <w:r w:rsidR="00A15137">
              <w:rPr>
                <w:rFonts w:cs="Arial"/>
                <w:szCs w:val="19"/>
                <w:lang w:val="en-US"/>
              </w:rPr>
              <w:t xml:space="preserve">se </w:t>
            </w:r>
            <w:r w:rsidRPr="007A56BA">
              <w:rPr>
                <w:rFonts w:cs="Arial"/>
                <w:szCs w:val="19"/>
                <w:lang w:val="en-US"/>
              </w:rPr>
              <w:t xml:space="preserve">as monotherapy for the first-line treatment of adults with advanced </w:t>
            </w:r>
            <w:r>
              <w:rPr>
                <w:rFonts w:cs="Arial"/>
                <w:szCs w:val="19"/>
                <w:lang w:val="en-US"/>
              </w:rPr>
              <w:t>non-small cell lung cancer</w:t>
            </w:r>
            <w:r w:rsidRPr="007A56BA">
              <w:rPr>
                <w:rFonts w:cs="Arial"/>
                <w:szCs w:val="19"/>
                <w:lang w:val="en-US"/>
              </w:rPr>
              <w:t xml:space="preserve"> who are ineligible for platinum-based therapy</w:t>
            </w:r>
            <w:r>
              <w:rPr>
                <w:rFonts w:cs="Arial"/>
                <w:szCs w:val="19"/>
                <w:lang w:val="en-US"/>
              </w:rPr>
              <w:t xml:space="preserve"> </w:t>
            </w:r>
            <w:r w:rsidRPr="008B2624">
              <w:rPr>
                <w:rFonts w:cs="Arial"/>
                <w:sz w:val="16"/>
                <w:szCs w:val="16"/>
                <w:lang w:val="en-US"/>
              </w:rPr>
              <w:t>[EU] [new indication]</w:t>
            </w:r>
          </w:p>
        </w:tc>
      </w:tr>
      <w:tr w:rsidR="00D87D74" w:rsidRPr="00A075A3" w14:paraId="75EB70FB" w14:textId="77777777" w:rsidTr="00D6452A">
        <w:tc>
          <w:tcPr>
            <w:tcW w:w="1447" w:type="pct"/>
            <w:gridSpan w:val="2"/>
            <w:shd w:val="clear" w:color="auto" w:fill="auto"/>
            <w:tcMar>
              <w:top w:w="57" w:type="dxa"/>
              <w:bottom w:w="57" w:type="dxa"/>
            </w:tcMar>
          </w:tcPr>
          <w:p w14:paraId="4B578E80" w14:textId="6A052054" w:rsidR="00D87D74" w:rsidRPr="008B2624" w:rsidRDefault="00D87D74" w:rsidP="00D87D74">
            <w:pPr>
              <w:rPr>
                <w:rFonts w:cs="Arial"/>
                <w:szCs w:val="19"/>
              </w:rPr>
            </w:pPr>
            <w:r>
              <w:rPr>
                <w:rFonts w:cs="Arial"/>
                <w:szCs w:val="19"/>
              </w:rPr>
              <w:t>Binimetinib (</w:t>
            </w:r>
            <w:r>
              <w:rPr>
                <w:rFonts w:cs="Arial"/>
                <w:i/>
                <w:iCs/>
                <w:szCs w:val="19"/>
              </w:rPr>
              <w:t>Mektovi</w:t>
            </w:r>
            <w:r>
              <w:rPr>
                <w:rFonts w:cs="Arial"/>
                <w:szCs w:val="19"/>
              </w:rPr>
              <w:t>)</w:t>
            </w:r>
          </w:p>
        </w:tc>
        <w:tc>
          <w:tcPr>
            <w:tcW w:w="3553" w:type="pct"/>
            <w:shd w:val="clear" w:color="auto" w:fill="auto"/>
            <w:tcMar>
              <w:top w:w="57" w:type="dxa"/>
              <w:bottom w:w="57" w:type="dxa"/>
            </w:tcMar>
          </w:tcPr>
          <w:p w14:paraId="7902A7C7" w14:textId="3686C4A1" w:rsidR="00D87D74" w:rsidRPr="00A075A3" w:rsidRDefault="00D87D74" w:rsidP="00D87D74">
            <w:pPr>
              <w:tabs>
                <w:tab w:val="center" w:pos="3152"/>
              </w:tabs>
              <w:rPr>
                <w:rFonts w:cs="Arial"/>
                <w:szCs w:val="19"/>
                <w:lang w:val="en-US"/>
              </w:rPr>
            </w:pPr>
            <w:r w:rsidRPr="008B2624">
              <w:rPr>
                <w:rFonts w:cs="Arial"/>
                <w:szCs w:val="19"/>
                <w:lang w:val="en-US"/>
              </w:rPr>
              <w:t>Use in combination with encorafenib for the treatment of adults with advanced non-small cell lung cancer with a BRAF V600E mutation</w:t>
            </w:r>
            <w:r>
              <w:rPr>
                <w:rFonts w:cs="Arial"/>
                <w:szCs w:val="19"/>
                <w:lang w:val="en-US"/>
              </w:rPr>
              <w:t xml:space="preserve"> </w:t>
            </w:r>
            <w:r w:rsidRPr="008B2624">
              <w:rPr>
                <w:rFonts w:cs="Arial"/>
                <w:sz w:val="16"/>
                <w:szCs w:val="16"/>
                <w:lang w:val="en-US"/>
              </w:rPr>
              <w:t>[EU] [new indication]</w:t>
            </w:r>
          </w:p>
        </w:tc>
      </w:tr>
      <w:tr w:rsidR="00D87D74" w:rsidRPr="00A075A3" w14:paraId="5AB97517" w14:textId="77777777" w:rsidTr="00D6452A">
        <w:tc>
          <w:tcPr>
            <w:tcW w:w="1447" w:type="pct"/>
            <w:gridSpan w:val="2"/>
            <w:shd w:val="clear" w:color="auto" w:fill="auto"/>
            <w:tcMar>
              <w:top w:w="57" w:type="dxa"/>
              <w:bottom w:w="57" w:type="dxa"/>
            </w:tcMar>
          </w:tcPr>
          <w:p w14:paraId="645A3867" w14:textId="08F13FA9" w:rsidR="00D87D74" w:rsidRPr="00AF0080" w:rsidRDefault="00D87D74" w:rsidP="00D87D74">
            <w:pPr>
              <w:rPr>
                <w:rFonts w:cs="Arial"/>
                <w:szCs w:val="19"/>
              </w:rPr>
            </w:pPr>
            <w:r w:rsidRPr="007875EA">
              <w:rPr>
                <w:rFonts w:cs="Arial"/>
                <w:szCs w:val="19"/>
              </w:rPr>
              <w:t>Bretovamera</w:t>
            </w:r>
            <w:r>
              <w:rPr>
                <w:rFonts w:cs="Arial"/>
                <w:szCs w:val="19"/>
              </w:rPr>
              <w:t>n (</w:t>
            </w:r>
            <w:r>
              <w:rPr>
                <w:rFonts w:cs="Arial"/>
                <w:i/>
                <w:iCs/>
                <w:szCs w:val="19"/>
              </w:rPr>
              <w:t xml:space="preserve">Comirnaty </w:t>
            </w:r>
            <w:r w:rsidRPr="007875EA">
              <w:rPr>
                <w:rFonts w:cs="Arial"/>
                <w:i/>
                <w:iCs/>
                <w:szCs w:val="19"/>
              </w:rPr>
              <w:t>JN.1 3micrograms/dose)</w:t>
            </w:r>
          </w:p>
        </w:tc>
        <w:tc>
          <w:tcPr>
            <w:tcW w:w="3553" w:type="pct"/>
            <w:shd w:val="clear" w:color="auto" w:fill="auto"/>
            <w:tcMar>
              <w:top w:w="57" w:type="dxa"/>
              <w:bottom w:w="57" w:type="dxa"/>
            </w:tcMar>
          </w:tcPr>
          <w:p w14:paraId="7432C4EC" w14:textId="64EF00BA" w:rsidR="00D87D74" w:rsidRPr="00A075A3" w:rsidRDefault="00D87D74" w:rsidP="00D87D74">
            <w:pPr>
              <w:tabs>
                <w:tab w:val="center" w:pos="3152"/>
              </w:tabs>
              <w:rPr>
                <w:rFonts w:cs="Arial"/>
                <w:szCs w:val="19"/>
                <w:lang w:val="en-US"/>
              </w:rPr>
            </w:pPr>
            <w:r w:rsidRPr="008109D0">
              <w:rPr>
                <w:rFonts w:cs="Arial"/>
                <w:szCs w:val="19"/>
                <w:lang w:val="en-US"/>
              </w:rPr>
              <w:t>Active immunisation to prevent COVID-19 caused by SARS-CoV-2 in infants and children aged 6 months to 4 years</w:t>
            </w:r>
            <w:r>
              <w:rPr>
                <w:rFonts w:cs="Arial"/>
                <w:szCs w:val="19"/>
                <w:lang w:val="en-US"/>
              </w:rPr>
              <w:t xml:space="preserve"> </w:t>
            </w:r>
            <w:r w:rsidRPr="009D4FFC">
              <w:rPr>
                <w:rFonts w:cs="Arial"/>
                <w:sz w:val="16"/>
                <w:szCs w:val="16"/>
                <w:lang w:val="en-US"/>
              </w:rPr>
              <w:t>[EU]</w:t>
            </w:r>
          </w:p>
        </w:tc>
      </w:tr>
      <w:tr w:rsidR="00D87D74" w14:paraId="0568CB02" w14:textId="77777777" w:rsidTr="00D6452A">
        <w:tc>
          <w:tcPr>
            <w:tcW w:w="1447" w:type="pct"/>
            <w:gridSpan w:val="2"/>
            <w:shd w:val="clear" w:color="auto" w:fill="auto"/>
            <w:tcMar>
              <w:top w:w="57" w:type="dxa"/>
              <w:bottom w:w="57" w:type="dxa"/>
            </w:tcMar>
          </w:tcPr>
          <w:p w14:paraId="17CDC7CD" w14:textId="2A23F57C" w:rsidR="00D87D74" w:rsidRPr="00272180" w:rsidRDefault="00D87D74" w:rsidP="00D87D74">
            <w:pPr>
              <w:rPr>
                <w:rFonts w:cs="Arial"/>
                <w:szCs w:val="19"/>
              </w:rPr>
            </w:pPr>
            <w:r w:rsidRPr="007875EA">
              <w:rPr>
                <w:rFonts w:cs="Arial"/>
                <w:szCs w:val="19"/>
              </w:rPr>
              <w:t>Bretovamera</w:t>
            </w:r>
            <w:r>
              <w:rPr>
                <w:rFonts w:cs="Arial"/>
                <w:szCs w:val="19"/>
              </w:rPr>
              <w:t>n (</w:t>
            </w:r>
            <w:r>
              <w:rPr>
                <w:rFonts w:cs="Arial"/>
                <w:i/>
                <w:iCs/>
                <w:szCs w:val="19"/>
              </w:rPr>
              <w:t xml:space="preserve">Comirnaty </w:t>
            </w:r>
            <w:r w:rsidRPr="007875EA">
              <w:rPr>
                <w:rFonts w:cs="Arial"/>
                <w:i/>
                <w:iCs/>
                <w:szCs w:val="19"/>
              </w:rPr>
              <w:t xml:space="preserve">JN.1 </w:t>
            </w:r>
            <w:r>
              <w:rPr>
                <w:rFonts w:cs="Arial"/>
                <w:i/>
                <w:iCs/>
                <w:szCs w:val="19"/>
              </w:rPr>
              <w:t>10</w:t>
            </w:r>
            <w:r w:rsidRPr="007875EA">
              <w:rPr>
                <w:rFonts w:cs="Arial"/>
                <w:i/>
                <w:iCs/>
                <w:szCs w:val="19"/>
              </w:rPr>
              <w:t>micrograms/dose)</w:t>
            </w:r>
          </w:p>
        </w:tc>
        <w:tc>
          <w:tcPr>
            <w:tcW w:w="3553" w:type="pct"/>
            <w:shd w:val="clear" w:color="auto" w:fill="auto"/>
            <w:tcMar>
              <w:top w:w="57" w:type="dxa"/>
              <w:bottom w:w="57" w:type="dxa"/>
            </w:tcMar>
          </w:tcPr>
          <w:p w14:paraId="4C76D226" w14:textId="7190412B" w:rsidR="00D87D74" w:rsidRDefault="00D87D74" w:rsidP="00D87D74">
            <w:pPr>
              <w:tabs>
                <w:tab w:val="center" w:pos="3152"/>
              </w:tabs>
              <w:rPr>
                <w:rFonts w:cs="Arial"/>
                <w:szCs w:val="19"/>
                <w:lang w:val="en-US"/>
              </w:rPr>
            </w:pPr>
            <w:r>
              <w:rPr>
                <w:rFonts w:cs="Arial"/>
                <w:szCs w:val="19"/>
                <w:lang w:val="en-US"/>
              </w:rPr>
              <w:t>A</w:t>
            </w:r>
            <w:r w:rsidRPr="00981139">
              <w:rPr>
                <w:rFonts w:cs="Arial"/>
                <w:szCs w:val="19"/>
                <w:lang w:val="en-US"/>
              </w:rPr>
              <w:t>ctive</w:t>
            </w:r>
            <w:r>
              <w:rPr>
                <w:rFonts w:cs="Arial"/>
                <w:szCs w:val="19"/>
                <w:lang w:val="en-US"/>
              </w:rPr>
              <w:t xml:space="preserve"> </w:t>
            </w:r>
            <w:r w:rsidRPr="00981139">
              <w:rPr>
                <w:rFonts w:cs="Arial"/>
                <w:szCs w:val="19"/>
                <w:lang w:val="en-US"/>
              </w:rPr>
              <w:t>immunisation to prevent COVID-19 caused by SARS-CoV-2 in children aged 5 to</w:t>
            </w:r>
            <w:r>
              <w:rPr>
                <w:rFonts w:cs="Arial"/>
                <w:szCs w:val="19"/>
                <w:lang w:val="en-US"/>
              </w:rPr>
              <w:t xml:space="preserve"> </w:t>
            </w:r>
            <w:r w:rsidRPr="00981139">
              <w:rPr>
                <w:rFonts w:cs="Arial"/>
                <w:szCs w:val="19"/>
                <w:lang w:val="en-US"/>
              </w:rPr>
              <w:t>11 years</w:t>
            </w:r>
            <w:r>
              <w:rPr>
                <w:rFonts w:cs="Arial"/>
                <w:szCs w:val="19"/>
                <w:lang w:val="en-US"/>
              </w:rPr>
              <w:t xml:space="preserve"> </w:t>
            </w:r>
            <w:r w:rsidRPr="009D4FFC">
              <w:rPr>
                <w:rFonts w:cs="Arial"/>
                <w:sz w:val="16"/>
                <w:szCs w:val="16"/>
                <w:lang w:val="en-US"/>
              </w:rPr>
              <w:t>[EU]</w:t>
            </w:r>
          </w:p>
        </w:tc>
      </w:tr>
      <w:tr w:rsidR="00D87D74" w14:paraId="56CCD307" w14:textId="77777777" w:rsidTr="00D6452A">
        <w:tc>
          <w:tcPr>
            <w:tcW w:w="1447" w:type="pct"/>
            <w:gridSpan w:val="2"/>
            <w:shd w:val="clear" w:color="auto" w:fill="auto"/>
            <w:tcMar>
              <w:top w:w="57" w:type="dxa"/>
              <w:bottom w:w="57" w:type="dxa"/>
            </w:tcMar>
          </w:tcPr>
          <w:p w14:paraId="2040BEFB" w14:textId="408D6DA3" w:rsidR="00D87D74" w:rsidRPr="006276AF" w:rsidRDefault="00D87D74" w:rsidP="00D87D74">
            <w:pPr>
              <w:rPr>
                <w:rFonts w:cs="Arial"/>
                <w:szCs w:val="19"/>
              </w:rPr>
            </w:pPr>
            <w:r w:rsidRPr="007875EA">
              <w:rPr>
                <w:rFonts w:cs="Arial"/>
                <w:szCs w:val="19"/>
              </w:rPr>
              <w:t>Bretovamera</w:t>
            </w:r>
            <w:r>
              <w:rPr>
                <w:rFonts w:cs="Arial"/>
                <w:szCs w:val="19"/>
              </w:rPr>
              <w:t>n (</w:t>
            </w:r>
            <w:r>
              <w:rPr>
                <w:rFonts w:cs="Arial"/>
                <w:i/>
                <w:iCs/>
                <w:szCs w:val="19"/>
              </w:rPr>
              <w:t xml:space="preserve">Comirnaty </w:t>
            </w:r>
            <w:r w:rsidRPr="007875EA">
              <w:rPr>
                <w:rFonts w:cs="Arial"/>
                <w:i/>
                <w:iCs/>
                <w:szCs w:val="19"/>
              </w:rPr>
              <w:t>JN.1 3</w:t>
            </w:r>
            <w:r>
              <w:rPr>
                <w:rFonts w:cs="Arial"/>
                <w:i/>
                <w:iCs/>
                <w:szCs w:val="19"/>
              </w:rPr>
              <w:t>0</w:t>
            </w:r>
            <w:r w:rsidRPr="007875EA">
              <w:rPr>
                <w:rFonts w:cs="Arial"/>
                <w:i/>
                <w:iCs/>
                <w:szCs w:val="19"/>
              </w:rPr>
              <w:t>micrograms/dose)</w:t>
            </w:r>
          </w:p>
        </w:tc>
        <w:tc>
          <w:tcPr>
            <w:tcW w:w="3553" w:type="pct"/>
            <w:shd w:val="clear" w:color="auto" w:fill="auto"/>
            <w:tcMar>
              <w:top w:w="57" w:type="dxa"/>
              <w:bottom w:w="57" w:type="dxa"/>
            </w:tcMar>
          </w:tcPr>
          <w:p w14:paraId="6EEB5FF3" w14:textId="422D709B" w:rsidR="00D87D74" w:rsidRDefault="00D87D74" w:rsidP="00D87D74">
            <w:pPr>
              <w:tabs>
                <w:tab w:val="center" w:pos="3152"/>
              </w:tabs>
              <w:rPr>
                <w:rFonts w:cs="Arial"/>
                <w:szCs w:val="19"/>
                <w:lang w:val="en-US"/>
              </w:rPr>
            </w:pPr>
            <w:r w:rsidRPr="000A11A9">
              <w:rPr>
                <w:rFonts w:cs="Arial"/>
                <w:szCs w:val="19"/>
                <w:lang w:val="en-US"/>
              </w:rPr>
              <w:t xml:space="preserve">Active immunisation to prevent COVID-19 caused by SARS-CoV-2 in individuals </w:t>
            </w:r>
            <w:r>
              <w:rPr>
                <w:rFonts w:cs="Arial"/>
                <w:szCs w:val="19"/>
                <w:lang w:val="en-US"/>
              </w:rPr>
              <w:t>aged ≥</w:t>
            </w:r>
            <w:r w:rsidRPr="000A11A9">
              <w:rPr>
                <w:rFonts w:cs="Arial"/>
                <w:szCs w:val="19"/>
                <w:lang w:val="en-US"/>
              </w:rPr>
              <w:t>12 years</w:t>
            </w:r>
            <w:r>
              <w:rPr>
                <w:rFonts w:cs="Arial"/>
                <w:szCs w:val="19"/>
                <w:lang w:val="en-US"/>
              </w:rPr>
              <w:t xml:space="preserve"> </w:t>
            </w:r>
            <w:r w:rsidRPr="009D4FFC">
              <w:rPr>
                <w:rFonts w:cs="Arial"/>
                <w:sz w:val="16"/>
                <w:szCs w:val="16"/>
                <w:lang w:val="en-US"/>
              </w:rPr>
              <w:t>[EU]</w:t>
            </w:r>
          </w:p>
        </w:tc>
      </w:tr>
      <w:tr w:rsidR="00D87D74" w14:paraId="72693334" w14:textId="77777777" w:rsidTr="00D6452A">
        <w:tc>
          <w:tcPr>
            <w:tcW w:w="1447" w:type="pct"/>
            <w:gridSpan w:val="2"/>
            <w:shd w:val="clear" w:color="auto" w:fill="auto"/>
            <w:tcMar>
              <w:top w:w="57" w:type="dxa"/>
              <w:bottom w:w="57" w:type="dxa"/>
            </w:tcMar>
          </w:tcPr>
          <w:p w14:paraId="0AC8A729" w14:textId="471ABF98" w:rsidR="00D87D74" w:rsidRPr="003D06FC" w:rsidRDefault="00D87D74" w:rsidP="00D87D74">
            <w:pPr>
              <w:rPr>
                <w:rFonts w:cs="Arial"/>
                <w:i/>
                <w:iCs/>
                <w:szCs w:val="19"/>
              </w:rPr>
            </w:pPr>
            <w:r w:rsidRPr="003D06FC">
              <w:rPr>
                <w:rFonts w:cs="Arial"/>
                <w:szCs w:val="19"/>
              </w:rPr>
              <w:t>Ciclosporin</w:t>
            </w:r>
            <w:r>
              <w:rPr>
                <w:rFonts w:cs="Arial"/>
                <w:szCs w:val="19"/>
              </w:rPr>
              <w:t xml:space="preserve"> (</w:t>
            </w:r>
            <w:r w:rsidRPr="003D06FC">
              <w:rPr>
                <w:rFonts w:cs="Arial"/>
                <w:i/>
                <w:iCs/>
                <w:szCs w:val="19"/>
              </w:rPr>
              <w:t>Vevizye</w:t>
            </w:r>
            <w:r>
              <w:rPr>
                <w:rFonts w:cs="Arial"/>
                <w:szCs w:val="19"/>
              </w:rPr>
              <w:t>)</w:t>
            </w:r>
          </w:p>
        </w:tc>
        <w:tc>
          <w:tcPr>
            <w:tcW w:w="3553" w:type="pct"/>
            <w:shd w:val="clear" w:color="auto" w:fill="auto"/>
            <w:tcMar>
              <w:top w:w="57" w:type="dxa"/>
              <w:bottom w:w="57" w:type="dxa"/>
            </w:tcMar>
          </w:tcPr>
          <w:p w14:paraId="4EC18DC9" w14:textId="39E8CA09" w:rsidR="00D87D74" w:rsidRDefault="00D87D74" w:rsidP="00D87D74">
            <w:pPr>
              <w:tabs>
                <w:tab w:val="num" w:pos="720"/>
                <w:tab w:val="center" w:pos="3152"/>
              </w:tabs>
              <w:rPr>
                <w:rFonts w:cs="Arial"/>
                <w:szCs w:val="19"/>
                <w:lang w:val="en-US"/>
              </w:rPr>
            </w:pPr>
            <w:r w:rsidRPr="003D06FC">
              <w:rPr>
                <w:rFonts w:cs="Arial"/>
                <w:szCs w:val="19"/>
                <w:lang w:val="en-US"/>
              </w:rPr>
              <w:t>Treatment of moderate to severe dry eye disease (keratoconjuctivitis sicca) in adults, which has not improved despite treatment with tear substitutes</w:t>
            </w:r>
            <w:r>
              <w:rPr>
                <w:rFonts w:cs="Arial"/>
                <w:szCs w:val="19"/>
                <w:lang w:val="en-US"/>
              </w:rPr>
              <w:t xml:space="preserve"> </w:t>
            </w:r>
            <w:r w:rsidRPr="009D4FFC">
              <w:rPr>
                <w:rFonts w:cs="Arial"/>
                <w:sz w:val="16"/>
                <w:szCs w:val="16"/>
                <w:lang w:val="en-US"/>
              </w:rPr>
              <w:t>[EU]</w:t>
            </w:r>
          </w:p>
        </w:tc>
      </w:tr>
      <w:tr w:rsidR="00D87D74" w:rsidRPr="000F19E1" w14:paraId="0BFEADA9" w14:textId="77777777" w:rsidTr="00D6452A">
        <w:tc>
          <w:tcPr>
            <w:tcW w:w="1447" w:type="pct"/>
            <w:gridSpan w:val="2"/>
            <w:shd w:val="clear" w:color="auto" w:fill="auto"/>
            <w:tcMar>
              <w:top w:w="0" w:type="dxa"/>
              <w:bottom w:w="0" w:type="dxa"/>
            </w:tcMar>
          </w:tcPr>
          <w:p w14:paraId="240E5112" w14:textId="77777777" w:rsidR="00D87D74" w:rsidRPr="000F19E1" w:rsidRDefault="00D87D74" w:rsidP="00D87D74">
            <w:pPr>
              <w:rPr>
                <w:rFonts w:cs="Arial"/>
                <w:bCs/>
                <w:sz w:val="8"/>
                <w:szCs w:val="8"/>
              </w:rPr>
            </w:pPr>
          </w:p>
        </w:tc>
        <w:tc>
          <w:tcPr>
            <w:tcW w:w="3553" w:type="pct"/>
            <w:shd w:val="clear" w:color="auto" w:fill="auto"/>
            <w:tcMar>
              <w:top w:w="0" w:type="dxa"/>
              <w:bottom w:w="0" w:type="dxa"/>
            </w:tcMar>
          </w:tcPr>
          <w:p w14:paraId="5448E825" w14:textId="77777777" w:rsidR="00D87D74" w:rsidRPr="000F19E1" w:rsidRDefault="00D87D74" w:rsidP="00D87D74">
            <w:pPr>
              <w:tabs>
                <w:tab w:val="center" w:pos="3152"/>
              </w:tabs>
              <w:rPr>
                <w:rFonts w:cs="Arial"/>
                <w:sz w:val="8"/>
                <w:szCs w:val="8"/>
                <w:lang w:val="en-US"/>
              </w:rPr>
            </w:pPr>
          </w:p>
        </w:tc>
      </w:tr>
      <w:tr w:rsidR="00D87D74" w:rsidRPr="000F19E1" w14:paraId="4C5C6F05" w14:textId="77777777" w:rsidTr="00D6452A">
        <w:tc>
          <w:tcPr>
            <w:tcW w:w="1152" w:type="pct"/>
            <w:shd w:val="clear" w:color="auto" w:fill="DAEEF3"/>
            <w:tcMar>
              <w:top w:w="0" w:type="dxa"/>
              <w:bottom w:w="0" w:type="dxa"/>
            </w:tcMar>
          </w:tcPr>
          <w:p w14:paraId="4458D42E" w14:textId="77777777" w:rsidR="00D87D74" w:rsidRPr="000F19E1" w:rsidRDefault="00D87D74" w:rsidP="00D87D74">
            <w:pPr>
              <w:rPr>
                <w:rFonts w:cs="Arial"/>
                <w:bCs/>
                <w:sz w:val="8"/>
                <w:szCs w:val="8"/>
              </w:rPr>
            </w:pPr>
          </w:p>
        </w:tc>
        <w:tc>
          <w:tcPr>
            <w:tcW w:w="3848" w:type="pct"/>
            <w:gridSpan w:val="2"/>
            <w:shd w:val="clear" w:color="auto" w:fill="DAEEF3"/>
            <w:tcMar>
              <w:top w:w="0" w:type="dxa"/>
              <w:bottom w:w="0" w:type="dxa"/>
            </w:tcMar>
          </w:tcPr>
          <w:p w14:paraId="1ED0D3DC" w14:textId="77777777" w:rsidR="00D87D74" w:rsidRPr="000F19E1" w:rsidRDefault="00D87D74" w:rsidP="00D87D74">
            <w:pPr>
              <w:tabs>
                <w:tab w:val="center" w:pos="3152"/>
              </w:tabs>
              <w:rPr>
                <w:rFonts w:cs="Arial"/>
                <w:sz w:val="8"/>
                <w:szCs w:val="8"/>
                <w:lang w:val="en-US"/>
              </w:rPr>
            </w:pPr>
          </w:p>
        </w:tc>
      </w:tr>
    </w:tbl>
    <w:p w14:paraId="78528F31" w14:textId="77777777" w:rsidR="0048777D" w:rsidRDefault="0048777D">
      <w:r>
        <w:br w:type="page"/>
      </w:r>
    </w:p>
    <w:p w14:paraId="124C350D" w14:textId="77777777" w:rsidR="0048777D" w:rsidRDefault="0048777D"/>
    <w:tbl>
      <w:tblPr>
        <w:tblW w:w="5170" w:type="pct"/>
        <w:tblInd w:w="-176" w:type="dxa"/>
        <w:tblLayout w:type="fixed"/>
        <w:tblLook w:val="01E0" w:firstRow="1" w:lastRow="1" w:firstColumn="1" w:lastColumn="1" w:noHBand="0" w:noVBand="0"/>
      </w:tblPr>
      <w:tblGrid>
        <w:gridCol w:w="2431"/>
        <w:gridCol w:w="13"/>
        <w:gridCol w:w="8107"/>
      </w:tblGrid>
      <w:tr w:rsidR="0021490D" w:rsidRPr="00862949" w14:paraId="4B48BB70" w14:textId="77777777" w:rsidTr="00D6452A">
        <w:tc>
          <w:tcPr>
            <w:tcW w:w="5000" w:type="pct"/>
            <w:gridSpan w:val="3"/>
            <w:shd w:val="clear" w:color="auto" w:fill="0070C0"/>
            <w:tcMar>
              <w:top w:w="85" w:type="dxa"/>
              <w:bottom w:w="85" w:type="dxa"/>
            </w:tcMar>
            <w:vAlign w:val="bottom"/>
          </w:tcPr>
          <w:p w14:paraId="109BFD15" w14:textId="77777777" w:rsidR="0021490D" w:rsidRPr="00862949" w:rsidRDefault="0021490D" w:rsidP="00D6452A">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1C3A55" w:rsidRPr="000F19E1" w14:paraId="40F73C15" w14:textId="77777777" w:rsidTr="00155BD9">
        <w:tc>
          <w:tcPr>
            <w:tcW w:w="1152" w:type="pct"/>
            <w:shd w:val="clear" w:color="auto" w:fill="DAEEF3"/>
            <w:tcMar>
              <w:top w:w="0" w:type="dxa"/>
              <w:bottom w:w="0" w:type="dxa"/>
            </w:tcMar>
          </w:tcPr>
          <w:p w14:paraId="404B82FE" w14:textId="77777777" w:rsidR="001C3A55" w:rsidRPr="000F19E1" w:rsidRDefault="001C3A55" w:rsidP="00510003">
            <w:pPr>
              <w:rPr>
                <w:rFonts w:cs="Arial"/>
                <w:bCs/>
                <w:sz w:val="8"/>
                <w:szCs w:val="8"/>
              </w:rPr>
            </w:pPr>
          </w:p>
        </w:tc>
        <w:tc>
          <w:tcPr>
            <w:tcW w:w="3848" w:type="pct"/>
            <w:gridSpan w:val="2"/>
            <w:shd w:val="clear" w:color="auto" w:fill="DAEEF3"/>
            <w:tcMar>
              <w:top w:w="0" w:type="dxa"/>
              <w:bottom w:w="0" w:type="dxa"/>
            </w:tcMar>
          </w:tcPr>
          <w:p w14:paraId="2BED12CE" w14:textId="77777777" w:rsidR="001C3A55" w:rsidRPr="000F19E1" w:rsidRDefault="001C3A55" w:rsidP="00510003">
            <w:pPr>
              <w:tabs>
                <w:tab w:val="center" w:pos="3152"/>
              </w:tabs>
              <w:rPr>
                <w:rFonts w:cs="Arial"/>
                <w:sz w:val="8"/>
                <w:szCs w:val="8"/>
                <w:lang w:val="en-US"/>
              </w:rPr>
            </w:pPr>
          </w:p>
        </w:tc>
      </w:tr>
      <w:tr w:rsidR="001C3A55" w:rsidRPr="00433D3E" w14:paraId="1C103954" w14:textId="77777777" w:rsidTr="00155BD9">
        <w:tc>
          <w:tcPr>
            <w:tcW w:w="5000" w:type="pct"/>
            <w:gridSpan w:val="3"/>
            <w:shd w:val="clear" w:color="auto" w:fill="00B050"/>
            <w:tcMar>
              <w:top w:w="57" w:type="dxa"/>
              <w:bottom w:w="57" w:type="dxa"/>
            </w:tcMar>
          </w:tcPr>
          <w:p w14:paraId="67C8C3E6" w14:textId="77777777" w:rsidR="001C3A55" w:rsidRPr="0021490D" w:rsidRDefault="001C3A55" w:rsidP="00B94311">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sidR="0048777D">
              <w:rPr>
                <w:rFonts w:cs="Arial"/>
                <w:b/>
                <w:bCs/>
                <w:i/>
                <w:iCs/>
                <w:color w:val="FFFFFF"/>
                <w:sz w:val="22"/>
                <w:szCs w:val="20"/>
                <w:lang w:val="en-US"/>
              </w:rPr>
              <w:t>UK</w:t>
            </w:r>
            <w:r w:rsidR="00B94311">
              <w:rPr>
                <w:rFonts w:cs="Arial"/>
                <w:b/>
                <w:bCs/>
                <w:i/>
                <w:iCs/>
                <w:color w:val="FFFFFF"/>
                <w:sz w:val="22"/>
                <w:szCs w:val="20"/>
                <w:lang w:val="en-US"/>
              </w:rPr>
              <w:t xml:space="preserve"> or </w:t>
            </w:r>
            <w:r w:rsidRPr="00433D3E">
              <w:rPr>
                <w:rFonts w:cs="Arial"/>
                <w:b/>
                <w:bCs/>
                <w:i/>
                <w:iCs/>
                <w:color w:val="FFFFFF"/>
                <w:sz w:val="22"/>
                <w:szCs w:val="20"/>
                <w:lang w:val="en-US"/>
              </w:rPr>
              <w:t>EU</w:t>
            </w:r>
            <w:r w:rsidR="0021490D">
              <w:rPr>
                <w:rFonts w:cs="Arial"/>
                <w:b/>
                <w:bCs/>
                <w:i/>
                <w:iCs/>
                <w:color w:val="FFFFFF"/>
                <w:sz w:val="22"/>
                <w:szCs w:val="20"/>
                <w:lang w:val="en-US"/>
              </w:rPr>
              <w:t xml:space="preserve"> </w:t>
            </w:r>
            <w:r w:rsidR="0021490D" w:rsidRPr="0021490D">
              <w:rPr>
                <w:rFonts w:cs="Arial"/>
                <w:b/>
                <w:bCs/>
                <w:color w:val="FFFFFF"/>
                <w:sz w:val="16"/>
                <w:szCs w:val="14"/>
                <w:lang w:val="en-US"/>
              </w:rPr>
              <w:t>(continued)</w:t>
            </w:r>
          </w:p>
        </w:tc>
      </w:tr>
      <w:tr w:rsidR="006C0656" w:rsidRPr="00A075A3" w14:paraId="146A4CD9" w14:textId="77777777" w:rsidTr="00424FFD">
        <w:tc>
          <w:tcPr>
            <w:tcW w:w="1158" w:type="pct"/>
            <w:gridSpan w:val="2"/>
            <w:shd w:val="clear" w:color="auto" w:fill="auto"/>
            <w:tcMar>
              <w:top w:w="57" w:type="dxa"/>
              <w:bottom w:w="57" w:type="dxa"/>
            </w:tcMar>
          </w:tcPr>
          <w:p w14:paraId="08372BDF" w14:textId="32E841FD" w:rsidR="006C0656" w:rsidRPr="004C1258" w:rsidRDefault="006C0656" w:rsidP="006C0656">
            <w:pPr>
              <w:rPr>
                <w:rFonts w:cs="Arial"/>
                <w:szCs w:val="19"/>
              </w:rPr>
            </w:pPr>
            <w:r w:rsidRPr="00C24C55">
              <w:rPr>
                <w:rFonts w:cs="Arial"/>
                <w:szCs w:val="19"/>
              </w:rPr>
              <w:t>Delgocitinib</w:t>
            </w:r>
            <w:r>
              <w:rPr>
                <w:rFonts w:cs="Arial"/>
                <w:szCs w:val="19"/>
              </w:rPr>
              <w:t xml:space="preserve"> (</w:t>
            </w:r>
            <w:r>
              <w:rPr>
                <w:rFonts w:cs="Arial"/>
                <w:i/>
                <w:iCs/>
                <w:szCs w:val="19"/>
              </w:rPr>
              <w:t>Anzupgo</w:t>
            </w:r>
            <w:r>
              <w:rPr>
                <w:rFonts w:cs="Arial"/>
                <w:szCs w:val="19"/>
              </w:rPr>
              <w:t>)</w:t>
            </w:r>
          </w:p>
        </w:tc>
        <w:tc>
          <w:tcPr>
            <w:tcW w:w="3842" w:type="pct"/>
            <w:shd w:val="clear" w:color="auto" w:fill="auto"/>
            <w:tcMar>
              <w:top w:w="57" w:type="dxa"/>
              <w:bottom w:w="57" w:type="dxa"/>
            </w:tcMar>
          </w:tcPr>
          <w:p w14:paraId="479AB04D" w14:textId="133847F3" w:rsidR="006C0656" w:rsidRPr="004C1258" w:rsidRDefault="006C0656" w:rsidP="006C0656">
            <w:pPr>
              <w:tabs>
                <w:tab w:val="center" w:pos="3152"/>
              </w:tabs>
              <w:rPr>
                <w:rFonts w:cs="Arial"/>
                <w:szCs w:val="19"/>
                <w:lang w:val="en-US"/>
              </w:rPr>
            </w:pPr>
            <w:r w:rsidRPr="00C24C55">
              <w:rPr>
                <w:rFonts w:cs="Arial"/>
                <w:szCs w:val="19"/>
                <w:lang w:val="en-US"/>
              </w:rPr>
              <w:t>Treatment of moderate to severe chronic hand eczema in adults for whom topical corticosteroids are inadequate or inappropriate</w:t>
            </w:r>
            <w:r>
              <w:rPr>
                <w:rFonts w:cs="Arial"/>
                <w:szCs w:val="19"/>
                <w:lang w:val="en-US"/>
              </w:rPr>
              <w:t xml:space="preserve"> </w:t>
            </w:r>
            <w:r w:rsidRPr="009D4FFC">
              <w:rPr>
                <w:rFonts w:cs="Arial"/>
                <w:sz w:val="16"/>
                <w:szCs w:val="16"/>
                <w:lang w:val="en-US"/>
              </w:rPr>
              <w:t>[EU]</w:t>
            </w:r>
          </w:p>
        </w:tc>
      </w:tr>
      <w:tr w:rsidR="006C0656" w:rsidRPr="00A075A3" w14:paraId="6F723BCE" w14:textId="77777777" w:rsidTr="00424FFD">
        <w:tc>
          <w:tcPr>
            <w:tcW w:w="1158" w:type="pct"/>
            <w:gridSpan w:val="2"/>
            <w:shd w:val="clear" w:color="auto" w:fill="auto"/>
            <w:tcMar>
              <w:top w:w="57" w:type="dxa"/>
              <w:bottom w:w="57" w:type="dxa"/>
            </w:tcMar>
          </w:tcPr>
          <w:p w14:paraId="4D12D043" w14:textId="34CC43EE" w:rsidR="006C0656" w:rsidRPr="004C1258" w:rsidRDefault="006C0656" w:rsidP="006C0656">
            <w:pPr>
              <w:rPr>
                <w:rFonts w:cs="Arial"/>
                <w:szCs w:val="19"/>
              </w:rPr>
            </w:pPr>
            <w:r w:rsidRPr="006B2EE1">
              <w:rPr>
                <w:rFonts w:cs="Arial"/>
                <w:szCs w:val="19"/>
              </w:rPr>
              <w:t>Elafibranor</w:t>
            </w:r>
            <w:r>
              <w:rPr>
                <w:rFonts w:cs="Arial"/>
                <w:szCs w:val="19"/>
              </w:rPr>
              <w:t xml:space="preserve"> (</w:t>
            </w:r>
            <w:r>
              <w:rPr>
                <w:rFonts w:cs="Arial"/>
                <w:i/>
                <w:iCs/>
                <w:szCs w:val="19"/>
              </w:rPr>
              <w:t>Iqirvo</w:t>
            </w:r>
            <w:r>
              <w:rPr>
                <w:rFonts w:cs="Arial"/>
                <w:szCs w:val="19"/>
              </w:rPr>
              <w:t>)</w:t>
            </w:r>
          </w:p>
        </w:tc>
        <w:tc>
          <w:tcPr>
            <w:tcW w:w="3842" w:type="pct"/>
            <w:shd w:val="clear" w:color="auto" w:fill="auto"/>
            <w:tcMar>
              <w:top w:w="57" w:type="dxa"/>
              <w:bottom w:w="57" w:type="dxa"/>
            </w:tcMar>
          </w:tcPr>
          <w:p w14:paraId="65CC735A" w14:textId="1B56D7A2" w:rsidR="006C0656" w:rsidRPr="004C1258" w:rsidRDefault="006C0656" w:rsidP="006C0656">
            <w:pPr>
              <w:tabs>
                <w:tab w:val="center" w:pos="3152"/>
              </w:tabs>
              <w:rPr>
                <w:rFonts w:cs="Arial"/>
                <w:szCs w:val="19"/>
                <w:lang w:val="en-US"/>
              </w:rPr>
            </w:pPr>
            <w:r w:rsidRPr="006B2EE1">
              <w:rPr>
                <w:rFonts w:cs="Arial"/>
                <w:szCs w:val="19"/>
                <w:lang w:val="en-US"/>
              </w:rPr>
              <w:t>Treatment of primary biliary cholangitis in combination with ursodeoxycholic acid (UDCA) in adults with an inadequate response to UDCA, or as monotherapy in patients unable to tolerate UDCA</w:t>
            </w:r>
            <w:r>
              <w:rPr>
                <w:rFonts w:cs="Arial"/>
                <w:szCs w:val="19"/>
                <w:lang w:val="en-US"/>
              </w:rPr>
              <w:t xml:space="preserve"> </w:t>
            </w:r>
            <w:r w:rsidRPr="009D4FFC">
              <w:rPr>
                <w:rFonts w:cs="Arial"/>
                <w:sz w:val="16"/>
                <w:szCs w:val="16"/>
                <w:lang w:val="en-US"/>
              </w:rPr>
              <w:t>[EU]</w:t>
            </w:r>
          </w:p>
        </w:tc>
      </w:tr>
      <w:tr w:rsidR="006C0656" w:rsidRPr="00A075A3" w14:paraId="22DA28F0" w14:textId="77777777" w:rsidTr="00424FFD">
        <w:tc>
          <w:tcPr>
            <w:tcW w:w="1158" w:type="pct"/>
            <w:gridSpan w:val="2"/>
            <w:shd w:val="clear" w:color="auto" w:fill="auto"/>
            <w:tcMar>
              <w:top w:w="57" w:type="dxa"/>
              <w:bottom w:w="57" w:type="dxa"/>
            </w:tcMar>
          </w:tcPr>
          <w:p w14:paraId="0C6D2E32" w14:textId="6D9B10FB" w:rsidR="006C0656" w:rsidRPr="004C1258" w:rsidRDefault="006C0656" w:rsidP="006C0656">
            <w:pPr>
              <w:rPr>
                <w:rFonts w:cs="Arial"/>
                <w:szCs w:val="19"/>
              </w:rPr>
            </w:pPr>
            <w:r w:rsidRPr="000A203A">
              <w:rPr>
                <w:rFonts w:cs="Arial"/>
                <w:szCs w:val="19"/>
              </w:rPr>
              <w:t>Encorafenib</w:t>
            </w:r>
            <w:r>
              <w:rPr>
                <w:rFonts w:cs="Arial"/>
                <w:szCs w:val="19"/>
              </w:rPr>
              <w:t xml:space="preserve"> (</w:t>
            </w:r>
            <w:r>
              <w:rPr>
                <w:rFonts w:cs="Arial"/>
                <w:i/>
                <w:iCs/>
                <w:szCs w:val="19"/>
              </w:rPr>
              <w:t>Braftovi</w:t>
            </w:r>
            <w:r>
              <w:rPr>
                <w:rFonts w:cs="Arial"/>
                <w:szCs w:val="19"/>
              </w:rPr>
              <w:t>)</w:t>
            </w:r>
          </w:p>
        </w:tc>
        <w:tc>
          <w:tcPr>
            <w:tcW w:w="3842" w:type="pct"/>
            <w:shd w:val="clear" w:color="auto" w:fill="auto"/>
            <w:tcMar>
              <w:top w:w="57" w:type="dxa"/>
              <w:bottom w:w="57" w:type="dxa"/>
            </w:tcMar>
          </w:tcPr>
          <w:p w14:paraId="5391FE6B" w14:textId="70E750B0" w:rsidR="006C0656" w:rsidRPr="004C1258" w:rsidRDefault="006C0656" w:rsidP="006C0656">
            <w:pPr>
              <w:tabs>
                <w:tab w:val="center" w:pos="3152"/>
              </w:tabs>
              <w:rPr>
                <w:rFonts w:cs="Arial"/>
                <w:szCs w:val="19"/>
                <w:lang w:val="en-US"/>
              </w:rPr>
            </w:pPr>
            <w:r>
              <w:rPr>
                <w:rFonts w:cs="Arial"/>
                <w:szCs w:val="19"/>
                <w:lang w:val="en-US"/>
              </w:rPr>
              <w:t xml:space="preserve">Use </w:t>
            </w:r>
            <w:r w:rsidRPr="000A203A">
              <w:rPr>
                <w:rFonts w:cs="Arial"/>
                <w:szCs w:val="19"/>
                <w:lang w:val="en-US"/>
              </w:rPr>
              <w:t>in combination with binimetinib for the treatment of adults with advanced non-small cell lung cancer with a BRAF V600E mutation</w:t>
            </w:r>
            <w:r>
              <w:rPr>
                <w:rFonts w:cs="Arial"/>
                <w:szCs w:val="19"/>
                <w:lang w:val="en-US"/>
              </w:rPr>
              <w:t xml:space="preserve"> </w:t>
            </w:r>
            <w:r w:rsidRPr="000A203A">
              <w:rPr>
                <w:rFonts w:cs="Arial"/>
                <w:sz w:val="16"/>
                <w:szCs w:val="16"/>
                <w:lang w:val="en-US"/>
              </w:rPr>
              <w:t>[EU] [new indication]</w:t>
            </w:r>
          </w:p>
        </w:tc>
      </w:tr>
      <w:tr w:rsidR="006C0656" w:rsidRPr="00A075A3" w14:paraId="142527C4" w14:textId="77777777" w:rsidTr="00424FFD">
        <w:tc>
          <w:tcPr>
            <w:tcW w:w="1158" w:type="pct"/>
            <w:gridSpan w:val="2"/>
            <w:shd w:val="clear" w:color="auto" w:fill="auto"/>
            <w:tcMar>
              <w:top w:w="57" w:type="dxa"/>
              <w:bottom w:w="57" w:type="dxa"/>
            </w:tcMar>
          </w:tcPr>
          <w:p w14:paraId="26613F67" w14:textId="750F522A" w:rsidR="006C0656" w:rsidRPr="004C1258" w:rsidRDefault="006C0656" w:rsidP="006C0656">
            <w:pPr>
              <w:rPr>
                <w:rFonts w:cs="Arial"/>
                <w:szCs w:val="19"/>
              </w:rPr>
            </w:pPr>
            <w:r>
              <w:rPr>
                <w:rFonts w:cs="Arial"/>
                <w:szCs w:val="19"/>
              </w:rPr>
              <w:t>Enfortumab (</w:t>
            </w:r>
            <w:r>
              <w:rPr>
                <w:rFonts w:cs="Arial"/>
                <w:i/>
                <w:iCs/>
                <w:szCs w:val="19"/>
              </w:rPr>
              <w:t>Padcev</w:t>
            </w:r>
            <w:r>
              <w:rPr>
                <w:rFonts w:cs="Arial"/>
                <w:szCs w:val="19"/>
              </w:rPr>
              <w:t>)</w:t>
            </w:r>
          </w:p>
        </w:tc>
        <w:tc>
          <w:tcPr>
            <w:tcW w:w="3842" w:type="pct"/>
            <w:shd w:val="clear" w:color="auto" w:fill="auto"/>
            <w:tcMar>
              <w:top w:w="57" w:type="dxa"/>
              <w:bottom w:w="57" w:type="dxa"/>
            </w:tcMar>
          </w:tcPr>
          <w:p w14:paraId="13CE84F6" w14:textId="77777777" w:rsidR="006C0656" w:rsidRDefault="006C0656" w:rsidP="006C0656">
            <w:pPr>
              <w:tabs>
                <w:tab w:val="center" w:pos="3152"/>
              </w:tabs>
              <w:rPr>
                <w:rFonts w:cs="Arial"/>
                <w:sz w:val="16"/>
                <w:szCs w:val="16"/>
                <w:lang w:val="en-US"/>
              </w:rPr>
            </w:pPr>
            <w:r>
              <w:rPr>
                <w:rFonts w:cs="Arial"/>
                <w:szCs w:val="19"/>
                <w:lang w:val="en-US"/>
              </w:rPr>
              <w:t xml:space="preserve">Use </w:t>
            </w:r>
            <w:r w:rsidRPr="0028387F">
              <w:rPr>
                <w:rFonts w:cs="Arial"/>
                <w:szCs w:val="19"/>
                <w:lang w:val="en-US"/>
              </w:rPr>
              <w:t>in combination with pembrolizumab</w:t>
            </w:r>
            <w:r>
              <w:rPr>
                <w:rFonts w:cs="Arial"/>
                <w:szCs w:val="19"/>
                <w:lang w:val="en-US"/>
              </w:rPr>
              <w:t xml:space="preserve"> </w:t>
            </w:r>
            <w:r w:rsidRPr="0028387F">
              <w:rPr>
                <w:rFonts w:cs="Arial"/>
                <w:szCs w:val="19"/>
                <w:lang w:val="en-US"/>
              </w:rPr>
              <w:t>for the first-line treatment of adults with unresectable or metastatic urothelial cancer who are eligible for platinum-containing chemotherapy</w:t>
            </w:r>
            <w:r>
              <w:rPr>
                <w:rFonts w:cs="Arial"/>
                <w:szCs w:val="19"/>
                <w:lang w:val="en-US"/>
              </w:rPr>
              <w:t xml:space="preserve"> </w:t>
            </w:r>
            <w:r w:rsidRPr="0028387F">
              <w:rPr>
                <w:rFonts w:cs="Arial"/>
                <w:sz w:val="16"/>
                <w:szCs w:val="16"/>
                <w:lang w:val="en-US"/>
              </w:rPr>
              <w:t xml:space="preserve">[EU] </w:t>
            </w:r>
          </w:p>
          <w:p w14:paraId="7BCA1F71" w14:textId="359798D2" w:rsidR="006C0656" w:rsidRPr="004C1258" w:rsidRDefault="006C0656" w:rsidP="006C0656">
            <w:pPr>
              <w:tabs>
                <w:tab w:val="center" w:pos="3152"/>
              </w:tabs>
              <w:rPr>
                <w:rFonts w:cs="Arial"/>
                <w:szCs w:val="19"/>
                <w:lang w:val="en-US"/>
              </w:rPr>
            </w:pPr>
            <w:r w:rsidRPr="0028387F">
              <w:rPr>
                <w:rFonts w:cs="Arial"/>
                <w:sz w:val="16"/>
                <w:szCs w:val="16"/>
                <w:lang w:val="en-US"/>
              </w:rPr>
              <w:t>[new indication]</w:t>
            </w:r>
          </w:p>
        </w:tc>
      </w:tr>
      <w:tr w:rsidR="006C0656" w:rsidRPr="00A075A3" w14:paraId="0A4C9DC7" w14:textId="77777777" w:rsidTr="00424FFD">
        <w:tc>
          <w:tcPr>
            <w:tcW w:w="1158" w:type="pct"/>
            <w:gridSpan w:val="2"/>
            <w:shd w:val="clear" w:color="auto" w:fill="auto"/>
            <w:tcMar>
              <w:top w:w="57" w:type="dxa"/>
              <w:bottom w:w="57" w:type="dxa"/>
            </w:tcMar>
          </w:tcPr>
          <w:p w14:paraId="2F4C2521" w14:textId="335C8FE5" w:rsidR="006C0656" w:rsidRPr="004C1258" w:rsidRDefault="006C0656" w:rsidP="006C0656">
            <w:pPr>
              <w:rPr>
                <w:rFonts w:cs="Arial"/>
                <w:szCs w:val="19"/>
              </w:rPr>
            </w:pPr>
            <w:r w:rsidRPr="004C1258">
              <w:rPr>
                <w:rFonts w:cs="Arial"/>
                <w:szCs w:val="19"/>
              </w:rPr>
              <w:t>Macitentan</w:t>
            </w:r>
            <w:r>
              <w:rPr>
                <w:rFonts w:cs="Arial"/>
                <w:szCs w:val="19"/>
              </w:rPr>
              <w:t xml:space="preserve"> (</w:t>
            </w:r>
            <w:r>
              <w:rPr>
                <w:rFonts w:cs="Arial"/>
                <w:i/>
                <w:iCs/>
                <w:szCs w:val="19"/>
              </w:rPr>
              <w:t>Opsumit</w:t>
            </w:r>
            <w:r>
              <w:rPr>
                <w:rFonts w:cs="Arial"/>
                <w:szCs w:val="19"/>
              </w:rPr>
              <w:t>)</w:t>
            </w:r>
          </w:p>
        </w:tc>
        <w:tc>
          <w:tcPr>
            <w:tcW w:w="3842" w:type="pct"/>
            <w:shd w:val="clear" w:color="auto" w:fill="auto"/>
            <w:tcMar>
              <w:top w:w="57" w:type="dxa"/>
              <w:bottom w:w="57" w:type="dxa"/>
            </w:tcMar>
          </w:tcPr>
          <w:p w14:paraId="17393FAD" w14:textId="010915F1" w:rsidR="006C0656" w:rsidRPr="004C1258" w:rsidRDefault="006C0656" w:rsidP="006C0656">
            <w:pPr>
              <w:tabs>
                <w:tab w:val="center" w:pos="3152"/>
              </w:tabs>
              <w:rPr>
                <w:rFonts w:cs="Arial"/>
                <w:szCs w:val="19"/>
                <w:lang w:val="en-US"/>
              </w:rPr>
            </w:pPr>
            <w:r w:rsidRPr="004C1258">
              <w:rPr>
                <w:rFonts w:cs="Arial"/>
                <w:szCs w:val="19"/>
                <w:lang w:val="en-US"/>
              </w:rPr>
              <w:t xml:space="preserve">Use as monotherapy or in combination, for the long-term treatment of pulmonary arterial hypertension in paediatric patients aged </w:t>
            </w:r>
            <w:r>
              <w:rPr>
                <w:rFonts w:cs="Arial"/>
                <w:szCs w:val="19"/>
                <w:lang w:val="en-US"/>
              </w:rPr>
              <w:t>&lt;</w:t>
            </w:r>
            <w:r w:rsidRPr="004C1258">
              <w:rPr>
                <w:rFonts w:cs="Arial"/>
                <w:szCs w:val="19"/>
                <w:lang w:val="en-US"/>
              </w:rPr>
              <w:t>18 years and bodyweight ≥40kg with WHO Functional Class II to III</w:t>
            </w:r>
            <w:r>
              <w:rPr>
                <w:rFonts w:cs="Arial"/>
                <w:szCs w:val="19"/>
                <w:lang w:val="en-US"/>
              </w:rPr>
              <w:t xml:space="preserve"> </w:t>
            </w:r>
            <w:r w:rsidRPr="004C1258">
              <w:rPr>
                <w:rFonts w:cs="Arial"/>
                <w:sz w:val="16"/>
                <w:szCs w:val="16"/>
                <w:lang w:val="en-US"/>
              </w:rPr>
              <w:t>[EU] [licence change from use only in adults]</w:t>
            </w:r>
          </w:p>
        </w:tc>
      </w:tr>
      <w:tr w:rsidR="006C0656" w:rsidRPr="00A075A3" w14:paraId="427503DA" w14:textId="77777777" w:rsidTr="00424FFD">
        <w:tc>
          <w:tcPr>
            <w:tcW w:w="1158" w:type="pct"/>
            <w:gridSpan w:val="2"/>
            <w:shd w:val="clear" w:color="auto" w:fill="auto"/>
            <w:tcMar>
              <w:top w:w="57" w:type="dxa"/>
              <w:bottom w:w="57" w:type="dxa"/>
            </w:tcMar>
          </w:tcPr>
          <w:p w14:paraId="5DA2D2C9" w14:textId="78B3D90E" w:rsidR="006C0656" w:rsidRPr="006A1C9C" w:rsidRDefault="006C0656" w:rsidP="006C0656">
            <w:pPr>
              <w:rPr>
                <w:rFonts w:cs="Arial"/>
                <w:szCs w:val="19"/>
              </w:rPr>
            </w:pPr>
            <w:r w:rsidRPr="004C1258">
              <w:rPr>
                <w:rFonts w:cs="Arial"/>
                <w:szCs w:val="19"/>
              </w:rPr>
              <w:t>Macitentan</w:t>
            </w:r>
            <w:r>
              <w:rPr>
                <w:rFonts w:cs="Arial"/>
                <w:szCs w:val="19"/>
              </w:rPr>
              <w:t xml:space="preserve"> (</w:t>
            </w:r>
            <w:r>
              <w:rPr>
                <w:rFonts w:cs="Arial"/>
                <w:i/>
                <w:iCs/>
                <w:szCs w:val="19"/>
              </w:rPr>
              <w:t>Opsumit</w:t>
            </w:r>
            <w:r>
              <w:rPr>
                <w:rFonts w:cs="Arial"/>
                <w:szCs w:val="19"/>
              </w:rPr>
              <w:t>)</w:t>
            </w:r>
          </w:p>
        </w:tc>
        <w:tc>
          <w:tcPr>
            <w:tcW w:w="3842" w:type="pct"/>
            <w:shd w:val="clear" w:color="auto" w:fill="auto"/>
            <w:tcMar>
              <w:top w:w="57" w:type="dxa"/>
              <w:bottom w:w="57" w:type="dxa"/>
            </w:tcMar>
          </w:tcPr>
          <w:p w14:paraId="4A7D42B5" w14:textId="269AEE84" w:rsidR="006C0656" w:rsidRDefault="006C0656" w:rsidP="006C0656">
            <w:pPr>
              <w:tabs>
                <w:tab w:val="center" w:pos="3152"/>
              </w:tabs>
              <w:rPr>
                <w:rFonts w:cs="Arial"/>
                <w:szCs w:val="19"/>
                <w:lang w:val="en-US"/>
              </w:rPr>
            </w:pPr>
            <w:r w:rsidRPr="004C1258">
              <w:rPr>
                <w:rFonts w:cs="Arial"/>
                <w:szCs w:val="19"/>
                <w:lang w:val="en-US"/>
              </w:rPr>
              <w:t>Use as monotherapy or in combination, for the long-term treatment of pulmonary arterial hypertension in paediatric patients aged 2 years to</w:t>
            </w:r>
            <w:r>
              <w:rPr>
                <w:rFonts w:cs="Arial"/>
                <w:szCs w:val="19"/>
                <w:lang w:val="en-US"/>
              </w:rPr>
              <w:t xml:space="preserve"> &lt;</w:t>
            </w:r>
            <w:r w:rsidRPr="004C1258">
              <w:rPr>
                <w:rFonts w:cs="Arial"/>
                <w:szCs w:val="19"/>
                <w:lang w:val="en-US"/>
              </w:rPr>
              <w:t>18 years with WHO Functional Class II to III</w:t>
            </w:r>
            <w:r>
              <w:rPr>
                <w:rFonts w:cs="Arial"/>
                <w:szCs w:val="19"/>
                <w:lang w:val="en-US"/>
              </w:rPr>
              <w:t xml:space="preserve"> </w:t>
            </w:r>
            <w:r w:rsidRPr="00A245B0">
              <w:rPr>
                <w:rFonts w:cs="Arial"/>
                <w:sz w:val="16"/>
                <w:szCs w:val="16"/>
                <w:lang w:val="en-US"/>
              </w:rPr>
              <w:t>[EU] [</w:t>
            </w:r>
            <w:r w:rsidRPr="004C1258">
              <w:rPr>
                <w:rFonts w:cs="Arial"/>
                <w:sz w:val="16"/>
                <w:szCs w:val="16"/>
                <w:lang w:val="en-US"/>
              </w:rPr>
              <w:t>new 2.5mg dispersible tablet formulation with new indication]</w:t>
            </w:r>
          </w:p>
        </w:tc>
      </w:tr>
      <w:tr w:rsidR="006C0656" w:rsidRPr="00A075A3" w14:paraId="1E2FC4CB" w14:textId="77777777" w:rsidTr="00424FFD">
        <w:tc>
          <w:tcPr>
            <w:tcW w:w="1158" w:type="pct"/>
            <w:gridSpan w:val="2"/>
            <w:shd w:val="clear" w:color="auto" w:fill="auto"/>
            <w:tcMar>
              <w:top w:w="57" w:type="dxa"/>
              <w:bottom w:w="57" w:type="dxa"/>
            </w:tcMar>
          </w:tcPr>
          <w:p w14:paraId="0D79BA03" w14:textId="08757716" w:rsidR="006C0656" w:rsidRDefault="006C0656" w:rsidP="006C0656">
            <w:pPr>
              <w:rPr>
                <w:rFonts w:cs="Arial"/>
                <w:szCs w:val="19"/>
              </w:rPr>
            </w:pPr>
            <w:r w:rsidRPr="006A1C9C">
              <w:rPr>
                <w:rFonts w:cs="Arial"/>
                <w:szCs w:val="19"/>
              </w:rPr>
              <w:t>Macitentan + tadalafil</w:t>
            </w:r>
            <w:r>
              <w:rPr>
                <w:rFonts w:cs="Arial"/>
                <w:szCs w:val="19"/>
              </w:rPr>
              <w:t xml:space="preserve"> (</w:t>
            </w:r>
            <w:r>
              <w:rPr>
                <w:rFonts w:cs="Arial"/>
                <w:i/>
                <w:iCs/>
                <w:szCs w:val="19"/>
              </w:rPr>
              <w:t>Yuvanci</w:t>
            </w:r>
            <w:r>
              <w:rPr>
                <w:rFonts w:cs="Arial"/>
                <w:szCs w:val="19"/>
              </w:rPr>
              <w:t>)</w:t>
            </w:r>
          </w:p>
        </w:tc>
        <w:tc>
          <w:tcPr>
            <w:tcW w:w="3842" w:type="pct"/>
            <w:shd w:val="clear" w:color="auto" w:fill="auto"/>
            <w:tcMar>
              <w:top w:w="57" w:type="dxa"/>
              <w:bottom w:w="57" w:type="dxa"/>
            </w:tcMar>
          </w:tcPr>
          <w:p w14:paraId="11E1CADA" w14:textId="1D664842" w:rsidR="006C0656" w:rsidRPr="00FB140C" w:rsidRDefault="006C0656" w:rsidP="006C0656">
            <w:pPr>
              <w:tabs>
                <w:tab w:val="center" w:pos="3152"/>
              </w:tabs>
              <w:rPr>
                <w:rFonts w:cs="Arial"/>
                <w:szCs w:val="19"/>
                <w:lang w:val="en-US"/>
              </w:rPr>
            </w:pPr>
            <w:r>
              <w:rPr>
                <w:rFonts w:cs="Arial"/>
                <w:szCs w:val="19"/>
                <w:lang w:val="en-US"/>
              </w:rPr>
              <w:t xml:space="preserve">Use </w:t>
            </w:r>
            <w:r w:rsidRPr="006A1C9C">
              <w:rPr>
                <w:rFonts w:cs="Arial"/>
                <w:szCs w:val="19"/>
                <w:lang w:val="en-US"/>
              </w:rPr>
              <w:t>as substitution therapy for the long-term treatment of pulmonary arterial hypertension in adults of WHO Functional Class II to III, who are already treated with the combination of macitentan and tadalafil given concurrently as separate tablets</w:t>
            </w:r>
            <w:r>
              <w:rPr>
                <w:rFonts w:cs="Arial"/>
                <w:szCs w:val="19"/>
                <w:lang w:val="en-US"/>
              </w:rPr>
              <w:t xml:space="preserve"> </w:t>
            </w:r>
            <w:r w:rsidRPr="009D4FFC">
              <w:rPr>
                <w:rFonts w:cs="Arial"/>
                <w:sz w:val="16"/>
                <w:szCs w:val="16"/>
                <w:lang w:val="en-US"/>
              </w:rPr>
              <w:t>[EU]</w:t>
            </w:r>
          </w:p>
        </w:tc>
      </w:tr>
      <w:tr w:rsidR="006C0656" w:rsidRPr="00A075A3" w14:paraId="4ECB9A1C" w14:textId="77777777" w:rsidTr="00424FFD">
        <w:tc>
          <w:tcPr>
            <w:tcW w:w="1158" w:type="pct"/>
            <w:gridSpan w:val="2"/>
            <w:shd w:val="clear" w:color="auto" w:fill="auto"/>
            <w:tcMar>
              <w:top w:w="57" w:type="dxa"/>
              <w:bottom w:w="57" w:type="dxa"/>
            </w:tcMar>
          </w:tcPr>
          <w:p w14:paraId="299D710C" w14:textId="77EEC777" w:rsidR="006C0656" w:rsidRDefault="006C0656" w:rsidP="006C0656">
            <w:pPr>
              <w:rPr>
                <w:rFonts w:cs="Arial"/>
                <w:szCs w:val="19"/>
              </w:rPr>
            </w:pPr>
            <w:r>
              <w:rPr>
                <w:rFonts w:cs="Arial"/>
                <w:szCs w:val="19"/>
              </w:rPr>
              <w:t>M</w:t>
            </w:r>
            <w:r w:rsidRPr="0092103B">
              <w:rPr>
                <w:rFonts w:cs="Arial"/>
                <w:szCs w:val="19"/>
              </w:rPr>
              <w:t>elatonin </w:t>
            </w:r>
            <w:r>
              <w:rPr>
                <w:rFonts w:cs="Arial"/>
                <w:szCs w:val="19"/>
              </w:rPr>
              <w:t>(</w:t>
            </w:r>
            <w:r>
              <w:rPr>
                <w:rFonts w:cs="Arial"/>
                <w:i/>
                <w:iCs/>
                <w:szCs w:val="19"/>
              </w:rPr>
              <w:t>Slenyto</w:t>
            </w:r>
            <w:r>
              <w:rPr>
                <w:rFonts w:cs="Arial"/>
                <w:szCs w:val="19"/>
              </w:rPr>
              <w:t>)</w:t>
            </w:r>
          </w:p>
        </w:tc>
        <w:tc>
          <w:tcPr>
            <w:tcW w:w="3842" w:type="pct"/>
            <w:shd w:val="clear" w:color="auto" w:fill="auto"/>
            <w:tcMar>
              <w:top w:w="57" w:type="dxa"/>
              <w:bottom w:w="57" w:type="dxa"/>
            </w:tcMar>
          </w:tcPr>
          <w:p w14:paraId="18068FE9" w14:textId="1E6728FA" w:rsidR="006C0656" w:rsidRPr="00FB140C" w:rsidRDefault="006C0656" w:rsidP="006C0656">
            <w:pPr>
              <w:tabs>
                <w:tab w:val="center" w:pos="3152"/>
              </w:tabs>
              <w:rPr>
                <w:rFonts w:cs="Arial"/>
                <w:szCs w:val="19"/>
                <w:lang w:val="en-US"/>
              </w:rPr>
            </w:pPr>
            <w:r w:rsidRPr="0092103B">
              <w:rPr>
                <w:rFonts w:cs="Arial"/>
                <w:szCs w:val="19"/>
                <w:lang w:val="en-US"/>
              </w:rPr>
              <w:t xml:space="preserve">Treatment of insomnia in children and adolescents aged 2-18 </w:t>
            </w:r>
            <w:r>
              <w:rPr>
                <w:rFonts w:cs="Arial"/>
                <w:szCs w:val="19"/>
                <w:lang w:val="en-US"/>
              </w:rPr>
              <w:t xml:space="preserve">years </w:t>
            </w:r>
            <w:r w:rsidRPr="0092103B">
              <w:rPr>
                <w:rFonts w:cs="Arial"/>
                <w:szCs w:val="19"/>
                <w:lang w:val="en-US"/>
              </w:rPr>
              <w:t xml:space="preserve">with </w:t>
            </w:r>
            <w:r>
              <w:rPr>
                <w:rFonts w:cs="Arial"/>
                <w:szCs w:val="19"/>
                <w:lang w:val="en-US"/>
              </w:rPr>
              <w:t>a</w:t>
            </w:r>
            <w:r w:rsidRPr="0092103B">
              <w:rPr>
                <w:rFonts w:cs="Arial"/>
                <w:szCs w:val="19"/>
                <w:lang w:val="en-US"/>
              </w:rPr>
              <w:t xml:space="preserve">utism </w:t>
            </w:r>
            <w:r>
              <w:rPr>
                <w:rFonts w:cs="Arial"/>
                <w:szCs w:val="19"/>
                <w:lang w:val="en-US"/>
              </w:rPr>
              <w:t>s</w:t>
            </w:r>
            <w:r w:rsidRPr="0092103B">
              <w:rPr>
                <w:rFonts w:cs="Arial"/>
                <w:szCs w:val="19"/>
                <w:lang w:val="en-US"/>
              </w:rPr>
              <w:t xml:space="preserve">pectrum </w:t>
            </w:r>
            <w:r>
              <w:rPr>
                <w:rFonts w:cs="Arial"/>
                <w:szCs w:val="19"/>
                <w:lang w:val="en-US"/>
              </w:rPr>
              <w:t>d</w:t>
            </w:r>
            <w:r w:rsidRPr="0092103B">
              <w:rPr>
                <w:rFonts w:cs="Arial"/>
                <w:szCs w:val="19"/>
                <w:lang w:val="en-US"/>
              </w:rPr>
              <w:t>isorder (ASD) and/or neurogenetic disorders with aberrant diurnal melatonin secretion and/or nocturnal awakenings, where sleep hygiene measures have been insufficient</w:t>
            </w:r>
            <w:r>
              <w:rPr>
                <w:rFonts w:cs="Arial"/>
                <w:szCs w:val="19"/>
                <w:lang w:val="en-US"/>
              </w:rPr>
              <w:t xml:space="preserve"> </w:t>
            </w:r>
            <w:r w:rsidRPr="0092103B">
              <w:rPr>
                <w:rFonts w:cs="Arial"/>
                <w:sz w:val="16"/>
                <w:szCs w:val="16"/>
                <w:lang w:val="en-US"/>
              </w:rPr>
              <w:t>[EU] [licence change from use in ASD and/or Smith Magenis syndrome]</w:t>
            </w:r>
          </w:p>
        </w:tc>
      </w:tr>
      <w:tr w:rsidR="006C0656" w:rsidRPr="00A075A3" w14:paraId="05D9E19E" w14:textId="77777777" w:rsidTr="00424FFD">
        <w:tc>
          <w:tcPr>
            <w:tcW w:w="1158" w:type="pct"/>
            <w:gridSpan w:val="2"/>
            <w:shd w:val="clear" w:color="auto" w:fill="auto"/>
            <w:tcMar>
              <w:top w:w="57" w:type="dxa"/>
              <w:bottom w:w="57" w:type="dxa"/>
            </w:tcMar>
          </w:tcPr>
          <w:p w14:paraId="73E41469" w14:textId="769BC553" w:rsidR="006C0656" w:rsidRDefault="006C0656" w:rsidP="006C0656">
            <w:pPr>
              <w:rPr>
                <w:rFonts w:cs="Arial"/>
                <w:szCs w:val="19"/>
              </w:rPr>
            </w:pPr>
            <w:r>
              <w:rPr>
                <w:rFonts w:cs="Arial"/>
                <w:szCs w:val="19"/>
              </w:rPr>
              <w:t>Odevixibat (</w:t>
            </w:r>
            <w:r>
              <w:rPr>
                <w:rFonts w:cs="Arial"/>
                <w:i/>
                <w:iCs/>
                <w:szCs w:val="19"/>
              </w:rPr>
              <w:t>Kayfanda</w:t>
            </w:r>
            <w:r>
              <w:rPr>
                <w:rFonts w:cs="Arial"/>
                <w:szCs w:val="19"/>
              </w:rPr>
              <w:t>)</w:t>
            </w:r>
          </w:p>
        </w:tc>
        <w:tc>
          <w:tcPr>
            <w:tcW w:w="3842" w:type="pct"/>
            <w:shd w:val="clear" w:color="auto" w:fill="auto"/>
            <w:tcMar>
              <w:top w:w="57" w:type="dxa"/>
              <w:bottom w:w="57" w:type="dxa"/>
            </w:tcMar>
          </w:tcPr>
          <w:p w14:paraId="0FF00419" w14:textId="50EDFE6F" w:rsidR="006C0656" w:rsidRPr="00FB140C" w:rsidRDefault="006C0656" w:rsidP="006C0656">
            <w:pPr>
              <w:tabs>
                <w:tab w:val="center" w:pos="3152"/>
              </w:tabs>
              <w:rPr>
                <w:rFonts w:cs="Arial"/>
                <w:szCs w:val="19"/>
                <w:lang w:val="en-US"/>
              </w:rPr>
            </w:pPr>
            <w:r w:rsidRPr="008D055E">
              <w:rPr>
                <w:rFonts w:cs="Arial"/>
                <w:szCs w:val="19"/>
                <w:lang w:val="en-US"/>
              </w:rPr>
              <w:t xml:space="preserve">Treatment of cholestatic pruritus in Alagille syndrome in patients aged </w:t>
            </w:r>
            <w:r>
              <w:rPr>
                <w:rFonts w:cs="Arial"/>
                <w:szCs w:val="19"/>
                <w:lang w:val="en-US"/>
              </w:rPr>
              <w:t>≥</w:t>
            </w:r>
            <w:r w:rsidRPr="008D055E">
              <w:rPr>
                <w:rFonts w:cs="Arial"/>
                <w:szCs w:val="19"/>
                <w:lang w:val="en-US"/>
              </w:rPr>
              <w:t>6 months</w:t>
            </w:r>
            <w:r>
              <w:rPr>
                <w:rFonts w:cs="Arial"/>
                <w:szCs w:val="19"/>
                <w:lang w:val="en-US"/>
              </w:rPr>
              <w:t xml:space="preserve"> </w:t>
            </w:r>
            <w:r w:rsidRPr="009D4FFC">
              <w:rPr>
                <w:rFonts w:cs="Arial"/>
                <w:sz w:val="16"/>
                <w:szCs w:val="16"/>
                <w:lang w:val="en-US"/>
              </w:rPr>
              <w:t>[EU]</w:t>
            </w:r>
          </w:p>
        </w:tc>
      </w:tr>
      <w:tr w:rsidR="006C0656" w:rsidRPr="00A075A3" w14:paraId="1B723B56" w14:textId="77777777" w:rsidTr="00424FFD">
        <w:tc>
          <w:tcPr>
            <w:tcW w:w="1158" w:type="pct"/>
            <w:gridSpan w:val="2"/>
            <w:shd w:val="clear" w:color="auto" w:fill="auto"/>
            <w:tcMar>
              <w:top w:w="57" w:type="dxa"/>
              <w:bottom w:w="57" w:type="dxa"/>
            </w:tcMar>
          </w:tcPr>
          <w:p w14:paraId="79F5B9E1" w14:textId="6736A462" w:rsidR="006C0656" w:rsidRPr="00FB140C" w:rsidRDefault="006C0656" w:rsidP="006C0656">
            <w:pPr>
              <w:rPr>
                <w:rFonts w:cs="Arial"/>
                <w:szCs w:val="19"/>
              </w:rPr>
            </w:pPr>
            <w:r>
              <w:rPr>
                <w:rFonts w:cs="Arial"/>
                <w:szCs w:val="19"/>
              </w:rPr>
              <w:t>Pembrolizumab (</w:t>
            </w:r>
            <w:r>
              <w:rPr>
                <w:rFonts w:cs="Arial"/>
                <w:i/>
                <w:iCs/>
                <w:szCs w:val="19"/>
              </w:rPr>
              <w:t>Keytruda</w:t>
            </w:r>
            <w:r>
              <w:rPr>
                <w:rFonts w:cs="Arial"/>
                <w:szCs w:val="19"/>
              </w:rPr>
              <w:t>)</w:t>
            </w:r>
          </w:p>
        </w:tc>
        <w:tc>
          <w:tcPr>
            <w:tcW w:w="3842" w:type="pct"/>
            <w:shd w:val="clear" w:color="auto" w:fill="auto"/>
            <w:tcMar>
              <w:top w:w="57" w:type="dxa"/>
              <w:bottom w:w="57" w:type="dxa"/>
            </w:tcMar>
          </w:tcPr>
          <w:p w14:paraId="62E8E3A6" w14:textId="1296DAAF" w:rsidR="006C0656" w:rsidRPr="00933B3A" w:rsidRDefault="006C0656" w:rsidP="006C0656">
            <w:pPr>
              <w:tabs>
                <w:tab w:val="center" w:pos="3152"/>
              </w:tabs>
              <w:rPr>
                <w:rFonts w:cs="Arial"/>
                <w:szCs w:val="19"/>
                <w:lang w:val="en-US"/>
              </w:rPr>
            </w:pPr>
            <w:r w:rsidRPr="00FB140C">
              <w:rPr>
                <w:rFonts w:cs="Arial"/>
                <w:szCs w:val="19"/>
                <w:lang w:val="en-US"/>
              </w:rPr>
              <w:t>Use in combination with enfortumab vedotin for the first-line treatment of unresectable or metastatic urothelial carcinoma in adults</w:t>
            </w:r>
            <w:r>
              <w:rPr>
                <w:rFonts w:cs="Arial"/>
                <w:szCs w:val="19"/>
                <w:lang w:val="en-US"/>
              </w:rPr>
              <w:t xml:space="preserve"> </w:t>
            </w:r>
            <w:r w:rsidRPr="00FB140C">
              <w:rPr>
                <w:rFonts w:cs="Arial"/>
                <w:sz w:val="16"/>
                <w:szCs w:val="16"/>
                <w:lang w:val="en-US"/>
              </w:rPr>
              <w:t>[EU] [new indication]</w:t>
            </w:r>
          </w:p>
        </w:tc>
      </w:tr>
      <w:tr w:rsidR="006C0656" w:rsidRPr="00A075A3" w14:paraId="1865E7AA" w14:textId="77777777" w:rsidTr="00424FFD">
        <w:tc>
          <w:tcPr>
            <w:tcW w:w="1158" w:type="pct"/>
            <w:gridSpan w:val="2"/>
            <w:shd w:val="clear" w:color="auto" w:fill="auto"/>
            <w:tcMar>
              <w:top w:w="57" w:type="dxa"/>
              <w:bottom w:w="57" w:type="dxa"/>
            </w:tcMar>
          </w:tcPr>
          <w:p w14:paraId="7A96192D" w14:textId="3C1643AC" w:rsidR="006C0656" w:rsidRPr="00933B3A" w:rsidRDefault="006C0656" w:rsidP="006C0656">
            <w:pPr>
              <w:rPr>
                <w:rFonts w:cs="Arial"/>
                <w:szCs w:val="19"/>
              </w:rPr>
            </w:pPr>
            <w:r w:rsidRPr="00933B3A">
              <w:rPr>
                <w:rFonts w:cs="Arial"/>
                <w:szCs w:val="19"/>
              </w:rPr>
              <w:t xml:space="preserve">Respiratory syncytial virus vaccine </w:t>
            </w:r>
            <w:r>
              <w:rPr>
                <w:rFonts w:cs="Arial"/>
                <w:szCs w:val="19"/>
              </w:rPr>
              <w:t>(</w:t>
            </w:r>
            <w:r>
              <w:rPr>
                <w:rFonts w:cs="Arial"/>
                <w:i/>
                <w:iCs/>
                <w:szCs w:val="19"/>
              </w:rPr>
              <w:t>Arexvy</w:t>
            </w:r>
            <w:r>
              <w:rPr>
                <w:rFonts w:cs="Arial"/>
                <w:szCs w:val="19"/>
              </w:rPr>
              <w:t>)</w:t>
            </w:r>
          </w:p>
        </w:tc>
        <w:tc>
          <w:tcPr>
            <w:tcW w:w="3842" w:type="pct"/>
            <w:shd w:val="clear" w:color="auto" w:fill="auto"/>
            <w:tcMar>
              <w:top w:w="57" w:type="dxa"/>
              <w:bottom w:w="57" w:type="dxa"/>
            </w:tcMar>
          </w:tcPr>
          <w:p w14:paraId="6B50DE1D" w14:textId="1389A490" w:rsidR="006C0656" w:rsidRPr="00744FB9" w:rsidRDefault="006C0656" w:rsidP="006C0656">
            <w:pPr>
              <w:tabs>
                <w:tab w:val="center" w:pos="3152"/>
              </w:tabs>
              <w:rPr>
                <w:rFonts w:cs="Arial"/>
                <w:szCs w:val="19"/>
                <w:lang w:val="en-US"/>
              </w:rPr>
            </w:pPr>
            <w:r w:rsidRPr="00933B3A">
              <w:rPr>
                <w:rFonts w:cs="Arial"/>
                <w:szCs w:val="19"/>
                <w:lang w:val="en-US"/>
              </w:rPr>
              <w:t xml:space="preserve">Active immunisation for the prevention of lower respiratory tract disease caused by respiratory syncytial virus </w:t>
            </w:r>
            <w:r>
              <w:rPr>
                <w:rFonts w:cs="Arial"/>
                <w:szCs w:val="19"/>
                <w:lang w:val="en-US"/>
              </w:rPr>
              <w:t xml:space="preserve">(RSV) </w:t>
            </w:r>
            <w:r w:rsidRPr="00933B3A">
              <w:rPr>
                <w:rFonts w:cs="Arial"/>
                <w:szCs w:val="19"/>
                <w:lang w:val="en-US"/>
              </w:rPr>
              <w:t xml:space="preserve">in adults </w:t>
            </w:r>
            <w:r>
              <w:rPr>
                <w:rFonts w:cs="Arial"/>
                <w:szCs w:val="19"/>
                <w:lang w:val="en-US"/>
              </w:rPr>
              <w:t>aged ≥</w:t>
            </w:r>
            <w:r w:rsidRPr="00933B3A">
              <w:rPr>
                <w:rFonts w:cs="Arial"/>
                <w:szCs w:val="19"/>
                <w:lang w:val="en-US"/>
              </w:rPr>
              <w:t>60 years, and adults aged 50 through 59 years who are at increased risk for RSV disease</w:t>
            </w:r>
            <w:r>
              <w:rPr>
                <w:rFonts w:cs="Arial"/>
                <w:szCs w:val="19"/>
                <w:lang w:val="en-US"/>
              </w:rPr>
              <w:t xml:space="preserve"> </w:t>
            </w:r>
            <w:r w:rsidRPr="00933B3A">
              <w:rPr>
                <w:rFonts w:cs="Arial"/>
                <w:sz w:val="16"/>
                <w:szCs w:val="16"/>
                <w:lang w:val="en-US"/>
              </w:rPr>
              <w:t>[EU] [licence change from use only in adults aged ≥60 years]</w:t>
            </w:r>
          </w:p>
        </w:tc>
      </w:tr>
      <w:tr w:rsidR="006C0656" w:rsidRPr="00A075A3" w14:paraId="6BD01DD9" w14:textId="77777777" w:rsidTr="00424FFD">
        <w:tc>
          <w:tcPr>
            <w:tcW w:w="1158" w:type="pct"/>
            <w:gridSpan w:val="2"/>
            <w:shd w:val="clear" w:color="auto" w:fill="auto"/>
            <w:tcMar>
              <w:top w:w="57" w:type="dxa"/>
              <w:bottom w:w="57" w:type="dxa"/>
            </w:tcMar>
          </w:tcPr>
          <w:p w14:paraId="1F63FF10" w14:textId="4A8989B4" w:rsidR="006C0656" w:rsidRPr="00144A8C" w:rsidRDefault="006C0656" w:rsidP="006C0656">
            <w:pPr>
              <w:rPr>
                <w:rFonts w:cs="Arial"/>
                <w:szCs w:val="19"/>
              </w:rPr>
            </w:pPr>
            <w:r>
              <w:rPr>
                <w:rFonts w:cs="Arial"/>
                <w:szCs w:val="19"/>
              </w:rPr>
              <w:t>Rilpivirine (</w:t>
            </w:r>
            <w:r>
              <w:rPr>
                <w:rFonts w:cs="Arial"/>
                <w:i/>
                <w:iCs/>
                <w:szCs w:val="19"/>
              </w:rPr>
              <w:t>Edurant</w:t>
            </w:r>
            <w:r>
              <w:rPr>
                <w:rFonts w:cs="Arial"/>
                <w:szCs w:val="19"/>
              </w:rPr>
              <w:t>)</w:t>
            </w:r>
          </w:p>
        </w:tc>
        <w:tc>
          <w:tcPr>
            <w:tcW w:w="3842" w:type="pct"/>
            <w:shd w:val="clear" w:color="auto" w:fill="auto"/>
            <w:tcMar>
              <w:top w:w="57" w:type="dxa"/>
              <w:bottom w:w="57" w:type="dxa"/>
            </w:tcMar>
          </w:tcPr>
          <w:p w14:paraId="5A3CDBFB" w14:textId="7D667DDB" w:rsidR="006C0656" w:rsidRPr="00744FB9" w:rsidRDefault="006C0656" w:rsidP="006C0656">
            <w:pPr>
              <w:tabs>
                <w:tab w:val="center" w:pos="3152"/>
              </w:tabs>
              <w:rPr>
                <w:rFonts w:cs="Arial"/>
                <w:szCs w:val="19"/>
                <w:lang w:val="en-US"/>
              </w:rPr>
            </w:pPr>
            <w:r w:rsidRPr="00144A8C">
              <w:rPr>
                <w:rFonts w:cs="Arial"/>
                <w:szCs w:val="19"/>
                <w:lang w:val="en-US"/>
              </w:rPr>
              <w:t>Treatment of human immunodeficiency virus type 1 (HIV</w:t>
            </w:r>
            <w:r w:rsidRPr="00144A8C">
              <w:rPr>
                <w:rFonts w:ascii="Cambria Math" w:hAnsi="Cambria Math" w:cs="Cambria Math"/>
                <w:szCs w:val="19"/>
                <w:lang w:val="en-US"/>
              </w:rPr>
              <w:t>‑</w:t>
            </w:r>
            <w:r w:rsidRPr="00144A8C">
              <w:rPr>
                <w:rFonts w:cs="Arial"/>
                <w:szCs w:val="19"/>
                <w:lang w:val="en-US"/>
              </w:rPr>
              <w:t xml:space="preserve">1) infection in adults and paediatric patients weighing </w:t>
            </w:r>
            <w:r>
              <w:rPr>
                <w:rFonts w:cs="Arial"/>
                <w:szCs w:val="19"/>
                <w:lang w:val="en-US"/>
              </w:rPr>
              <w:t>≥</w:t>
            </w:r>
            <w:r w:rsidRPr="00144A8C">
              <w:rPr>
                <w:rFonts w:cs="Arial"/>
                <w:szCs w:val="19"/>
                <w:lang w:val="en-US"/>
              </w:rPr>
              <w:t>25kg without known mutations associated with resistance to the non-nucleoside reverse transcriptase inhibitor class, and with a viral load ≤100,000 HIV</w:t>
            </w:r>
            <w:r w:rsidRPr="00144A8C">
              <w:rPr>
                <w:rFonts w:ascii="Cambria Math" w:hAnsi="Cambria Math" w:cs="Cambria Math"/>
                <w:szCs w:val="19"/>
                <w:lang w:val="en-US"/>
              </w:rPr>
              <w:t>‑</w:t>
            </w:r>
            <w:r w:rsidRPr="00144A8C">
              <w:rPr>
                <w:rFonts w:cs="Arial"/>
                <w:szCs w:val="19"/>
                <w:lang w:val="en-US"/>
              </w:rPr>
              <w:t>1 RNA copies/m</w:t>
            </w:r>
            <w:r>
              <w:rPr>
                <w:rFonts w:cs="Arial"/>
                <w:szCs w:val="19"/>
                <w:lang w:val="en-US"/>
              </w:rPr>
              <w:t xml:space="preserve">L </w:t>
            </w:r>
            <w:r w:rsidRPr="00144A8C">
              <w:rPr>
                <w:rFonts w:cs="Arial"/>
                <w:sz w:val="16"/>
                <w:szCs w:val="16"/>
                <w:lang w:val="en-US"/>
              </w:rPr>
              <w:t xml:space="preserve">[EU] [licence change from use only in patients aged ≥12 years] </w:t>
            </w:r>
          </w:p>
        </w:tc>
      </w:tr>
      <w:tr w:rsidR="006C0656" w:rsidRPr="00A075A3" w14:paraId="22A1EFC5" w14:textId="77777777" w:rsidTr="00424FFD">
        <w:tc>
          <w:tcPr>
            <w:tcW w:w="1158" w:type="pct"/>
            <w:gridSpan w:val="2"/>
            <w:shd w:val="clear" w:color="auto" w:fill="auto"/>
            <w:tcMar>
              <w:top w:w="57" w:type="dxa"/>
              <w:bottom w:w="57" w:type="dxa"/>
            </w:tcMar>
          </w:tcPr>
          <w:p w14:paraId="3DF2E8D3" w14:textId="5066D1A8" w:rsidR="006C0656" w:rsidRDefault="006C0656" w:rsidP="006C0656">
            <w:pPr>
              <w:rPr>
                <w:rFonts w:cs="Arial"/>
                <w:szCs w:val="19"/>
              </w:rPr>
            </w:pPr>
            <w:r>
              <w:rPr>
                <w:rFonts w:cs="Arial"/>
                <w:szCs w:val="19"/>
              </w:rPr>
              <w:t>Rilpivirine (</w:t>
            </w:r>
            <w:r>
              <w:rPr>
                <w:rFonts w:cs="Arial"/>
                <w:i/>
                <w:iCs/>
                <w:szCs w:val="19"/>
              </w:rPr>
              <w:t>Edurant</w:t>
            </w:r>
            <w:r>
              <w:rPr>
                <w:rFonts w:cs="Arial"/>
                <w:szCs w:val="19"/>
              </w:rPr>
              <w:t>)</w:t>
            </w:r>
          </w:p>
        </w:tc>
        <w:tc>
          <w:tcPr>
            <w:tcW w:w="3842" w:type="pct"/>
            <w:shd w:val="clear" w:color="auto" w:fill="auto"/>
            <w:tcMar>
              <w:top w:w="57" w:type="dxa"/>
              <w:bottom w:w="57" w:type="dxa"/>
            </w:tcMar>
          </w:tcPr>
          <w:p w14:paraId="2ADAB015" w14:textId="2F02131A" w:rsidR="006C0656" w:rsidRPr="00144A8C" w:rsidRDefault="006C0656" w:rsidP="006C0656">
            <w:pPr>
              <w:tabs>
                <w:tab w:val="center" w:pos="3152"/>
              </w:tabs>
              <w:rPr>
                <w:rFonts w:cs="Arial"/>
                <w:szCs w:val="19"/>
                <w:lang w:val="en-US"/>
              </w:rPr>
            </w:pPr>
            <w:r w:rsidRPr="00144A8C">
              <w:rPr>
                <w:rFonts w:cs="Arial"/>
                <w:szCs w:val="19"/>
                <w:lang w:val="en-US"/>
              </w:rPr>
              <w:t>U</w:t>
            </w:r>
            <w:r>
              <w:rPr>
                <w:rFonts w:cs="Arial"/>
                <w:szCs w:val="19"/>
                <w:lang w:val="en-US"/>
              </w:rPr>
              <w:t>s</w:t>
            </w:r>
            <w:r w:rsidRPr="00144A8C">
              <w:rPr>
                <w:rFonts w:cs="Arial"/>
                <w:szCs w:val="19"/>
                <w:lang w:val="en-US"/>
              </w:rPr>
              <w:t>e in combination with other antiretroviral medicinal products, for the treatment of human immunodeficiency virus type 1 (HIV</w:t>
            </w:r>
            <w:r w:rsidRPr="00144A8C">
              <w:rPr>
                <w:rFonts w:ascii="Cambria Math" w:hAnsi="Cambria Math" w:cs="Cambria Math"/>
                <w:szCs w:val="19"/>
                <w:lang w:val="en-US"/>
              </w:rPr>
              <w:t>‑</w:t>
            </w:r>
            <w:r w:rsidRPr="00144A8C">
              <w:rPr>
                <w:rFonts w:cs="Arial"/>
                <w:szCs w:val="19"/>
                <w:lang w:val="en-US"/>
              </w:rPr>
              <w:t xml:space="preserve">1) infection in paediatric patients </w:t>
            </w:r>
            <w:r>
              <w:rPr>
                <w:rFonts w:cs="Arial"/>
                <w:szCs w:val="19"/>
                <w:lang w:val="en-US"/>
              </w:rPr>
              <w:t xml:space="preserve">aged </w:t>
            </w:r>
            <w:r w:rsidRPr="00144A8C">
              <w:rPr>
                <w:rFonts w:cs="Arial"/>
                <w:szCs w:val="19"/>
                <w:lang w:val="en-US"/>
              </w:rPr>
              <w:t xml:space="preserve">2 to </w:t>
            </w:r>
            <w:r>
              <w:rPr>
                <w:rFonts w:cs="Arial"/>
                <w:szCs w:val="19"/>
                <w:lang w:val="en-US"/>
              </w:rPr>
              <w:t xml:space="preserve">&lt;18 </w:t>
            </w:r>
            <w:r w:rsidRPr="00144A8C">
              <w:rPr>
                <w:rFonts w:cs="Arial"/>
                <w:szCs w:val="19"/>
                <w:lang w:val="en-US"/>
              </w:rPr>
              <w:t xml:space="preserve">years and weighing </w:t>
            </w:r>
            <w:r>
              <w:rPr>
                <w:rFonts w:cs="Arial"/>
                <w:szCs w:val="19"/>
                <w:lang w:val="en-US"/>
              </w:rPr>
              <w:t>≥</w:t>
            </w:r>
            <w:r w:rsidRPr="00144A8C">
              <w:rPr>
                <w:rFonts w:cs="Arial"/>
                <w:szCs w:val="19"/>
                <w:lang w:val="en-US"/>
              </w:rPr>
              <w:t xml:space="preserve">14kg to </w:t>
            </w:r>
            <w:r>
              <w:rPr>
                <w:rFonts w:cs="Arial"/>
                <w:szCs w:val="19"/>
                <w:lang w:val="en-US"/>
              </w:rPr>
              <w:t>&lt;</w:t>
            </w:r>
            <w:r w:rsidRPr="00144A8C">
              <w:rPr>
                <w:rFonts w:cs="Arial"/>
                <w:szCs w:val="19"/>
                <w:lang w:val="en-US"/>
              </w:rPr>
              <w:t>25kg without known mutations associated with resistance to the non-nucleoside reverse transcriptase inhibitor class, and with a viral load ≤100,000 HIV</w:t>
            </w:r>
            <w:r w:rsidRPr="00144A8C">
              <w:rPr>
                <w:rFonts w:ascii="Cambria Math" w:hAnsi="Cambria Math" w:cs="Cambria Math"/>
                <w:szCs w:val="19"/>
                <w:lang w:val="en-US"/>
              </w:rPr>
              <w:t>‑</w:t>
            </w:r>
            <w:r w:rsidRPr="00144A8C">
              <w:rPr>
                <w:rFonts w:cs="Arial"/>
                <w:szCs w:val="19"/>
                <w:lang w:val="en-US"/>
              </w:rPr>
              <w:t>1 RNA copies/m</w:t>
            </w:r>
            <w:r>
              <w:rPr>
                <w:rFonts w:cs="Arial"/>
                <w:szCs w:val="19"/>
                <w:lang w:val="en-US"/>
              </w:rPr>
              <w:t xml:space="preserve">L </w:t>
            </w:r>
            <w:r w:rsidRPr="00144A8C">
              <w:rPr>
                <w:rFonts w:cs="Arial"/>
                <w:sz w:val="16"/>
                <w:szCs w:val="16"/>
                <w:lang w:val="en-US"/>
              </w:rPr>
              <w:t>[EU] [new 2.5mg dispersible tablet formulation with new indication]</w:t>
            </w:r>
          </w:p>
        </w:tc>
      </w:tr>
      <w:tr w:rsidR="006C0656" w:rsidRPr="00A075A3" w14:paraId="04763789" w14:textId="77777777" w:rsidTr="00424FFD">
        <w:tc>
          <w:tcPr>
            <w:tcW w:w="1158" w:type="pct"/>
            <w:gridSpan w:val="2"/>
            <w:shd w:val="clear" w:color="auto" w:fill="auto"/>
            <w:tcMar>
              <w:top w:w="57" w:type="dxa"/>
              <w:bottom w:w="57" w:type="dxa"/>
            </w:tcMar>
          </w:tcPr>
          <w:p w14:paraId="1C2EF774" w14:textId="3DCC4C90" w:rsidR="006C0656" w:rsidRPr="00B81379" w:rsidRDefault="006C0656" w:rsidP="006C0656">
            <w:pPr>
              <w:rPr>
                <w:rFonts w:cs="Arial"/>
                <w:szCs w:val="19"/>
              </w:rPr>
            </w:pPr>
          </w:p>
        </w:tc>
        <w:tc>
          <w:tcPr>
            <w:tcW w:w="3842" w:type="pct"/>
            <w:shd w:val="clear" w:color="auto" w:fill="auto"/>
            <w:tcMar>
              <w:top w:w="57" w:type="dxa"/>
              <w:bottom w:w="57" w:type="dxa"/>
            </w:tcMar>
          </w:tcPr>
          <w:p w14:paraId="50D7DE41" w14:textId="526D1505" w:rsidR="006C0656" w:rsidRDefault="006C0656" w:rsidP="006C0656">
            <w:pPr>
              <w:tabs>
                <w:tab w:val="center" w:pos="3152"/>
              </w:tabs>
              <w:rPr>
                <w:rFonts w:cs="Arial"/>
                <w:szCs w:val="19"/>
                <w:lang w:val="en-US"/>
              </w:rPr>
            </w:pPr>
          </w:p>
        </w:tc>
      </w:tr>
      <w:tr w:rsidR="006C0656" w:rsidRPr="000F19E1" w14:paraId="607F09AC" w14:textId="77777777" w:rsidTr="00424FFD">
        <w:tc>
          <w:tcPr>
            <w:tcW w:w="1158" w:type="pct"/>
            <w:gridSpan w:val="2"/>
            <w:shd w:val="clear" w:color="auto" w:fill="auto"/>
            <w:tcMar>
              <w:top w:w="0" w:type="dxa"/>
              <w:bottom w:w="0" w:type="dxa"/>
            </w:tcMar>
          </w:tcPr>
          <w:p w14:paraId="6E92C9D9" w14:textId="77777777" w:rsidR="006C0656" w:rsidRPr="000F19E1" w:rsidRDefault="006C0656" w:rsidP="006C0656">
            <w:pPr>
              <w:rPr>
                <w:rFonts w:cs="Arial"/>
                <w:bCs/>
                <w:sz w:val="8"/>
                <w:szCs w:val="8"/>
              </w:rPr>
            </w:pPr>
          </w:p>
        </w:tc>
        <w:tc>
          <w:tcPr>
            <w:tcW w:w="3842" w:type="pct"/>
            <w:shd w:val="clear" w:color="auto" w:fill="auto"/>
            <w:tcMar>
              <w:top w:w="0" w:type="dxa"/>
              <w:bottom w:w="0" w:type="dxa"/>
            </w:tcMar>
          </w:tcPr>
          <w:p w14:paraId="1056797A" w14:textId="77777777" w:rsidR="006C0656" w:rsidRPr="000F19E1" w:rsidRDefault="006C0656" w:rsidP="006C0656">
            <w:pPr>
              <w:tabs>
                <w:tab w:val="center" w:pos="3152"/>
              </w:tabs>
              <w:rPr>
                <w:rFonts w:cs="Arial"/>
                <w:sz w:val="8"/>
                <w:szCs w:val="8"/>
                <w:lang w:val="en-US"/>
              </w:rPr>
            </w:pPr>
          </w:p>
        </w:tc>
      </w:tr>
      <w:tr w:rsidR="006C0656" w:rsidRPr="000F19E1" w14:paraId="33E352E7" w14:textId="77777777" w:rsidTr="00155BD9">
        <w:tc>
          <w:tcPr>
            <w:tcW w:w="1152" w:type="pct"/>
            <w:shd w:val="clear" w:color="auto" w:fill="DAEEF3"/>
            <w:tcMar>
              <w:top w:w="0" w:type="dxa"/>
              <w:bottom w:w="0" w:type="dxa"/>
            </w:tcMar>
          </w:tcPr>
          <w:p w14:paraId="04A2E8D9" w14:textId="77777777" w:rsidR="006C0656" w:rsidRPr="000F19E1" w:rsidRDefault="006C0656" w:rsidP="006C0656">
            <w:pPr>
              <w:rPr>
                <w:rFonts w:cs="Arial"/>
                <w:bCs/>
                <w:sz w:val="8"/>
                <w:szCs w:val="8"/>
              </w:rPr>
            </w:pPr>
          </w:p>
        </w:tc>
        <w:tc>
          <w:tcPr>
            <w:tcW w:w="3848" w:type="pct"/>
            <w:gridSpan w:val="2"/>
            <w:shd w:val="clear" w:color="auto" w:fill="DAEEF3"/>
            <w:tcMar>
              <w:top w:w="0" w:type="dxa"/>
              <w:bottom w:w="0" w:type="dxa"/>
            </w:tcMar>
          </w:tcPr>
          <w:p w14:paraId="78CB8CBE" w14:textId="77777777" w:rsidR="006C0656" w:rsidRPr="000F19E1" w:rsidRDefault="006C0656" w:rsidP="006C0656">
            <w:pPr>
              <w:tabs>
                <w:tab w:val="center" w:pos="3152"/>
              </w:tabs>
              <w:rPr>
                <w:rFonts w:cs="Arial"/>
                <w:sz w:val="8"/>
                <w:szCs w:val="8"/>
                <w:lang w:val="en-US"/>
              </w:rPr>
            </w:pPr>
          </w:p>
        </w:tc>
      </w:tr>
    </w:tbl>
    <w:p w14:paraId="72ACECD4" w14:textId="6F066F92" w:rsidR="00AC74AF" w:rsidRDefault="00AC74AF"/>
    <w:p w14:paraId="5E59609A" w14:textId="77777777" w:rsidR="00AC74AF" w:rsidRDefault="00AC74AF"/>
    <w:p w14:paraId="7C97C802" w14:textId="279814C6" w:rsidR="00706657" w:rsidRDefault="00706657">
      <w:r>
        <w:br w:type="page"/>
      </w:r>
    </w:p>
    <w:p w14:paraId="1AE76B48" w14:textId="77777777" w:rsidR="006825BB" w:rsidRDefault="006825BB" w:rsidP="003D16EF">
      <w:pPr>
        <w:rPr>
          <w:sz w:val="8"/>
          <w:szCs w:val="8"/>
        </w:rPr>
      </w:pPr>
    </w:p>
    <w:p w14:paraId="406E4DB9" w14:textId="77777777" w:rsidR="00706657" w:rsidRDefault="00706657" w:rsidP="003D16EF">
      <w:pPr>
        <w:rPr>
          <w:sz w:val="8"/>
          <w:szCs w:val="8"/>
        </w:rPr>
      </w:pPr>
    </w:p>
    <w:p w14:paraId="76A7DC37" w14:textId="77777777" w:rsidR="00AC74AF" w:rsidRDefault="00AC74AF" w:rsidP="003D16EF">
      <w:pPr>
        <w:rPr>
          <w:sz w:val="8"/>
          <w:szCs w:val="8"/>
        </w:rPr>
      </w:pPr>
    </w:p>
    <w:tbl>
      <w:tblPr>
        <w:tblW w:w="5170" w:type="pct"/>
        <w:tblInd w:w="-176" w:type="dxa"/>
        <w:tblLayout w:type="fixed"/>
        <w:tblLook w:val="01E0" w:firstRow="1" w:lastRow="1" w:firstColumn="1" w:lastColumn="1" w:noHBand="0" w:noVBand="0"/>
      </w:tblPr>
      <w:tblGrid>
        <w:gridCol w:w="2161"/>
        <w:gridCol w:w="8390"/>
      </w:tblGrid>
      <w:tr w:rsidR="00AC74AF" w:rsidRPr="00862949" w14:paraId="7185DF1C" w14:textId="77777777" w:rsidTr="00CC78AD">
        <w:tc>
          <w:tcPr>
            <w:tcW w:w="5000" w:type="pct"/>
            <w:gridSpan w:val="2"/>
            <w:shd w:val="clear" w:color="auto" w:fill="0070C0"/>
            <w:tcMar>
              <w:top w:w="85" w:type="dxa"/>
              <w:bottom w:w="85" w:type="dxa"/>
            </w:tcMar>
            <w:vAlign w:val="bottom"/>
          </w:tcPr>
          <w:p w14:paraId="211303CF" w14:textId="77777777" w:rsidR="00AC74AF" w:rsidRPr="00862949" w:rsidRDefault="00AC74AF" w:rsidP="00CC78AD">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AC74AF" w:rsidRPr="000F19E1" w14:paraId="0708FBC1" w14:textId="77777777" w:rsidTr="00AC74AF">
        <w:tc>
          <w:tcPr>
            <w:tcW w:w="1024" w:type="pct"/>
            <w:shd w:val="clear" w:color="auto" w:fill="DAEEF3"/>
            <w:tcMar>
              <w:top w:w="0" w:type="dxa"/>
              <w:bottom w:w="0" w:type="dxa"/>
            </w:tcMar>
          </w:tcPr>
          <w:p w14:paraId="37CD16E1" w14:textId="77777777" w:rsidR="00AC74AF" w:rsidRPr="000F19E1" w:rsidRDefault="00AC74AF" w:rsidP="00CC78AD">
            <w:pPr>
              <w:rPr>
                <w:rFonts w:cs="Arial"/>
                <w:bCs/>
                <w:sz w:val="8"/>
                <w:szCs w:val="8"/>
              </w:rPr>
            </w:pPr>
          </w:p>
        </w:tc>
        <w:tc>
          <w:tcPr>
            <w:tcW w:w="3976" w:type="pct"/>
            <w:shd w:val="clear" w:color="auto" w:fill="DAEEF3"/>
            <w:tcMar>
              <w:top w:w="0" w:type="dxa"/>
              <w:bottom w:w="0" w:type="dxa"/>
            </w:tcMar>
          </w:tcPr>
          <w:p w14:paraId="51F38A2F" w14:textId="77777777" w:rsidR="00AC74AF" w:rsidRPr="000F19E1" w:rsidRDefault="00AC74AF" w:rsidP="00CC78AD">
            <w:pPr>
              <w:tabs>
                <w:tab w:val="center" w:pos="3152"/>
              </w:tabs>
              <w:rPr>
                <w:rFonts w:cs="Arial"/>
                <w:sz w:val="8"/>
                <w:szCs w:val="8"/>
                <w:lang w:val="en-US"/>
              </w:rPr>
            </w:pPr>
          </w:p>
        </w:tc>
      </w:tr>
      <w:tr w:rsidR="00AC74AF" w:rsidRPr="00433D3E" w14:paraId="11A01AE5" w14:textId="77777777" w:rsidTr="00CC78AD">
        <w:tc>
          <w:tcPr>
            <w:tcW w:w="5000" w:type="pct"/>
            <w:gridSpan w:val="2"/>
            <w:shd w:val="clear" w:color="auto" w:fill="00B050"/>
            <w:tcMar>
              <w:top w:w="57" w:type="dxa"/>
              <w:bottom w:w="57" w:type="dxa"/>
            </w:tcMar>
          </w:tcPr>
          <w:p w14:paraId="7EAEC3F2" w14:textId="77777777" w:rsidR="00AC74AF" w:rsidRPr="0021490D" w:rsidRDefault="00AC74AF" w:rsidP="00CC78AD">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Pr>
                <w:rFonts w:cs="Arial"/>
                <w:b/>
                <w:bCs/>
                <w:i/>
                <w:iCs/>
                <w:color w:val="FFFFFF"/>
                <w:sz w:val="22"/>
                <w:szCs w:val="20"/>
                <w:lang w:val="en-US"/>
              </w:rPr>
              <w:t xml:space="preserve">UK or </w:t>
            </w:r>
            <w:r w:rsidRPr="00433D3E">
              <w:rPr>
                <w:rFonts w:cs="Arial"/>
                <w:b/>
                <w:bCs/>
                <w:i/>
                <w:iCs/>
                <w:color w:val="FFFFFF"/>
                <w:sz w:val="22"/>
                <w:szCs w:val="20"/>
                <w:lang w:val="en-US"/>
              </w:rPr>
              <w:t>EU</w:t>
            </w:r>
            <w:r>
              <w:rPr>
                <w:rFonts w:cs="Arial"/>
                <w:b/>
                <w:bCs/>
                <w:i/>
                <w:iCs/>
                <w:color w:val="FFFFFF"/>
                <w:sz w:val="22"/>
                <w:szCs w:val="20"/>
                <w:lang w:val="en-US"/>
              </w:rPr>
              <w:t xml:space="preserve"> </w:t>
            </w:r>
            <w:r w:rsidRPr="0021490D">
              <w:rPr>
                <w:rFonts w:cs="Arial"/>
                <w:b/>
                <w:bCs/>
                <w:color w:val="FFFFFF"/>
                <w:sz w:val="16"/>
                <w:szCs w:val="14"/>
                <w:lang w:val="en-US"/>
              </w:rPr>
              <w:t>(continued)</w:t>
            </w:r>
          </w:p>
        </w:tc>
      </w:tr>
      <w:tr w:rsidR="00706657" w:rsidRPr="00A075A3" w14:paraId="1B4FBCEA" w14:textId="77777777" w:rsidTr="00AC74AF">
        <w:tc>
          <w:tcPr>
            <w:tcW w:w="1024" w:type="pct"/>
            <w:shd w:val="clear" w:color="auto" w:fill="auto"/>
            <w:tcMar>
              <w:top w:w="57" w:type="dxa"/>
              <w:bottom w:w="57" w:type="dxa"/>
            </w:tcMar>
          </w:tcPr>
          <w:p w14:paraId="73687658" w14:textId="453AABB5" w:rsidR="00706657" w:rsidRDefault="00706657" w:rsidP="00706657">
            <w:pPr>
              <w:rPr>
                <w:rFonts w:cs="Arial"/>
                <w:szCs w:val="19"/>
              </w:rPr>
            </w:pPr>
            <w:r>
              <w:rPr>
                <w:rFonts w:cs="Arial"/>
                <w:szCs w:val="19"/>
              </w:rPr>
              <w:t>Rituxima</w:t>
            </w:r>
            <w:r w:rsidRPr="00744FB9">
              <w:rPr>
                <w:rFonts w:cs="Arial"/>
                <w:szCs w:val="19"/>
              </w:rPr>
              <w:t>b biosimilar (</w:t>
            </w:r>
            <w:r w:rsidRPr="00744FB9">
              <w:rPr>
                <w:rFonts w:cs="Arial"/>
                <w:i/>
                <w:iCs/>
                <w:szCs w:val="19"/>
              </w:rPr>
              <w:t>Ituxredi</w:t>
            </w:r>
            <w:r>
              <w:rPr>
                <w:rFonts w:cs="Arial"/>
                <w:szCs w:val="19"/>
              </w:rPr>
              <w:t>)</w:t>
            </w:r>
          </w:p>
        </w:tc>
        <w:tc>
          <w:tcPr>
            <w:tcW w:w="3976" w:type="pct"/>
            <w:shd w:val="clear" w:color="auto" w:fill="auto"/>
            <w:tcMar>
              <w:top w:w="57" w:type="dxa"/>
              <w:bottom w:w="57" w:type="dxa"/>
            </w:tcMar>
          </w:tcPr>
          <w:p w14:paraId="099103E9" w14:textId="76DA1658" w:rsidR="00706657" w:rsidRPr="00B81379" w:rsidRDefault="00706657" w:rsidP="00706657">
            <w:pPr>
              <w:tabs>
                <w:tab w:val="center" w:pos="3152"/>
              </w:tabs>
              <w:rPr>
                <w:rFonts w:cs="Arial"/>
                <w:szCs w:val="19"/>
                <w:lang w:val="en-US"/>
              </w:rPr>
            </w:pPr>
            <w:bookmarkStart w:id="1" w:name="_Hlk173751023"/>
            <w:r w:rsidRPr="00744FB9">
              <w:rPr>
                <w:rFonts w:cs="Arial"/>
                <w:szCs w:val="19"/>
                <w:lang w:val="en-US"/>
              </w:rPr>
              <w:t>Treatment of previously untreated adults with stage III-IV follicular lymphoma in combination with chemotherapy</w:t>
            </w:r>
            <w:r>
              <w:rPr>
                <w:rFonts w:cs="Arial"/>
                <w:szCs w:val="19"/>
                <w:lang w:val="en-US"/>
              </w:rPr>
              <w:t>; m</w:t>
            </w:r>
            <w:r w:rsidRPr="00744FB9">
              <w:rPr>
                <w:rFonts w:cs="Arial"/>
                <w:szCs w:val="19"/>
                <w:lang w:val="en-US"/>
              </w:rPr>
              <w:t>aintenance therapy for the treatment of adult follicular lymphoma patients responding to induction therapy</w:t>
            </w:r>
            <w:r>
              <w:rPr>
                <w:rFonts w:cs="Arial"/>
                <w:szCs w:val="19"/>
                <w:lang w:val="en-US"/>
              </w:rPr>
              <w:t xml:space="preserve">; </w:t>
            </w:r>
            <w:r w:rsidRPr="00744FB9">
              <w:rPr>
                <w:rFonts w:cs="Arial"/>
                <w:szCs w:val="19"/>
                <w:lang w:val="en-US"/>
              </w:rPr>
              <w:t>monotherapy for treatment of adults with stage III-IV follicular lymphoma who are chemoresistant or are in their second or subsequent relapse after chemotherapy</w:t>
            </w:r>
            <w:r>
              <w:rPr>
                <w:rFonts w:cs="Arial"/>
                <w:szCs w:val="19"/>
                <w:lang w:val="en-US"/>
              </w:rPr>
              <w:t xml:space="preserve">; </w:t>
            </w:r>
            <w:r w:rsidRPr="00744FB9">
              <w:rPr>
                <w:rFonts w:cs="Arial"/>
                <w:szCs w:val="19"/>
                <w:lang w:val="en-US"/>
              </w:rPr>
              <w:t>treatment of adults with CD20 positive diffuse large B cell non-Hodgkin’s lymphoma in combination with CHOP (cyclophosphamide, doxorubicin, vincristine, prednisolone) chemotherapy</w:t>
            </w:r>
            <w:r>
              <w:rPr>
                <w:rFonts w:cs="Arial"/>
                <w:szCs w:val="19"/>
                <w:lang w:val="en-US"/>
              </w:rPr>
              <w:t>; use</w:t>
            </w:r>
            <w:r w:rsidRPr="00744FB9">
              <w:rPr>
                <w:rFonts w:cs="Arial"/>
                <w:szCs w:val="19"/>
                <w:lang w:val="en-US"/>
              </w:rPr>
              <w:t xml:space="preserve"> in combination with chemotherapy for the treatment of paediatric patients (aged ≥6 months to </w:t>
            </w:r>
            <w:r>
              <w:rPr>
                <w:rFonts w:cs="Arial"/>
                <w:szCs w:val="19"/>
                <w:lang w:val="en-US"/>
              </w:rPr>
              <w:t>&lt;18</w:t>
            </w:r>
            <w:r w:rsidRPr="00744FB9">
              <w:rPr>
                <w:rFonts w:cs="Arial"/>
                <w:szCs w:val="19"/>
                <w:lang w:val="en-US"/>
              </w:rPr>
              <w:t xml:space="preserve"> years) with previously untreated advanced stage CD20 positive diffuse large B-cell lymphoma, Burkitt lymphoma/Burkitt leukaemia (mature B-cell acute leukaemia) or Burkitt-like lymphoma</w:t>
            </w:r>
            <w:r>
              <w:rPr>
                <w:rFonts w:cs="Arial"/>
                <w:szCs w:val="19"/>
                <w:lang w:val="en-US"/>
              </w:rPr>
              <w:t>; use</w:t>
            </w:r>
            <w:r w:rsidRPr="00744FB9">
              <w:rPr>
                <w:rFonts w:cs="Arial"/>
                <w:szCs w:val="19"/>
                <w:lang w:val="en-US"/>
              </w:rPr>
              <w:t xml:space="preserve"> in combination with chemotherapy for the treatment of patients with previously untreated and relapsed/refractory </w:t>
            </w:r>
            <w:r>
              <w:rPr>
                <w:rFonts w:cs="Arial"/>
                <w:szCs w:val="19"/>
                <w:lang w:val="en-US"/>
              </w:rPr>
              <w:t>chronic lymphocytic leukaemia; use</w:t>
            </w:r>
            <w:r w:rsidRPr="00744FB9">
              <w:rPr>
                <w:rFonts w:cs="Arial"/>
                <w:szCs w:val="19"/>
                <w:lang w:val="en-US"/>
              </w:rPr>
              <w:t xml:space="preserve"> in combination with methotrexate for the treatment of adults with severe active rheumatoid arthritis who have had an inadequate response or intolerance to other disease-modifying anti-rheumatic drugs including one or more tumour necrosis factor inhibitor therapies</w:t>
            </w:r>
            <w:r>
              <w:rPr>
                <w:rFonts w:cs="Arial"/>
                <w:szCs w:val="19"/>
                <w:lang w:val="en-US"/>
              </w:rPr>
              <w:t>; use</w:t>
            </w:r>
            <w:r w:rsidRPr="00744FB9">
              <w:rPr>
                <w:rFonts w:cs="Arial"/>
                <w:szCs w:val="19"/>
                <w:lang w:val="en-US"/>
              </w:rPr>
              <w:t xml:space="preserve"> in combination with glucocorticoids</w:t>
            </w:r>
            <w:r>
              <w:rPr>
                <w:rFonts w:cs="Arial"/>
                <w:szCs w:val="19"/>
                <w:lang w:val="en-US"/>
              </w:rPr>
              <w:t xml:space="preserve"> </w:t>
            </w:r>
            <w:r w:rsidRPr="00744FB9">
              <w:rPr>
                <w:rFonts w:cs="Arial"/>
                <w:szCs w:val="19"/>
                <w:lang w:val="en-US"/>
              </w:rPr>
              <w:t>for the treatment of adults with severe, active granulomatosis with polyangiitis (Wegener’s) (GPA) and microscopic polyangiitis (MPA)</w:t>
            </w:r>
            <w:r>
              <w:rPr>
                <w:rFonts w:cs="Arial"/>
                <w:szCs w:val="19"/>
                <w:lang w:val="en-US"/>
              </w:rPr>
              <w:t>; use</w:t>
            </w:r>
            <w:r w:rsidRPr="00744FB9">
              <w:rPr>
                <w:rFonts w:cs="Arial"/>
                <w:szCs w:val="19"/>
                <w:lang w:val="en-US"/>
              </w:rPr>
              <w:t xml:space="preserve"> in combination with glucocorticoids for the induction of remission in paediatric patients (aged ≥2 to </w:t>
            </w:r>
            <w:r>
              <w:rPr>
                <w:rFonts w:cs="Arial"/>
                <w:szCs w:val="19"/>
                <w:lang w:val="en-US"/>
              </w:rPr>
              <w:t>&lt;18</w:t>
            </w:r>
            <w:r w:rsidRPr="00744FB9">
              <w:rPr>
                <w:rFonts w:cs="Arial"/>
                <w:szCs w:val="19"/>
                <w:lang w:val="en-US"/>
              </w:rPr>
              <w:t xml:space="preserve"> years) with severe, active GPA (Wegener’s) and MPA</w:t>
            </w:r>
            <w:r>
              <w:rPr>
                <w:rFonts w:cs="Arial"/>
                <w:szCs w:val="19"/>
                <w:lang w:val="en-US"/>
              </w:rPr>
              <w:t xml:space="preserve">; </w:t>
            </w:r>
            <w:r w:rsidRPr="00744FB9">
              <w:rPr>
                <w:rFonts w:cs="Arial"/>
                <w:szCs w:val="19"/>
                <w:lang w:val="en-US"/>
              </w:rPr>
              <w:t xml:space="preserve"> treatment of patients with moderate to severe pemphigus vulgaris</w:t>
            </w:r>
            <w:r>
              <w:rPr>
                <w:rFonts w:cs="Arial"/>
                <w:szCs w:val="19"/>
                <w:lang w:val="en-US"/>
              </w:rPr>
              <w:t xml:space="preserve"> </w:t>
            </w:r>
            <w:r w:rsidRPr="00744FB9">
              <w:rPr>
                <w:rFonts w:cs="Arial"/>
                <w:sz w:val="16"/>
                <w:szCs w:val="16"/>
                <w:lang w:val="en-US"/>
              </w:rPr>
              <w:t>[EU]</w:t>
            </w:r>
            <w:bookmarkEnd w:id="1"/>
          </w:p>
        </w:tc>
      </w:tr>
      <w:tr w:rsidR="00706657" w:rsidRPr="00A075A3" w14:paraId="37C9924B" w14:textId="77777777" w:rsidTr="00AC74AF">
        <w:tc>
          <w:tcPr>
            <w:tcW w:w="1024" w:type="pct"/>
            <w:shd w:val="clear" w:color="auto" w:fill="auto"/>
            <w:tcMar>
              <w:top w:w="57" w:type="dxa"/>
              <w:bottom w:w="57" w:type="dxa"/>
            </w:tcMar>
          </w:tcPr>
          <w:p w14:paraId="5D0F2A7B" w14:textId="2C2A192D" w:rsidR="00706657" w:rsidRDefault="00706657" w:rsidP="00706657">
            <w:pPr>
              <w:rPr>
                <w:rFonts w:cs="Arial"/>
                <w:szCs w:val="19"/>
              </w:rPr>
            </w:pPr>
            <w:r>
              <w:rPr>
                <w:rFonts w:cs="Arial"/>
                <w:szCs w:val="19"/>
              </w:rPr>
              <w:t>Spesolimab (</w:t>
            </w:r>
            <w:r>
              <w:rPr>
                <w:rFonts w:cs="Arial"/>
                <w:i/>
                <w:iCs/>
                <w:szCs w:val="19"/>
              </w:rPr>
              <w:t>Spevigo</w:t>
            </w:r>
            <w:r>
              <w:rPr>
                <w:rFonts w:cs="Arial"/>
                <w:szCs w:val="19"/>
              </w:rPr>
              <w:t>)</w:t>
            </w:r>
          </w:p>
        </w:tc>
        <w:tc>
          <w:tcPr>
            <w:tcW w:w="3976" w:type="pct"/>
            <w:shd w:val="clear" w:color="auto" w:fill="auto"/>
            <w:tcMar>
              <w:top w:w="57" w:type="dxa"/>
              <w:bottom w:w="57" w:type="dxa"/>
            </w:tcMar>
          </w:tcPr>
          <w:p w14:paraId="29DDA9D8" w14:textId="6614A791" w:rsidR="00706657" w:rsidRPr="00B81379" w:rsidRDefault="00706657" w:rsidP="00706657">
            <w:pPr>
              <w:tabs>
                <w:tab w:val="center" w:pos="3152"/>
              </w:tabs>
              <w:rPr>
                <w:rFonts w:cs="Arial"/>
                <w:szCs w:val="19"/>
                <w:lang w:val="en-US"/>
              </w:rPr>
            </w:pPr>
            <w:r>
              <w:rPr>
                <w:rFonts w:cs="Arial"/>
                <w:szCs w:val="19"/>
                <w:lang w:val="en-US"/>
              </w:rPr>
              <w:t>P</w:t>
            </w:r>
            <w:r w:rsidRPr="00B81379">
              <w:rPr>
                <w:rFonts w:cs="Arial"/>
                <w:szCs w:val="19"/>
                <w:lang w:val="en-US"/>
              </w:rPr>
              <w:t xml:space="preserve">revention of generalised pustular psoriasis flares in adults and adolescents </w:t>
            </w:r>
            <w:r>
              <w:rPr>
                <w:rFonts w:cs="Arial"/>
                <w:szCs w:val="19"/>
                <w:lang w:val="en-US"/>
              </w:rPr>
              <w:t>aged ≥</w:t>
            </w:r>
            <w:r w:rsidRPr="00B81379">
              <w:rPr>
                <w:rFonts w:cs="Arial"/>
                <w:szCs w:val="19"/>
                <w:lang w:val="en-US"/>
              </w:rPr>
              <w:t>12 years</w:t>
            </w:r>
            <w:r>
              <w:rPr>
                <w:rFonts w:cs="Arial"/>
                <w:szCs w:val="19"/>
                <w:lang w:val="en-US"/>
              </w:rPr>
              <w:t xml:space="preserve">. </w:t>
            </w:r>
            <w:r w:rsidRPr="00B81379">
              <w:rPr>
                <w:rFonts w:cs="Arial"/>
                <w:sz w:val="16"/>
                <w:szCs w:val="16"/>
                <w:lang w:val="en-US"/>
              </w:rPr>
              <w:t>[EU] [</w:t>
            </w:r>
            <w:r>
              <w:rPr>
                <w:rFonts w:cs="Arial"/>
                <w:sz w:val="16"/>
                <w:szCs w:val="16"/>
                <w:lang w:val="en-US"/>
              </w:rPr>
              <w:t>new indication</w:t>
            </w:r>
            <w:r w:rsidRPr="00B81379">
              <w:rPr>
                <w:rFonts w:cs="Arial"/>
                <w:sz w:val="16"/>
                <w:szCs w:val="16"/>
                <w:lang w:val="en-US"/>
              </w:rPr>
              <w:t>]</w:t>
            </w:r>
          </w:p>
        </w:tc>
      </w:tr>
      <w:tr w:rsidR="00706657" w:rsidRPr="00A075A3" w14:paraId="6F31100C" w14:textId="77777777" w:rsidTr="00AC74AF">
        <w:tc>
          <w:tcPr>
            <w:tcW w:w="1024" w:type="pct"/>
            <w:shd w:val="clear" w:color="auto" w:fill="auto"/>
            <w:tcMar>
              <w:top w:w="57" w:type="dxa"/>
              <w:bottom w:w="57" w:type="dxa"/>
            </w:tcMar>
          </w:tcPr>
          <w:p w14:paraId="1DABEAA9" w14:textId="77777777" w:rsidR="00706657" w:rsidRDefault="00706657" w:rsidP="00706657">
            <w:pPr>
              <w:rPr>
                <w:rFonts w:cs="Arial"/>
                <w:szCs w:val="19"/>
              </w:rPr>
            </w:pPr>
            <w:r>
              <w:rPr>
                <w:rFonts w:cs="Arial"/>
                <w:szCs w:val="19"/>
              </w:rPr>
              <w:t>Spesolimab (</w:t>
            </w:r>
            <w:r>
              <w:rPr>
                <w:rFonts w:cs="Arial"/>
                <w:i/>
                <w:iCs/>
                <w:szCs w:val="19"/>
              </w:rPr>
              <w:t>Spevigo</w:t>
            </w:r>
            <w:r>
              <w:rPr>
                <w:rFonts w:cs="Arial"/>
                <w:szCs w:val="19"/>
              </w:rPr>
              <w:t>)</w:t>
            </w:r>
          </w:p>
        </w:tc>
        <w:tc>
          <w:tcPr>
            <w:tcW w:w="3976" w:type="pct"/>
            <w:shd w:val="clear" w:color="auto" w:fill="auto"/>
            <w:tcMar>
              <w:top w:w="57" w:type="dxa"/>
              <w:bottom w:w="57" w:type="dxa"/>
            </w:tcMar>
          </w:tcPr>
          <w:p w14:paraId="6756275D" w14:textId="77777777" w:rsidR="00706657" w:rsidRPr="00B81379" w:rsidRDefault="00706657" w:rsidP="00706657">
            <w:pPr>
              <w:tabs>
                <w:tab w:val="center" w:pos="3152"/>
              </w:tabs>
              <w:rPr>
                <w:rFonts w:cs="Arial"/>
                <w:szCs w:val="19"/>
                <w:lang w:val="en-US"/>
              </w:rPr>
            </w:pPr>
            <w:r w:rsidRPr="00B81379">
              <w:rPr>
                <w:rFonts w:cs="Arial"/>
                <w:szCs w:val="19"/>
                <w:lang w:val="en-US"/>
              </w:rPr>
              <w:t xml:space="preserve">Treatment of generalised pustular psoriasis flares in adults and adolescents </w:t>
            </w:r>
            <w:r>
              <w:rPr>
                <w:rFonts w:cs="Arial"/>
                <w:szCs w:val="19"/>
                <w:lang w:val="en-US"/>
              </w:rPr>
              <w:t>aged ≥</w:t>
            </w:r>
            <w:r w:rsidRPr="00B81379">
              <w:rPr>
                <w:rFonts w:cs="Arial"/>
                <w:szCs w:val="19"/>
                <w:lang w:val="en-US"/>
              </w:rPr>
              <w:t>12 years as monotherapy</w:t>
            </w:r>
            <w:r>
              <w:rPr>
                <w:rFonts w:cs="Arial"/>
                <w:szCs w:val="19"/>
                <w:lang w:val="en-US"/>
              </w:rPr>
              <w:t xml:space="preserve"> </w:t>
            </w:r>
            <w:r w:rsidRPr="00B81379">
              <w:rPr>
                <w:rFonts w:cs="Arial"/>
                <w:sz w:val="16"/>
                <w:szCs w:val="16"/>
                <w:lang w:val="en-US"/>
              </w:rPr>
              <w:t>[EU] [licence change from use only in adults]</w:t>
            </w:r>
          </w:p>
        </w:tc>
      </w:tr>
      <w:tr w:rsidR="00706657" w:rsidRPr="00A075A3" w14:paraId="1839ACF1" w14:textId="77777777" w:rsidTr="00AC74AF">
        <w:tc>
          <w:tcPr>
            <w:tcW w:w="1024" w:type="pct"/>
            <w:shd w:val="clear" w:color="auto" w:fill="auto"/>
            <w:tcMar>
              <w:top w:w="57" w:type="dxa"/>
              <w:bottom w:w="57" w:type="dxa"/>
            </w:tcMar>
          </w:tcPr>
          <w:p w14:paraId="48418077" w14:textId="77777777" w:rsidR="00706657" w:rsidRPr="00813950" w:rsidRDefault="00706657" w:rsidP="00706657">
            <w:pPr>
              <w:rPr>
                <w:rFonts w:cs="Arial"/>
                <w:szCs w:val="19"/>
              </w:rPr>
            </w:pPr>
            <w:r w:rsidRPr="009770B0">
              <w:rPr>
                <w:rFonts w:cs="Arial"/>
                <w:szCs w:val="19"/>
              </w:rPr>
              <w:t>Toripalimab</w:t>
            </w:r>
            <w:r>
              <w:rPr>
                <w:rFonts w:cs="Arial"/>
                <w:szCs w:val="19"/>
              </w:rPr>
              <w:t xml:space="preserve"> (</w:t>
            </w:r>
            <w:r w:rsidRPr="009770B0">
              <w:rPr>
                <w:rFonts w:cs="Arial"/>
                <w:i/>
                <w:iCs/>
                <w:szCs w:val="19"/>
              </w:rPr>
              <w:t>Loqtorzi</w:t>
            </w:r>
            <w:r>
              <w:rPr>
                <w:rFonts w:cs="Arial"/>
                <w:szCs w:val="19"/>
              </w:rPr>
              <w:t>)</w:t>
            </w:r>
          </w:p>
        </w:tc>
        <w:tc>
          <w:tcPr>
            <w:tcW w:w="3976" w:type="pct"/>
            <w:shd w:val="clear" w:color="auto" w:fill="auto"/>
            <w:tcMar>
              <w:top w:w="57" w:type="dxa"/>
              <w:bottom w:w="57" w:type="dxa"/>
            </w:tcMar>
          </w:tcPr>
          <w:p w14:paraId="13EA227C" w14:textId="77777777" w:rsidR="00706657" w:rsidRPr="00A075A3" w:rsidRDefault="00706657" w:rsidP="00706657">
            <w:pPr>
              <w:tabs>
                <w:tab w:val="center" w:pos="3152"/>
              </w:tabs>
              <w:rPr>
                <w:rFonts w:cs="Arial"/>
                <w:szCs w:val="19"/>
                <w:lang w:val="en-US"/>
              </w:rPr>
            </w:pPr>
            <w:r>
              <w:rPr>
                <w:rFonts w:cs="Arial"/>
                <w:szCs w:val="19"/>
                <w:lang w:val="en-US"/>
              </w:rPr>
              <w:t xml:space="preserve">Use </w:t>
            </w:r>
            <w:r w:rsidRPr="009770B0">
              <w:rPr>
                <w:rFonts w:cs="Arial"/>
                <w:szCs w:val="19"/>
                <w:lang w:val="en-US"/>
              </w:rPr>
              <w:t>in combination with cisplatin and gemcitabine, for the first-line treatment of adults with recurrent, not amenable to surgery or radiotherapy, or metastatic nasopharyngeal carcinoma</w:t>
            </w:r>
            <w:r>
              <w:rPr>
                <w:rFonts w:cs="Arial"/>
                <w:szCs w:val="19"/>
                <w:lang w:val="en-US"/>
              </w:rPr>
              <w:t xml:space="preserve"> </w:t>
            </w:r>
            <w:r w:rsidRPr="006C5B20">
              <w:rPr>
                <w:rFonts w:cs="Arial"/>
                <w:sz w:val="16"/>
                <w:szCs w:val="16"/>
                <w:lang w:val="en-US"/>
              </w:rPr>
              <w:t>[EU]</w:t>
            </w:r>
          </w:p>
        </w:tc>
      </w:tr>
      <w:tr w:rsidR="00706657" w:rsidRPr="00A075A3" w14:paraId="5D27A467" w14:textId="77777777" w:rsidTr="00AC74AF">
        <w:tc>
          <w:tcPr>
            <w:tcW w:w="1024" w:type="pct"/>
            <w:shd w:val="clear" w:color="auto" w:fill="auto"/>
            <w:tcMar>
              <w:top w:w="57" w:type="dxa"/>
              <w:bottom w:w="57" w:type="dxa"/>
            </w:tcMar>
          </w:tcPr>
          <w:p w14:paraId="77AC4E5F" w14:textId="77777777" w:rsidR="00706657" w:rsidRPr="00813950" w:rsidRDefault="00706657" w:rsidP="00706657">
            <w:pPr>
              <w:rPr>
                <w:rFonts w:cs="Arial"/>
                <w:szCs w:val="19"/>
              </w:rPr>
            </w:pPr>
            <w:r w:rsidRPr="009770B0">
              <w:rPr>
                <w:rFonts w:cs="Arial"/>
                <w:szCs w:val="19"/>
              </w:rPr>
              <w:t>Toripalimab</w:t>
            </w:r>
            <w:r>
              <w:rPr>
                <w:rFonts w:cs="Arial"/>
                <w:szCs w:val="19"/>
              </w:rPr>
              <w:t xml:space="preserve"> (</w:t>
            </w:r>
            <w:r w:rsidRPr="009770B0">
              <w:rPr>
                <w:rFonts w:cs="Arial"/>
                <w:i/>
                <w:iCs/>
                <w:szCs w:val="19"/>
              </w:rPr>
              <w:t>Loqtorzi</w:t>
            </w:r>
            <w:r>
              <w:rPr>
                <w:rFonts w:cs="Arial"/>
                <w:szCs w:val="19"/>
              </w:rPr>
              <w:t>)</w:t>
            </w:r>
          </w:p>
        </w:tc>
        <w:tc>
          <w:tcPr>
            <w:tcW w:w="3976" w:type="pct"/>
            <w:shd w:val="clear" w:color="auto" w:fill="auto"/>
            <w:tcMar>
              <w:top w:w="57" w:type="dxa"/>
              <w:bottom w:w="57" w:type="dxa"/>
            </w:tcMar>
          </w:tcPr>
          <w:p w14:paraId="284794E4" w14:textId="77777777" w:rsidR="00706657" w:rsidRPr="00A075A3" w:rsidRDefault="00706657" w:rsidP="00706657">
            <w:pPr>
              <w:tabs>
                <w:tab w:val="center" w:pos="3152"/>
              </w:tabs>
              <w:rPr>
                <w:rFonts w:cs="Arial"/>
                <w:szCs w:val="19"/>
                <w:lang w:val="en-US"/>
              </w:rPr>
            </w:pPr>
            <w:r>
              <w:rPr>
                <w:rFonts w:cs="Arial"/>
                <w:szCs w:val="19"/>
                <w:lang w:val="en-US"/>
              </w:rPr>
              <w:t xml:space="preserve">Use </w:t>
            </w:r>
            <w:r w:rsidRPr="00DA33A4">
              <w:rPr>
                <w:rFonts w:cs="Arial"/>
                <w:szCs w:val="19"/>
                <w:lang w:val="en-US"/>
              </w:rPr>
              <w:t>in combination with cisplatin and paclitaxel</w:t>
            </w:r>
            <w:r>
              <w:rPr>
                <w:rFonts w:cs="Arial"/>
                <w:szCs w:val="19"/>
                <w:lang w:val="en-US"/>
              </w:rPr>
              <w:t xml:space="preserve"> </w:t>
            </w:r>
            <w:r w:rsidRPr="00DA33A4">
              <w:rPr>
                <w:rFonts w:cs="Arial"/>
                <w:szCs w:val="19"/>
                <w:lang w:val="en-US"/>
              </w:rPr>
              <w:t>for the first-line treatment of adul</w:t>
            </w:r>
            <w:r>
              <w:rPr>
                <w:rFonts w:cs="Arial"/>
                <w:szCs w:val="19"/>
                <w:lang w:val="en-US"/>
              </w:rPr>
              <w:t>t</w:t>
            </w:r>
            <w:r w:rsidRPr="00DA33A4">
              <w:rPr>
                <w:rFonts w:cs="Arial"/>
                <w:szCs w:val="19"/>
                <w:lang w:val="en-US"/>
              </w:rPr>
              <w:t>s with unresectable advanced, recurrent, or metastatic oesophageal squamous cell carcinoma</w:t>
            </w:r>
            <w:r>
              <w:rPr>
                <w:rFonts w:cs="Arial"/>
                <w:szCs w:val="19"/>
                <w:lang w:val="en-US"/>
              </w:rPr>
              <w:t xml:space="preserve"> </w:t>
            </w:r>
            <w:r w:rsidRPr="006C5B20">
              <w:rPr>
                <w:rFonts w:cs="Arial"/>
                <w:sz w:val="16"/>
                <w:szCs w:val="16"/>
                <w:lang w:val="en-US"/>
              </w:rPr>
              <w:t>[EU]</w:t>
            </w:r>
          </w:p>
        </w:tc>
      </w:tr>
      <w:tr w:rsidR="00706657" w:rsidRPr="00A075A3" w14:paraId="69631CCD" w14:textId="77777777" w:rsidTr="00AC74AF">
        <w:tc>
          <w:tcPr>
            <w:tcW w:w="1024" w:type="pct"/>
            <w:shd w:val="clear" w:color="auto" w:fill="auto"/>
            <w:tcMar>
              <w:top w:w="57" w:type="dxa"/>
              <w:bottom w:w="57" w:type="dxa"/>
            </w:tcMar>
          </w:tcPr>
          <w:p w14:paraId="54DAD863" w14:textId="77777777" w:rsidR="00706657" w:rsidRPr="002F2F5A" w:rsidRDefault="00706657" w:rsidP="00706657">
            <w:pPr>
              <w:rPr>
                <w:rFonts w:cs="Arial"/>
                <w:szCs w:val="19"/>
              </w:rPr>
            </w:pPr>
            <w:r>
              <w:rPr>
                <w:rFonts w:cs="Arial"/>
                <w:szCs w:val="19"/>
              </w:rPr>
              <w:t>T</w:t>
            </w:r>
            <w:r w:rsidRPr="002F2F5A">
              <w:rPr>
                <w:rFonts w:cs="Arial"/>
                <w:szCs w:val="19"/>
              </w:rPr>
              <w:t>rastuzumab biosimilar</w:t>
            </w:r>
            <w:r>
              <w:rPr>
                <w:rFonts w:cs="Arial"/>
                <w:szCs w:val="19"/>
              </w:rPr>
              <w:t xml:space="preserve"> (</w:t>
            </w:r>
            <w:r>
              <w:rPr>
                <w:rFonts w:cs="Arial"/>
                <w:i/>
                <w:iCs/>
                <w:szCs w:val="19"/>
              </w:rPr>
              <w:t>Tuznue</w:t>
            </w:r>
            <w:r>
              <w:rPr>
                <w:rFonts w:cs="Arial"/>
                <w:szCs w:val="19"/>
              </w:rPr>
              <w:t>)</w:t>
            </w:r>
          </w:p>
        </w:tc>
        <w:tc>
          <w:tcPr>
            <w:tcW w:w="3976" w:type="pct"/>
            <w:shd w:val="clear" w:color="auto" w:fill="auto"/>
            <w:tcMar>
              <w:top w:w="57" w:type="dxa"/>
              <w:bottom w:w="57" w:type="dxa"/>
            </w:tcMar>
          </w:tcPr>
          <w:p w14:paraId="6AAC270D" w14:textId="08ABD56D" w:rsidR="00706657" w:rsidRPr="00583E85" w:rsidRDefault="00706657" w:rsidP="00706657">
            <w:pPr>
              <w:tabs>
                <w:tab w:val="center" w:pos="3152"/>
              </w:tabs>
              <w:rPr>
                <w:rFonts w:cs="Arial"/>
                <w:szCs w:val="19"/>
                <w:lang w:val="en-US"/>
              </w:rPr>
            </w:pPr>
            <w:bookmarkStart w:id="2" w:name="_Hlk173749936"/>
            <w:r>
              <w:rPr>
                <w:rFonts w:cs="Arial"/>
                <w:szCs w:val="19"/>
                <w:lang w:val="en-US"/>
              </w:rPr>
              <w:t>T</w:t>
            </w:r>
            <w:r w:rsidRPr="002F2F5A">
              <w:rPr>
                <w:rFonts w:cs="Arial"/>
                <w:szCs w:val="19"/>
                <w:lang w:val="en-US"/>
              </w:rPr>
              <w:t>reatment of adults with HER2 positive metastatic breast cancer</w:t>
            </w:r>
            <w:r>
              <w:rPr>
                <w:rFonts w:cs="Arial"/>
                <w:szCs w:val="19"/>
                <w:lang w:val="en-US"/>
              </w:rPr>
              <w:t xml:space="preserve"> as </w:t>
            </w:r>
            <w:r w:rsidRPr="002F2F5A">
              <w:rPr>
                <w:rFonts w:cs="Arial"/>
                <w:szCs w:val="19"/>
                <w:lang w:val="en-US"/>
              </w:rPr>
              <w:t>monotherapy for the treatment of those patients who have received at least two chemotherapy regimens for their metastatic disease</w:t>
            </w:r>
            <w:r>
              <w:rPr>
                <w:rFonts w:cs="Arial"/>
                <w:szCs w:val="19"/>
                <w:lang w:val="en-US"/>
              </w:rPr>
              <w:t xml:space="preserve"> (p</w:t>
            </w:r>
            <w:r w:rsidRPr="002F2F5A">
              <w:rPr>
                <w:rFonts w:cs="Arial"/>
                <w:szCs w:val="19"/>
                <w:lang w:val="en-US"/>
              </w:rPr>
              <w:t>rior chemotherapy must have included at least an anthracycline and a taxane unless patients are unsuitable for these treatments. Hormone receptor positive patients must also have failed hormonal therapy, unless patients are unsuitable for these treatments</w:t>
            </w:r>
            <w:r>
              <w:rPr>
                <w:rFonts w:cs="Arial"/>
                <w:szCs w:val="19"/>
                <w:lang w:val="en-US"/>
              </w:rPr>
              <w:t xml:space="preserve">), </w:t>
            </w:r>
            <w:r w:rsidRPr="002F2F5A">
              <w:rPr>
                <w:rFonts w:cs="Arial"/>
                <w:szCs w:val="19"/>
                <w:lang w:val="en-US"/>
              </w:rPr>
              <w:t>in combination with paclitaxel for the treatment of those patients who have not received chemotherapy for their metastatic disease and for whom an anthracycline is not suitable</w:t>
            </w:r>
            <w:r>
              <w:rPr>
                <w:rFonts w:cs="Arial"/>
                <w:szCs w:val="19"/>
                <w:lang w:val="en-US"/>
              </w:rPr>
              <w:t xml:space="preserve">, </w:t>
            </w:r>
            <w:r w:rsidRPr="002F2F5A">
              <w:rPr>
                <w:rFonts w:cs="Arial"/>
                <w:szCs w:val="19"/>
                <w:lang w:val="en-US"/>
              </w:rPr>
              <w:t>in combination with docetaxel for the treatment of those patients who have not received chemotherapy for their metastatic disease</w:t>
            </w:r>
            <w:r>
              <w:rPr>
                <w:rFonts w:cs="Arial"/>
                <w:szCs w:val="19"/>
                <w:lang w:val="en-US"/>
              </w:rPr>
              <w:t xml:space="preserve">, </w:t>
            </w:r>
            <w:r w:rsidRPr="002F2F5A">
              <w:rPr>
                <w:rFonts w:cs="Arial"/>
                <w:szCs w:val="19"/>
                <w:lang w:val="en-US"/>
              </w:rPr>
              <w:t>in combination with an aromatase inhibitor for the treatment of postmenopausal patients with hormone-receptor positive MBC, not previously treated with trastuzumab.</w:t>
            </w:r>
            <w:r>
              <w:rPr>
                <w:rFonts w:cs="Arial"/>
                <w:szCs w:val="19"/>
                <w:lang w:val="en-US"/>
              </w:rPr>
              <w:t xml:space="preserve"> Also </w:t>
            </w:r>
            <w:r w:rsidRPr="002F2F5A">
              <w:rPr>
                <w:rFonts w:cs="Arial"/>
                <w:szCs w:val="19"/>
                <w:lang w:val="en-US"/>
              </w:rPr>
              <w:t>treatment of adults with HER2 positive early breast cancer following surgery, chemotherapy (neoadjuvant or adjuvant) and radiotherapy (if applicable)</w:t>
            </w:r>
            <w:r>
              <w:rPr>
                <w:rFonts w:cs="Arial"/>
                <w:szCs w:val="19"/>
                <w:lang w:val="en-US"/>
              </w:rPr>
              <w:t xml:space="preserve">, </w:t>
            </w:r>
            <w:r w:rsidRPr="002F2F5A">
              <w:rPr>
                <w:rFonts w:cs="Arial"/>
                <w:szCs w:val="19"/>
                <w:lang w:val="en-US"/>
              </w:rPr>
              <w:t>following adjuvant chemotherapy with doxorubicin and cyclophosphamide, in combination with paclitaxel or docetaxel</w:t>
            </w:r>
            <w:r>
              <w:rPr>
                <w:rFonts w:cs="Arial"/>
                <w:szCs w:val="19"/>
                <w:lang w:val="en-US"/>
              </w:rPr>
              <w:t xml:space="preserve">, </w:t>
            </w:r>
            <w:r w:rsidRPr="002F2F5A">
              <w:rPr>
                <w:rFonts w:cs="Arial"/>
                <w:szCs w:val="19"/>
                <w:lang w:val="en-US"/>
              </w:rPr>
              <w:t>in combination with adjuvant chemotherapy consisting of docetaxel and carboplatin</w:t>
            </w:r>
            <w:r>
              <w:rPr>
                <w:rFonts w:cs="Arial"/>
                <w:szCs w:val="19"/>
                <w:lang w:val="en-US"/>
              </w:rPr>
              <w:t xml:space="preserve">, </w:t>
            </w:r>
            <w:r w:rsidRPr="002F2F5A">
              <w:rPr>
                <w:rFonts w:cs="Arial"/>
                <w:szCs w:val="19"/>
                <w:lang w:val="en-US"/>
              </w:rPr>
              <w:t xml:space="preserve">in combination with neoadjuvant chemotherapy followed by adjuvant </w:t>
            </w:r>
            <w:r w:rsidRPr="002F2F5A">
              <w:rPr>
                <w:rFonts w:cs="Arial"/>
                <w:i/>
                <w:iCs/>
                <w:szCs w:val="19"/>
                <w:lang w:val="en-US"/>
              </w:rPr>
              <w:t>Tuznue</w:t>
            </w:r>
            <w:r w:rsidRPr="002F2F5A">
              <w:rPr>
                <w:rFonts w:cs="Arial"/>
                <w:szCs w:val="19"/>
                <w:lang w:val="en-US"/>
              </w:rPr>
              <w:t xml:space="preserve"> therapy, for locally advanced (including inflammatory) disease or tumours &gt;2cm in diameter</w:t>
            </w:r>
            <w:r>
              <w:rPr>
                <w:rFonts w:cs="Arial"/>
                <w:szCs w:val="19"/>
                <w:lang w:val="en-US"/>
              </w:rPr>
              <w:t>. Also use i</w:t>
            </w:r>
            <w:r w:rsidRPr="002F2F5A">
              <w:rPr>
                <w:rFonts w:cs="Arial"/>
                <w:szCs w:val="19"/>
                <w:lang w:val="en-US"/>
              </w:rPr>
              <w:t>n combination with capecitabine or 5-fluorouracil and cisplatin for the treatment of adults with HER2 positive metastatic adenocarcinoma of the stomach or gastro-esophageal junction who have not received prior anti-cancer treatment for their metastatic disease.</w:t>
            </w:r>
            <w:r>
              <w:rPr>
                <w:rFonts w:cs="Arial"/>
                <w:szCs w:val="19"/>
                <w:lang w:val="en-US"/>
              </w:rPr>
              <w:t xml:space="preserve"> </w:t>
            </w:r>
            <w:r w:rsidRPr="006C5B20">
              <w:rPr>
                <w:rFonts w:cs="Arial"/>
                <w:sz w:val="16"/>
                <w:szCs w:val="16"/>
                <w:lang w:val="en-US"/>
              </w:rPr>
              <w:t>[EU]</w:t>
            </w:r>
            <w:bookmarkEnd w:id="2"/>
          </w:p>
        </w:tc>
      </w:tr>
      <w:tr w:rsidR="00706657" w:rsidRPr="000F19E1" w14:paraId="2C13F4E1" w14:textId="77777777" w:rsidTr="00AC74AF">
        <w:tc>
          <w:tcPr>
            <w:tcW w:w="1024" w:type="pct"/>
            <w:shd w:val="clear" w:color="auto" w:fill="auto"/>
            <w:tcMar>
              <w:top w:w="0" w:type="dxa"/>
              <w:bottom w:w="0" w:type="dxa"/>
            </w:tcMar>
          </w:tcPr>
          <w:p w14:paraId="1600F15C" w14:textId="77777777" w:rsidR="00706657" w:rsidRPr="000F19E1" w:rsidRDefault="00706657" w:rsidP="00706657">
            <w:pPr>
              <w:rPr>
                <w:rFonts w:cs="Arial"/>
                <w:bCs/>
                <w:sz w:val="8"/>
                <w:szCs w:val="8"/>
              </w:rPr>
            </w:pPr>
          </w:p>
        </w:tc>
        <w:tc>
          <w:tcPr>
            <w:tcW w:w="3976" w:type="pct"/>
            <w:shd w:val="clear" w:color="auto" w:fill="auto"/>
            <w:tcMar>
              <w:top w:w="0" w:type="dxa"/>
              <w:bottom w:w="0" w:type="dxa"/>
            </w:tcMar>
          </w:tcPr>
          <w:p w14:paraId="3D381896" w14:textId="77777777" w:rsidR="00706657" w:rsidRPr="000F19E1" w:rsidRDefault="00706657" w:rsidP="00706657">
            <w:pPr>
              <w:tabs>
                <w:tab w:val="center" w:pos="3152"/>
              </w:tabs>
              <w:rPr>
                <w:rFonts w:cs="Arial"/>
                <w:sz w:val="8"/>
                <w:szCs w:val="8"/>
                <w:lang w:val="en-US"/>
              </w:rPr>
            </w:pPr>
          </w:p>
        </w:tc>
      </w:tr>
      <w:tr w:rsidR="00706657" w:rsidRPr="000F19E1" w14:paraId="79F4D1CB" w14:textId="77777777" w:rsidTr="00AC74AF">
        <w:tc>
          <w:tcPr>
            <w:tcW w:w="1024" w:type="pct"/>
            <w:shd w:val="clear" w:color="auto" w:fill="DAEEF3"/>
            <w:tcMar>
              <w:top w:w="0" w:type="dxa"/>
              <w:bottom w:w="0" w:type="dxa"/>
            </w:tcMar>
          </w:tcPr>
          <w:p w14:paraId="14A63308" w14:textId="77777777" w:rsidR="00706657" w:rsidRPr="000F19E1" w:rsidRDefault="00706657" w:rsidP="00706657">
            <w:pPr>
              <w:rPr>
                <w:rFonts w:cs="Arial"/>
                <w:bCs/>
                <w:sz w:val="8"/>
                <w:szCs w:val="8"/>
              </w:rPr>
            </w:pPr>
          </w:p>
        </w:tc>
        <w:tc>
          <w:tcPr>
            <w:tcW w:w="3976" w:type="pct"/>
            <w:shd w:val="clear" w:color="auto" w:fill="DAEEF3"/>
            <w:tcMar>
              <w:top w:w="0" w:type="dxa"/>
              <w:bottom w:w="0" w:type="dxa"/>
            </w:tcMar>
          </w:tcPr>
          <w:p w14:paraId="470084D6" w14:textId="77777777" w:rsidR="00706657" w:rsidRPr="000F19E1" w:rsidRDefault="00706657" w:rsidP="00706657">
            <w:pPr>
              <w:tabs>
                <w:tab w:val="center" w:pos="3152"/>
              </w:tabs>
              <w:rPr>
                <w:rFonts w:cs="Arial"/>
                <w:sz w:val="8"/>
                <w:szCs w:val="8"/>
                <w:lang w:val="en-US"/>
              </w:rPr>
            </w:pPr>
          </w:p>
        </w:tc>
      </w:tr>
    </w:tbl>
    <w:p w14:paraId="3A5C7BE8" w14:textId="77777777" w:rsidR="00706657" w:rsidRDefault="00706657"/>
    <w:p w14:paraId="6C8DC0CD" w14:textId="588BF1D0" w:rsidR="00706657" w:rsidRDefault="00706657">
      <w:r>
        <w:br w:type="page"/>
      </w:r>
    </w:p>
    <w:p w14:paraId="4616B10E" w14:textId="77777777" w:rsidR="00706657" w:rsidRDefault="00706657"/>
    <w:tbl>
      <w:tblPr>
        <w:tblW w:w="5170" w:type="pct"/>
        <w:tblInd w:w="-176" w:type="dxa"/>
        <w:tblLayout w:type="fixed"/>
        <w:tblLook w:val="01E0" w:firstRow="1" w:lastRow="1" w:firstColumn="1" w:lastColumn="1" w:noHBand="0" w:noVBand="0"/>
      </w:tblPr>
      <w:tblGrid>
        <w:gridCol w:w="2302"/>
        <w:gridCol w:w="8249"/>
      </w:tblGrid>
      <w:tr w:rsidR="00706657" w:rsidRPr="00862949" w14:paraId="160E9D15" w14:textId="77777777" w:rsidTr="005E6F7A">
        <w:tc>
          <w:tcPr>
            <w:tcW w:w="5000" w:type="pct"/>
            <w:gridSpan w:val="2"/>
            <w:shd w:val="clear" w:color="auto" w:fill="0070C0"/>
            <w:tcMar>
              <w:top w:w="85" w:type="dxa"/>
              <w:bottom w:w="85" w:type="dxa"/>
            </w:tcMar>
            <w:vAlign w:val="bottom"/>
          </w:tcPr>
          <w:p w14:paraId="152A626D" w14:textId="77777777" w:rsidR="00706657" w:rsidRPr="00862949" w:rsidRDefault="00706657" w:rsidP="005E6F7A">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706657" w:rsidRPr="000F19E1" w14:paraId="78AD32BF" w14:textId="77777777" w:rsidTr="00A15137">
        <w:tc>
          <w:tcPr>
            <w:tcW w:w="1091" w:type="pct"/>
            <w:shd w:val="clear" w:color="auto" w:fill="DAEEF3"/>
            <w:tcMar>
              <w:top w:w="0" w:type="dxa"/>
              <w:bottom w:w="0" w:type="dxa"/>
            </w:tcMar>
          </w:tcPr>
          <w:p w14:paraId="49ACEBEC" w14:textId="77777777" w:rsidR="00706657" w:rsidRPr="000F19E1" w:rsidRDefault="00706657" w:rsidP="005E6F7A">
            <w:pPr>
              <w:rPr>
                <w:rFonts w:cs="Arial"/>
                <w:bCs/>
                <w:sz w:val="8"/>
                <w:szCs w:val="8"/>
              </w:rPr>
            </w:pPr>
          </w:p>
        </w:tc>
        <w:tc>
          <w:tcPr>
            <w:tcW w:w="3909" w:type="pct"/>
            <w:shd w:val="clear" w:color="auto" w:fill="DAEEF3"/>
            <w:tcMar>
              <w:top w:w="0" w:type="dxa"/>
              <w:bottom w:w="0" w:type="dxa"/>
            </w:tcMar>
          </w:tcPr>
          <w:p w14:paraId="09E3868B" w14:textId="77777777" w:rsidR="00706657" w:rsidRPr="000F19E1" w:rsidRDefault="00706657" w:rsidP="005E6F7A">
            <w:pPr>
              <w:tabs>
                <w:tab w:val="center" w:pos="3152"/>
              </w:tabs>
              <w:rPr>
                <w:rFonts w:cs="Arial"/>
                <w:sz w:val="8"/>
                <w:szCs w:val="8"/>
                <w:lang w:val="en-US"/>
              </w:rPr>
            </w:pPr>
          </w:p>
        </w:tc>
      </w:tr>
      <w:tr w:rsidR="00706657" w:rsidRPr="00433D3E" w14:paraId="129FF928" w14:textId="77777777" w:rsidTr="005E6F7A">
        <w:tc>
          <w:tcPr>
            <w:tcW w:w="5000" w:type="pct"/>
            <w:gridSpan w:val="2"/>
            <w:shd w:val="clear" w:color="auto" w:fill="00B050"/>
            <w:tcMar>
              <w:top w:w="57" w:type="dxa"/>
              <w:bottom w:w="57" w:type="dxa"/>
            </w:tcMar>
          </w:tcPr>
          <w:p w14:paraId="2780C8B1" w14:textId="77777777" w:rsidR="00706657" w:rsidRPr="0021490D" w:rsidRDefault="00706657" w:rsidP="005E6F7A">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Pr>
                <w:rFonts w:cs="Arial"/>
                <w:b/>
                <w:bCs/>
                <w:i/>
                <w:iCs/>
                <w:color w:val="FFFFFF"/>
                <w:sz w:val="22"/>
                <w:szCs w:val="20"/>
                <w:lang w:val="en-US"/>
              </w:rPr>
              <w:t xml:space="preserve">UK or </w:t>
            </w:r>
            <w:r w:rsidRPr="00433D3E">
              <w:rPr>
                <w:rFonts w:cs="Arial"/>
                <w:b/>
                <w:bCs/>
                <w:i/>
                <w:iCs/>
                <w:color w:val="FFFFFF"/>
                <w:sz w:val="22"/>
                <w:szCs w:val="20"/>
                <w:lang w:val="en-US"/>
              </w:rPr>
              <w:t>EU</w:t>
            </w:r>
            <w:r>
              <w:rPr>
                <w:rFonts w:cs="Arial"/>
                <w:b/>
                <w:bCs/>
                <w:i/>
                <w:iCs/>
                <w:color w:val="FFFFFF"/>
                <w:sz w:val="22"/>
                <w:szCs w:val="20"/>
                <w:lang w:val="en-US"/>
              </w:rPr>
              <w:t xml:space="preserve"> </w:t>
            </w:r>
            <w:r w:rsidRPr="0021490D">
              <w:rPr>
                <w:rFonts w:cs="Arial"/>
                <w:b/>
                <w:bCs/>
                <w:color w:val="FFFFFF"/>
                <w:sz w:val="16"/>
                <w:szCs w:val="14"/>
                <w:lang w:val="en-US"/>
              </w:rPr>
              <w:t>(continued)</w:t>
            </w:r>
          </w:p>
        </w:tc>
      </w:tr>
      <w:tr w:rsidR="00706657" w:rsidRPr="00A075A3" w14:paraId="45B8C5DF" w14:textId="77777777" w:rsidTr="00A15137">
        <w:tc>
          <w:tcPr>
            <w:tcW w:w="1091" w:type="pct"/>
            <w:shd w:val="clear" w:color="auto" w:fill="auto"/>
            <w:tcMar>
              <w:top w:w="57" w:type="dxa"/>
              <w:bottom w:w="57" w:type="dxa"/>
            </w:tcMar>
          </w:tcPr>
          <w:p w14:paraId="1579ED4E" w14:textId="77777777" w:rsidR="00706657" w:rsidRPr="00583E85" w:rsidRDefault="00706657" w:rsidP="005E6F7A">
            <w:pPr>
              <w:rPr>
                <w:rFonts w:cs="Arial"/>
                <w:szCs w:val="19"/>
              </w:rPr>
            </w:pPr>
            <w:r w:rsidRPr="00583E85">
              <w:rPr>
                <w:rFonts w:cs="Arial"/>
                <w:szCs w:val="19"/>
              </w:rPr>
              <w:t>Ustekinumab biosimilar (</w:t>
            </w:r>
            <w:r>
              <w:rPr>
                <w:rFonts w:cs="Arial"/>
                <w:i/>
                <w:iCs/>
                <w:szCs w:val="19"/>
              </w:rPr>
              <w:t>Fymskina</w:t>
            </w:r>
            <w:r>
              <w:rPr>
                <w:rFonts w:cs="Arial"/>
                <w:szCs w:val="19"/>
              </w:rPr>
              <w:t>)</w:t>
            </w:r>
          </w:p>
        </w:tc>
        <w:tc>
          <w:tcPr>
            <w:tcW w:w="3909" w:type="pct"/>
            <w:shd w:val="clear" w:color="auto" w:fill="auto"/>
            <w:tcMar>
              <w:top w:w="57" w:type="dxa"/>
              <w:bottom w:w="57" w:type="dxa"/>
            </w:tcMar>
          </w:tcPr>
          <w:p w14:paraId="01917EC4" w14:textId="77777777" w:rsidR="00706657" w:rsidRDefault="00706657" w:rsidP="005E6F7A">
            <w:pPr>
              <w:tabs>
                <w:tab w:val="center" w:pos="3152"/>
              </w:tabs>
              <w:rPr>
                <w:rFonts w:cs="Arial"/>
                <w:szCs w:val="19"/>
                <w:lang w:val="en-US"/>
              </w:rPr>
            </w:pPr>
            <w:bookmarkStart w:id="3" w:name="_Hlk173748664"/>
            <w:r w:rsidRPr="00583E85">
              <w:rPr>
                <w:rFonts w:cs="Arial"/>
                <w:szCs w:val="19"/>
                <w:lang w:val="en-US"/>
              </w:rPr>
              <w:t>Treatment of moderate to severe plaque psoriasis in adults who failed to respond to, or who have a contraindication to, or are intolerant to other systemic therapies including ciclosporin, methotrexate (MTX) or PUVA (psoralen and ultraviolet A)</w:t>
            </w:r>
            <w:r>
              <w:rPr>
                <w:rFonts w:cs="Arial"/>
                <w:szCs w:val="19"/>
                <w:lang w:val="en-US"/>
              </w:rPr>
              <w:t xml:space="preserve">; </w:t>
            </w:r>
            <w:r w:rsidRPr="00583E85">
              <w:rPr>
                <w:rFonts w:cs="Arial"/>
                <w:szCs w:val="19"/>
                <w:lang w:val="en-US"/>
              </w:rPr>
              <w:t>treatment of moderate to severe plaque psoriasis in children and adolescent patients age</w:t>
            </w:r>
            <w:r>
              <w:rPr>
                <w:rFonts w:cs="Arial"/>
                <w:szCs w:val="19"/>
                <w:lang w:val="en-US"/>
              </w:rPr>
              <w:t>d</w:t>
            </w:r>
            <w:r w:rsidRPr="00583E85">
              <w:rPr>
                <w:rFonts w:cs="Arial"/>
                <w:szCs w:val="19"/>
                <w:lang w:val="en-US"/>
              </w:rPr>
              <w:t xml:space="preserve"> </w:t>
            </w:r>
            <w:r>
              <w:rPr>
                <w:rFonts w:cs="Arial"/>
                <w:szCs w:val="19"/>
                <w:lang w:val="en-US"/>
              </w:rPr>
              <w:t>≥</w:t>
            </w:r>
            <w:r w:rsidRPr="00583E85">
              <w:rPr>
                <w:rFonts w:cs="Arial"/>
                <w:szCs w:val="19"/>
                <w:lang w:val="en-US"/>
              </w:rPr>
              <w:t>6 years and who are inadequately controlled by, or are intolerant to, other systemic therapies or phototherapies</w:t>
            </w:r>
            <w:r>
              <w:rPr>
                <w:rFonts w:cs="Arial"/>
                <w:szCs w:val="19"/>
                <w:lang w:val="en-US"/>
              </w:rPr>
              <w:t>; use al</w:t>
            </w:r>
            <w:r w:rsidRPr="00583E85">
              <w:rPr>
                <w:rFonts w:cs="Arial"/>
                <w:szCs w:val="19"/>
                <w:lang w:val="en-US"/>
              </w:rPr>
              <w:t>one or in combination with MTX, for the treatment of active psoriatic arthritis in adults when the response to previous non-biological disease-modifying anti-rheumatic drug (DMARD) therapy has been inadequate</w:t>
            </w:r>
            <w:r>
              <w:rPr>
                <w:rFonts w:cs="Arial"/>
                <w:szCs w:val="19"/>
                <w:lang w:val="en-US"/>
              </w:rPr>
              <w:t>; t</w:t>
            </w:r>
            <w:r w:rsidRPr="00583E85">
              <w:rPr>
                <w:rFonts w:cs="Arial"/>
                <w:szCs w:val="19"/>
                <w:lang w:val="en-US"/>
              </w:rPr>
              <w:t>reatment of adults with moderately to severely active Crohn’s disease who have had an inadequate response with, lost response to, or were intolerant to either conventional therapy or a TNFα antagonist or have medical contraindications to such therapies</w:t>
            </w:r>
            <w:r>
              <w:rPr>
                <w:rFonts w:cs="Arial"/>
                <w:szCs w:val="19"/>
                <w:lang w:val="en-US"/>
              </w:rPr>
              <w:t xml:space="preserve">; </w:t>
            </w:r>
            <w:r w:rsidRPr="00583E85">
              <w:rPr>
                <w:rFonts w:cs="Arial"/>
                <w:szCs w:val="19"/>
                <w:lang w:val="en-US"/>
              </w:rPr>
              <w:t>treatment of adults with moderately to severely active ulcerative colitis who have had an inadequate response with, lost response to, or were intolerant to either conventional therapy or a biologic or have medical contraindications to such therapies</w:t>
            </w:r>
            <w:r>
              <w:rPr>
                <w:rFonts w:cs="Arial"/>
                <w:szCs w:val="19"/>
                <w:lang w:val="en-US"/>
              </w:rPr>
              <w:t xml:space="preserve"> </w:t>
            </w:r>
            <w:r w:rsidRPr="006C5B20">
              <w:rPr>
                <w:rFonts w:cs="Arial"/>
                <w:sz w:val="16"/>
                <w:szCs w:val="16"/>
                <w:lang w:val="en-US"/>
              </w:rPr>
              <w:t>[EU]</w:t>
            </w:r>
            <w:bookmarkEnd w:id="3"/>
          </w:p>
        </w:tc>
      </w:tr>
      <w:tr w:rsidR="00706657" w:rsidRPr="00A075A3" w14:paraId="21609052" w14:textId="77777777" w:rsidTr="00A15137">
        <w:tc>
          <w:tcPr>
            <w:tcW w:w="1091" w:type="pct"/>
            <w:shd w:val="clear" w:color="auto" w:fill="auto"/>
            <w:tcMar>
              <w:top w:w="57" w:type="dxa"/>
              <w:bottom w:w="57" w:type="dxa"/>
            </w:tcMar>
          </w:tcPr>
          <w:p w14:paraId="5C8BDD58" w14:textId="77777777" w:rsidR="00706657" w:rsidRPr="00583E85" w:rsidRDefault="00706657" w:rsidP="005E6F7A">
            <w:pPr>
              <w:rPr>
                <w:rFonts w:cs="Arial"/>
                <w:szCs w:val="19"/>
              </w:rPr>
            </w:pPr>
            <w:r>
              <w:rPr>
                <w:rFonts w:cs="Arial"/>
                <w:szCs w:val="19"/>
              </w:rPr>
              <w:t>Ustekinumab biosimilar (</w:t>
            </w:r>
            <w:r>
              <w:rPr>
                <w:rFonts w:cs="Arial"/>
                <w:i/>
                <w:iCs/>
                <w:szCs w:val="19"/>
              </w:rPr>
              <w:t>Otulfi</w:t>
            </w:r>
            <w:r>
              <w:rPr>
                <w:rFonts w:cs="Arial"/>
                <w:szCs w:val="19"/>
              </w:rPr>
              <w:t>)</w:t>
            </w:r>
          </w:p>
        </w:tc>
        <w:tc>
          <w:tcPr>
            <w:tcW w:w="3909" w:type="pct"/>
            <w:shd w:val="clear" w:color="auto" w:fill="auto"/>
            <w:tcMar>
              <w:top w:w="57" w:type="dxa"/>
              <w:bottom w:w="57" w:type="dxa"/>
            </w:tcMar>
          </w:tcPr>
          <w:p w14:paraId="7CB75C65" w14:textId="00F8E12A" w:rsidR="00706657" w:rsidRDefault="00706657" w:rsidP="005E6F7A">
            <w:pPr>
              <w:tabs>
                <w:tab w:val="center" w:pos="3152"/>
              </w:tabs>
              <w:rPr>
                <w:rFonts w:cs="Arial"/>
                <w:szCs w:val="19"/>
                <w:lang w:val="en-US"/>
              </w:rPr>
            </w:pPr>
            <w:r w:rsidRPr="00AB7622">
              <w:rPr>
                <w:rFonts w:cs="Arial"/>
                <w:szCs w:val="19"/>
                <w:lang w:val="en-US"/>
              </w:rPr>
              <w:t>Treatment of moderate to severe plaque psoriasis in adults who failed to respond to, or who have a contraindication to, or are intolerant to other systemic therapies including ciclosporin, methotrexate (MTX) or PUVA (psoralen and ultraviolet A); treatment of moderate to severe plaque psoriasis in children and adolescent patients age</w:t>
            </w:r>
            <w:r>
              <w:rPr>
                <w:rFonts w:cs="Arial"/>
                <w:szCs w:val="19"/>
                <w:lang w:val="en-US"/>
              </w:rPr>
              <w:t>d</w:t>
            </w:r>
            <w:r w:rsidRPr="00AB7622">
              <w:rPr>
                <w:rFonts w:cs="Arial"/>
                <w:szCs w:val="19"/>
                <w:lang w:val="en-US"/>
              </w:rPr>
              <w:t xml:space="preserve"> </w:t>
            </w:r>
            <w:r>
              <w:rPr>
                <w:rFonts w:cs="Arial"/>
                <w:szCs w:val="19"/>
                <w:lang w:val="en-US"/>
              </w:rPr>
              <w:t>≥</w:t>
            </w:r>
            <w:r w:rsidRPr="00AB7622">
              <w:rPr>
                <w:rFonts w:cs="Arial"/>
                <w:szCs w:val="19"/>
                <w:lang w:val="en-US"/>
              </w:rPr>
              <w:t>6 years and who are inadequately controlled by, or are intolerant to, other systemic therapies or phototherapies; use alone or in combination with MTX, for the treatment of active psoriatic arthritis in adults when the response to previous non-biological disease- modifying anti-rheumatic drug therapy has been inadequate; treatment of adults with moderately to severely active Crohn’s disease who have had an inadequate response with, lost response to, or were intolerant to either conventional therapy or a TNFα antagonist or have medical contraindications to such therapies</w:t>
            </w:r>
            <w:r>
              <w:rPr>
                <w:rFonts w:cs="Arial"/>
                <w:szCs w:val="19"/>
                <w:lang w:val="en-US"/>
              </w:rPr>
              <w:t xml:space="preserve"> </w:t>
            </w:r>
            <w:r w:rsidRPr="006C5B20">
              <w:rPr>
                <w:rFonts w:cs="Arial"/>
                <w:sz w:val="16"/>
                <w:szCs w:val="16"/>
                <w:lang w:val="en-US"/>
              </w:rPr>
              <w:t>[EU]</w:t>
            </w:r>
          </w:p>
        </w:tc>
      </w:tr>
      <w:tr w:rsidR="00706657" w:rsidRPr="00A075A3" w14:paraId="0AA8B5B6" w14:textId="77777777" w:rsidTr="00A15137">
        <w:tc>
          <w:tcPr>
            <w:tcW w:w="1091" w:type="pct"/>
            <w:shd w:val="clear" w:color="auto" w:fill="auto"/>
            <w:tcMar>
              <w:top w:w="57" w:type="dxa"/>
              <w:bottom w:w="57" w:type="dxa"/>
            </w:tcMar>
          </w:tcPr>
          <w:p w14:paraId="108D568F" w14:textId="77777777" w:rsidR="00706657" w:rsidRPr="00BD5C01" w:rsidRDefault="00706657" w:rsidP="005E6F7A">
            <w:pPr>
              <w:rPr>
                <w:rFonts w:cs="Arial"/>
                <w:szCs w:val="19"/>
              </w:rPr>
            </w:pPr>
            <w:r w:rsidRPr="00BD5C01">
              <w:rPr>
                <w:rFonts w:cs="Arial"/>
                <w:szCs w:val="19"/>
              </w:rPr>
              <w:t>Zolbetuximab</w:t>
            </w:r>
            <w:r>
              <w:rPr>
                <w:rFonts w:cs="Arial"/>
                <w:szCs w:val="19"/>
              </w:rPr>
              <w:t xml:space="preserve"> (</w:t>
            </w:r>
            <w:r>
              <w:rPr>
                <w:rFonts w:cs="Arial"/>
                <w:i/>
                <w:iCs/>
                <w:szCs w:val="19"/>
              </w:rPr>
              <w:t>Vyloy</w:t>
            </w:r>
            <w:r>
              <w:rPr>
                <w:rFonts w:cs="Arial"/>
                <w:szCs w:val="19"/>
              </w:rPr>
              <w:t>)</w:t>
            </w:r>
          </w:p>
        </w:tc>
        <w:tc>
          <w:tcPr>
            <w:tcW w:w="3909" w:type="pct"/>
            <w:shd w:val="clear" w:color="auto" w:fill="auto"/>
            <w:tcMar>
              <w:top w:w="57" w:type="dxa"/>
              <w:bottom w:w="57" w:type="dxa"/>
            </w:tcMar>
          </w:tcPr>
          <w:p w14:paraId="193E6B57" w14:textId="77777777" w:rsidR="00706657" w:rsidRDefault="00706657" w:rsidP="005E6F7A">
            <w:pPr>
              <w:tabs>
                <w:tab w:val="center" w:pos="3152"/>
              </w:tabs>
              <w:rPr>
                <w:rFonts w:cs="Arial"/>
                <w:szCs w:val="19"/>
                <w:lang w:val="en-US"/>
              </w:rPr>
            </w:pPr>
            <w:r>
              <w:rPr>
                <w:rFonts w:cs="Arial"/>
                <w:szCs w:val="19"/>
                <w:lang w:val="en-US"/>
              </w:rPr>
              <w:t xml:space="preserve">Use </w:t>
            </w:r>
            <w:r w:rsidRPr="00BD5C01">
              <w:rPr>
                <w:rFonts w:cs="Arial"/>
                <w:szCs w:val="19"/>
                <w:lang w:val="en-US"/>
              </w:rPr>
              <w:t>in combination with fluoropyrimidine- and platinum-containing chemotherapy, for the first-line treatment of adults with locally advanced unresectable or metastatic HER2</w:t>
            </w:r>
            <w:r w:rsidRPr="00BD5C01">
              <w:rPr>
                <w:rFonts w:ascii="Cambria Math" w:hAnsi="Cambria Math" w:cs="Cambria Math"/>
                <w:szCs w:val="19"/>
                <w:lang w:val="en-US"/>
              </w:rPr>
              <w:t>‑</w:t>
            </w:r>
            <w:r w:rsidRPr="00BD5C01">
              <w:rPr>
                <w:rFonts w:cs="Arial"/>
                <w:szCs w:val="19"/>
                <w:lang w:val="en-US"/>
              </w:rPr>
              <w:t>negative gastric or gastro-oesophageal junction adenocarcinoma whose tumours are Claudin 18.2 positive</w:t>
            </w:r>
            <w:r>
              <w:rPr>
                <w:rFonts w:cs="Arial"/>
                <w:szCs w:val="19"/>
                <w:lang w:val="en-US"/>
              </w:rPr>
              <w:t xml:space="preserve"> </w:t>
            </w:r>
            <w:r w:rsidRPr="006C5B20">
              <w:rPr>
                <w:rFonts w:cs="Arial"/>
                <w:sz w:val="16"/>
                <w:szCs w:val="16"/>
                <w:lang w:val="en-US"/>
              </w:rPr>
              <w:t>[EU]</w:t>
            </w:r>
          </w:p>
        </w:tc>
      </w:tr>
      <w:tr w:rsidR="00706657" w:rsidRPr="000F19E1" w14:paraId="4EAAD55B" w14:textId="77777777" w:rsidTr="00A15137">
        <w:tc>
          <w:tcPr>
            <w:tcW w:w="1091" w:type="pct"/>
            <w:shd w:val="clear" w:color="auto" w:fill="auto"/>
            <w:tcMar>
              <w:top w:w="0" w:type="dxa"/>
              <w:bottom w:w="0" w:type="dxa"/>
            </w:tcMar>
          </w:tcPr>
          <w:p w14:paraId="054FB713" w14:textId="77777777" w:rsidR="00706657" w:rsidRPr="000F19E1" w:rsidRDefault="00706657" w:rsidP="005E6F7A">
            <w:pPr>
              <w:rPr>
                <w:rFonts w:cs="Arial"/>
                <w:bCs/>
                <w:sz w:val="8"/>
                <w:szCs w:val="8"/>
              </w:rPr>
            </w:pPr>
          </w:p>
        </w:tc>
        <w:tc>
          <w:tcPr>
            <w:tcW w:w="3909" w:type="pct"/>
            <w:shd w:val="clear" w:color="auto" w:fill="auto"/>
            <w:tcMar>
              <w:top w:w="0" w:type="dxa"/>
              <w:bottom w:w="0" w:type="dxa"/>
            </w:tcMar>
          </w:tcPr>
          <w:p w14:paraId="5E2F10F8" w14:textId="77777777" w:rsidR="00706657" w:rsidRPr="000F19E1" w:rsidRDefault="00706657" w:rsidP="005E6F7A">
            <w:pPr>
              <w:tabs>
                <w:tab w:val="center" w:pos="3152"/>
              </w:tabs>
              <w:rPr>
                <w:rFonts w:cs="Arial"/>
                <w:sz w:val="8"/>
                <w:szCs w:val="8"/>
                <w:lang w:val="en-US"/>
              </w:rPr>
            </w:pPr>
          </w:p>
        </w:tc>
      </w:tr>
      <w:tr w:rsidR="00706657" w:rsidRPr="000F19E1" w14:paraId="75BD0B1E" w14:textId="77777777" w:rsidTr="00A15137">
        <w:tc>
          <w:tcPr>
            <w:tcW w:w="1091" w:type="pct"/>
            <w:shd w:val="clear" w:color="auto" w:fill="DAEEF3"/>
            <w:tcMar>
              <w:top w:w="0" w:type="dxa"/>
              <w:bottom w:w="0" w:type="dxa"/>
            </w:tcMar>
          </w:tcPr>
          <w:p w14:paraId="0AC7E70B" w14:textId="77777777" w:rsidR="00706657" w:rsidRPr="000F19E1" w:rsidRDefault="00706657" w:rsidP="005E6F7A">
            <w:pPr>
              <w:rPr>
                <w:rFonts w:cs="Arial"/>
                <w:bCs/>
                <w:sz w:val="8"/>
                <w:szCs w:val="8"/>
              </w:rPr>
            </w:pPr>
          </w:p>
        </w:tc>
        <w:tc>
          <w:tcPr>
            <w:tcW w:w="3909" w:type="pct"/>
            <w:shd w:val="clear" w:color="auto" w:fill="DAEEF3"/>
            <w:tcMar>
              <w:top w:w="0" w:type="dxa"/>
              <w:bottom w:w="0" w:type="dxa"/>
            </w:tcMar>
          </w:tcPr>
          <w:p w14:paraId="31F74273" w14:textId="77777777" w:rsidR="00706657" w:rsidRPr="000F19E1" w:rsidRDefault="00706657" w:rsidP="005E6F7A">
            <w:pPr>
              <w:tabs>
                <w:tab w:val="center" w:pos="3152"/>
              </w:tabs>
              <w:rPr>
                <w:rFonts w:cs="Arial"/>
                <w:sz w:val="8"/>
                <w:szCs w:val="8"/>
                <w:lang w:val="en-US"/>
              </w:rPr>
            </w:pPr>
          </w:p>
        </w:tc>
      </w:tr>
      <w:tr w:rsidR="00706657" w:rsidRPr="00433D3E" w14:paraId="4080D59E" w14:textId="77777777" w:rsidTr="005E6F7A">
        <w:tc>
          <w:tcPr>
            <w:tcW w:w="5000" w:type="pct"/>
            <w:gridSpan w:val="2"/>
            <w:shd w:val="clear" w:color="auto" w:fill="00B050"/>
            <w:tcMar>
              <w:top w:w="57" w:type="dxa"/>
              <w:bottom w:w="57" w:type="dxa"/>
            </w:tcMar>
          </w:tcPr>
          <w:p w14:paraId="79E0CF62" w14:textId="77777777" w:rsidR="00706657" w:rsidRPr="00433D3E" w:rsidRDefault="00706657" w:rsidP="005E6F7A">
            <w:pPr>
              <w:rPr>
                <w:rFonts w:cs="Arial"/>
                <w:noProof/>
                <w:color w:val="FFFFFF"/>
                <w:sz w:val="16"/>
                <w:szCs w:val="16"/>
              </w:rPr>
            </w:pPr>
            <w:r w:rsidRPr="00433D3E">
              <w:rPr>
                <w:rFonts w:cs="Arial"/>
                <w:b/>
                <w:bCs/>
                <w:i/>
                <w:iCs/>
                <w:color w:val="FFFFFF"/>
                <w:sz w:val="22"/>
                <w:szCs w:val="20"/>
                <w:lang w:val="en-US"/>
              </w:rPr>
              <w:t xml:space="preserve">Filed for approval in the </w:t>
            </w:r>
            <w:r>
              <w:rPr>
                <w:rFonts w:cs="Arial"/>
                <w:b/>
                <w:bCs/>
                <w:i/>
                <w:iCs/>
                <w:color w:val="FFFFFF"/>
                <w:sz w:val="22"/>
                <w:szCs w:val="20"/>
                <w:lang w:val="en-US"/>
              </w:rPr>
              <w:t xml:space="preserve">UK or </w:t>
            </w:r>
            <w:r w:rsidRPr="00433D3E">
              <w:rPr>
                <w:rFonts w:cs="Arial"/>
                <w:b/>
                <w:bCs/>
                <w:i/>
                <w:iCs/>
                <w:color w:val="FFFFFF"/>
                <w:sz w:val="22"/>
                <w:szCs w:val="20"/>
                <w:lang w:val="en-US"/>
              </w:rPr>
              <w:t>EU</w:t>
            </w:r>
          </w:p>
        </w:tc>
      </w:tr>
      <w:tr w:rsidR="00706657" w:rsidRPr="00A075A3" w14:paraId="0B7BDFD5" w14:textId="77777777" w:rsidTr="00A15137">
        <w:tc>
          <w:tcPr>
            <w:tcW w:w="1091" w:type="pct"/>
            <w:shd w:val="clear" w:color="auto" w:fill="auto"/>
            <w:tcMar>
              <w:top w:w="57" w:type="dxa"/>
              <w:bottom w:w="57" w:type="dxa"/>
            </w:tcMar>
          </w:tcPr>
          <w:p w14:paraId="298FE159" w14:textId="77777777" w:rsidR="00706657" w:rsidRPr="00C466BC" w:rsidRDefault="00706657" w:rsidP="005E6F7A">
            <w:pPr>
              <w:rPr>
                <w:rFonts w:cs="Arial"/>
                <w:szCs w:val="19"/>
              </w:rPr>
            </w:pPr>
            <w:r w:rsidRPr="006C5B20">
              <w:rPr>
                <w:rFonts w:cs="Arial"/>
                <w:szCs w:val="19"/>
              </w:rPr>
              <w:t>Aflibercept biosimilar</w:t>
            </w:r>
            <w:r>
              <w:rPr>
                <w:rFonts w:cs="Arial"/>
                <w:szCs w:val="19"/>
              </w:rPr>
              <w:t xml:space="preserve"> – AL</w:t>
            </w:r>
            <w:r w:rsidRPr="006C5B20">
              <w:rPr>
                <w:rFonts w:cs="Arial"/>
                <w:szCs w:val="19"/>
              </w:rPr>
              <w:t>T-L9</w:t>
            </w:r>
            <w:r>
              <w:rPr>
                <w:rFonts w:cs="Arial"/>
                <w:szCs w:val="19"/>
              </w:rPr>
              <w:t xml:space="preserve"> </w:t>
            </w:r>
          </w:p>
        </w:tc>
        <w:tc>
          <w:tcPr>
            <w:tcW w:w="3909" w:type="pct"/>
            <w:shd w:val="clear" w:color="auto" w:fill="auto"/>
            <w:tcMar>
              <w:top w:w="57" w:type="dxa"/>
              <w:bottom w:w="57" w:type="dxa"/>
            </w:tcMar>
          </w:tcPr>
          <w:p w14:paraId="0FC4C9BC" w14:textId="77777777" w:rsidR="00706657" w:rsidRPr="00A075A3" w:rsidRDefault="00706657" w:rsidP="005E6F7A">
            <w:pPr>
              <w:tabs>
                <w:tab w:val="center" w:pos="3152"/>
              </w:tabs>
              <w:rPr>
                <w:rFonts w:cs="Arial"/>
                <w:szCs w:val="19"/>
                <w:lang w:val="en-US"/>
              </w:rPr>
            </w:pPr>
            <w:r>
              <w:rPr>
                <w:rFonts w:cs="Arial"/>
                <w:szCs w:val="19"/>
                <w:lang w:val="en-US"/>
              </w:rPr>
              <w:t>Treatment of a</w:t>
            </w:r>
            <w:r w:rsidRPr="006C5B20">
              <w:rPr>
                <w:rFonts w:cs="Arial"/>
                <w:szCs w:val="19"/>
                <w:lang w:val="en-US"/>
              </w:rPr>
              <w:t xml:space="preserve">ge-related macular degeneration </w:t>
            </w:r>
            <w:r>
              <w:rPr>
                <w:rFonts w:cs="Arial"/>
                <w:szCs w:val="19"/>
                <w:lang w:val="en-US"/>
              </w:rPr>
              <w:t>i</w:t>
            </w:r>
            <w:r w:rsidRPr="006C5B20">
              <w:rPr>
                <w:rFonts w:cs="Arial"/>
                <w:szCs w:val="19"/>
                <w:lang w:val="en-US"/>
              </w:rPr>
              <w:t xml:space="preserve">n adults and other </w:t>
            </w:r>
            <w:r w:rsidRPr="006C5B20">
              <w:rPr>
                <w:rFonts w:cs="Arial"/>
                <w:i/>
                <w:iCs/>
                <w:szCs w:val="19"/>
                <w:lang w:val="en-US"/>
              </w:rPr>
              <w:t>Eylea</w:t>
            </w:r>
            <w:r w:rsidRPr="006C5B20">
              <w:rPr>
                <w:rFonts w:cs="Arial"/>
                <w:szCs w:val="19"/>
                <w:lang w:val="en-US"/>
              </w:rPr>
              <w:t xml:space="preserve"> indications</w:t>
            </w:r>
            <w:r>
              <w:rPr>
                <w:rFonts w:cs="Arial"/>
                <w:szCs w:val="19"/>
                <w:lang w:val="en-US"/>
              </w:rPr>
              <w:t xml:space="preserve"> </w:t>
            </w:r>
            <w:r w:rsidRPr="006C5B20">
              <w:rPr>
                <w:rFonts w:cs="Arial"/>
                <w:sz w:val="16"/>
                <w:szCs w:val="16"/>
                <w:lang w:val="en-US"/>
              </w:rPr>
              <w:t>[EU]</w:t>
            </w:r>
          </w:p>
        </w:tc>
      </w:tr>
      <w:tr w:rsidR="00706657" w:rsidRPr="00A075A3" w14:paraId="57D8B615" w14:textId="77777777" w:rsidTr="00A15137">
        <w:tc>
          <w:tcPr>
            <w:tcW w:w="1091" w:type="pct"/>
            <w:shd w:val="clear" w:color="auto" w:fill="auto"/>
            <w:tcMar>
              <w:top w:w="57" w:type="dxa"/>
              <w:bottom w:w="57" w:type="dxa"/>
            </w:tcMar>
          </w:tcPr>
          <w:p w14:paraId="2A469A24" w14:textId="77777777" w:rsidR="00706657" w:rsidRPr="00817CF6" w:rsidRDefault="00706657" w:rsidP="005E6F7A">
            <w:pPr>
              <w:rPr>
                <w:rFonts w:cs="Arial"/>
                <w:szCs w:val="19"/>
              </w:rPr>
            </w:pPr>
            <w:r w:rsidRPr="00817CF6">
              <w:rPr>
                <w:rFonts w:cs="Arial"/>
                <w:szCs w:val="19"/>
              </w:rPr>
              <w:t>Belantamab mafodotin </w:t>
            </w:r>
            <w:r>
              <w:rPr>
                <w:rFonts w:cs="Arial"/>
                <w:szCs w:val="19"/>
              </w:rPr>
              <w:t>(</w:t>
            </w:r>
            <w:r>
              <w:rPr>
                <w:rFonts w:cs="Arial"/>
                <w:i/>
                <w:iCs/>
                <w:szCs w:val="19"/>
              </w:rPr>
              <w:t>Blenrep</w:t>
            </w:r>
            <w:r>
              <w:rPr>
                <w:rFonts w:cs="Arial"/>
                <w:szCs w:val="19"/>
              </w:rPr>
              <w:t>)</w:t>
            </w:r>
          </w:p>
        </w:tc>
        <w:tc>
          <w:tcPr>
            <w:tcW w:w="3909" w:type="pct"/>
            <w:shd w:val="clear" w:color="auto" w:fill="auto"/>
            <w:tcMar>
              <w:top w:w="57" w:type="dxa"/>
              <w:bottom w:w="57" w:type="dxa"/>
            </w:tcMar>
          </w:tcPr>
          <w:p w14:paraId="62C22AA1" w14:textId="77777777" w:rsidR="00A15137" w:rsidRDefault="00706657" w:rsidP="005E6F7A">
            <w:pPr>
              <w:tabs>
                <w:tab w:val="center" w:pos="3152"/>
              </w:tabs>
              <w:rPr>
                <w:rFonts w:cs="Arial"/>
                <w:sz w:val="16"/>
                <w:szCs w:val="16"/>
                <w:lang w:val="en-US"/>
              </w:rPr>
            </w:pPr>
            <w:r>
              <w:rPr>
                <w:rFonts w:cs="Arial"/>
                <w:szCs w:val="19"/>
                <w:lang w:val="en-US"/>
              </w:rPr>
              <w:t xml:space="preserve">Treatment of </w:t>
            </w:r>
            <w:r w:rsidRPr="00817CF6">
              <w:rPr>
                <w:rFonts w:cs="Arial"/>
                <w:szCs w:val="19"/>
                <w:lang w:val="en-US"/>
              </w:rPr>
              <w:t>relapsed or refectory multiple myeloma</w:t>
            </w:r>
            <w:r>
              <w:rPr>
                <w:rFonts w:cs="Arial"/>
                <w:szCs w:val="19"/>
                <w:lang w:val="en-US"/>
              </w:rPr>
              <w:t xml:space="preserve">, </w:t>
            </w:r>
            <w:proofErr w:type="gramStart"/>
            <w:r>
              <w:rPr>
                <w:rFonts w:cs="Arial"/>
                <w:szCs w:val="19"/>
                <w:lang w:val="en-US"/>
              </w:rPr>
              <w:t>second-line</w:t>
            </w:r>
            <w:proofErr w:type="gramEnd"/>
            <w:r w:rsidRPr="00817CF6">
              <w:rPr>
                <w:rFonts w:cs="Arial"/>
                <w:szCs w:val="19"/>
                <w:lang w:val="en-US"/>
              </w:rPr>
              <w:t xml:space="preserve"> with either bortezomib plus dexamethasone or pomalidomide and dexamethasone</w:t>
            </w:r>
            <w:r>
              <w:rPr>
                <w:rFonts w:cs="Arial"/>
                <w:szCs w:val="19"/>
                <w:lang w:val="en-US"/>
              </w:rPr>
              <w:t xml:space="preserve"> </w:t>
            </w:r>
            <w:r w:rsidRPr="00817CF6">
              <w:rPr>
                <w:rFonts w:cs="Arial"/>
                <w:sz w:val="16"/>
                <w:szCs w:val="16"/>
                <w:lang w:val="en-US"/>
              </w:rPr>
              <w:t xml:space="preserve">[EU] </w:t>
            </w:r>
          </w:p>
          <w:p w14:paraId="71940D8C" w14:textId="6330D0AB" w:rsidR="00706657" w:rsidRPr="00020C1D" w:rsidRDefault="00706657" w:rsidP="005E6F7A">
            <w:pPr>
              <w:tabs>
                <w:tab w:val="center" w:pos="3152"/>
              </w:tabs>
              <w:rPr>
                <w:rFonts w:cs="Arial"/>
                <w:szCs w:val="19"/>
                <w:lang w:val="en-US"/>
              </w:rPr>
            </w:pPr>
            <w:r>
              <w:rPr>
                <w:rFonts w:cs="Arial"/>
                <w:i/>
                <w:iCs/>
                <w:sz w:val="16"/>
                <w:szCs w:val="16"/>
                <w:lang w:val="en-US"/>
              </w:rPr>
              <w:t xml:space="preserve">Note: In the UK, Blenrep is currently licensed for use </w:t>
            </w:r>
            <w:r w:rsidRPr="009D32C7">
              <w:rPr>
                <w:rFonts w:cs="Arial"/>
                <w:i/>
                <w:iCs/>
                <w:sz w:val="16"/>
                <w:szCs w:val="16"/>
                <w:lang w:val="en-US"/>
              </w:rPr>
              <w:t xml:space="preserve">as monotherapy </w:t>
            </w:r>
            <w:r>
              <w:rPr>
                <w:rFonts w:cs="Arial"/>
                <w:i/>
                <w:iCs/>
                <w:sz w:val="16"/>
                <w:szCs w:val="16"/>
                <w:lang w:val="en-US"/>
              </w:rPr>
              <w:t xml:space="preserve">to </w:t>
            </w:r>
            <w:r w:rsidRPr="009D32C7">
              <w:rPr>
                <w:rFonts w:cs="Arial"/>
                <w:i/>
                <w:iCs/>
                <w:sz w:val="16"/>
                <w:szCs w:val="16"/>
                <w:lang w:val="en-US"/>
              </w:rPr>
              <w:t>treat multiple myeloma in adults, who have received at least four prior therapies and whose disease is refractory to at least one proteasome inhibitor, one immunomodulatory agent, and an anti-CD38 monoclonal antibody, and who have demonstrated disease progression on the last therapy</w:t>
            </w:r>
            <w:r>
              <w:rPr>
                <w:rFonts w:cs="Arial"/>
                <w:i/>
                <w:iCs/>
                <w:sz w:val="16"/>
                <w:szCs w:val="16"/>
                <w:lang w:val="en-US"/>
              </w:rPr>
              <w:t xml:space="preserve">. In the EU, the licence for Blenrep was </w:t>
            </w:r>
            <w:hyperlink r:id="rId15" w:history="1">
              <w:r w:rsidRPr="009D32C7">
                <w:rPr>
                  <w:rStyle w:val="Hyperlink"/>
                  <w:rFonts w:ascii="Arial" w:hAnsi="Arial" w:cs="Arial"/>
                  <w:i/>
                  <w:iCs/>
                  <w:sz w:val="16"/>
                  <w:szCs w:val="16"/>
                  <w:lang w:val="en-US"/>
                </w:rPr>
                <w:t>withdrawn</w:t>
              </w:r>
            </w:hyperlink>
            <w:r>
              <w:rPr>
                <w:rFonts w:cs="Arial"/>
                <w:i/>
                <w:iCs/>
                <w:sz w:val="16"/>
                <w:szCs w:val="16"/>
                <w:lang w:val="en-US"/>
              </w:rPr>
              <w:t xml:space="preserve"> in March 2024.</w:t>
            </w:r>
          </w:p>
        </w:tc>
      </w:tr>
      <w:tr w:rsidR="00706657" w:rsidRPr="00A075A3" w14:paraId="38DE892B" w14:textId="77777777" w:rsidTr="00A15137">
        <w:tc>
          <w:tcPr>
            <w:tcW w:w="1091" w:type="pct"/>
            <w:shd w:val="clear" w:color="auto" w:fill="auto"/>
            <w:tcMar>
              <w:top w:w="57" w:type="dxa"/>
              <w:bottom w:w="57" w:type="dxa"/>
            </w:tcMar>
          </w:tcPr>
          <w:p w14:paraId="2FCE3825" w14:textId="77777777" w:rsidR="00706657" w:rsidRPr="00896AE9" w:rsidRDefault="00706657" w:rsidP="005E6F7A">
            <w:pPr>
              <w:rPr>
                <w:rFonts w:cs="Arial"/>
                <w:szCs w:val="19"/>
              </w:rPr>
            </w:pPr>
            <w:r w:rsidRPr="00020C1D">
              <w:rPr>
                <w:rFonts w:cs="Arial"/>
                <w:szCs w:val="19"/>
              </w:rPr>
              <w:t>Chikungunya vaccine </w:t>
            </w:r>
            <w:r>
              <w:rPr>
                <w:rFonts w:cs="Arial"/>
                <w:szCs w:val="19"/>
              </w:rPr>
              <w:t>(</w:t>
            </w:r>
            <w:r w:rsidRPr="00020C1D">
              <w:rPr>
                <w:rFonts w:cs="Arial"/>
                <w:i/>
                <w:iCs/>
                <w:szCs w:val="19"/>
              </w:rPr>
              <w:t>Ixchiq</w:t>
            </w:r>
            <w:r>
              <w:rPr>
                <w:rFonts w:cs="Arial"/>
                <w:szCs w:val="19"/>
              </w:rPr>
              <w:t>)</w:t>
            </w:r>
          </w:p>
        </w:tc>
        <w:tc>
          <w:tcPr>
            <w:tcW w:w="3909" w:type="pct"/>
            <w:shd w:val="clear" w:color="auto" w:fill="auto"/>
            <w:tcMar>
              <w:top w:w="57" w:type="dxa"/>
              <w:bottom w:w="57" w:type="dxa"/>
            </w:tcMar>
          </w:tcPr>
          <w:p w14:paraId="154CA83A" w14:textId="77777777" w:rsidR="00706657" w:rsidRPr="00A075A3" w:rsidRDefault="00706657" w:rsidP="005E6F7A">
            <w:pPr>
              <w:tabs>
                <w:tab w:val="center" w:pos="3152"/>
              </w:tabs>
              <w:rPr>
                <w:rFonts w:cs="Arial"/>
                <w:szCs w:val="19"/>
                <w:lang w:val="en-US"/>
              </w:rPr>
            </w:pPr>
            <w:r w:rsidRPr="00020C1D">
              <w:rPr>
                <w:rFonts w:cs="Arial"/>
                <w:szCs w:val="19"/>
                <w:lang w:val="en-US"/>
              </w:rPr>
              <w:t xml:space="preserve">Active immunisation for the prevention of disease caused by chikungunya virus in individuals </w:t>
            </w:r>
            <w:r>
              <w:rPr>
                <w:rFonts w:cs="Arial"/>
                <w:szCs w:val="19"/>
                <w:lang w:val="en-US"/>
              </w:rPr>
              <w:t>aged ≥</w:t>
            </w:r>
            <w:r w:rsidRPr="00020C1D">
              <w:rPr>
                <w:rFonts w:cs="Arial"/>
                <w:szCs w:val="19"/>
                <w:lang w:val="en-US"/>
              </w:rPr>
              <w:t>18 years</w:t>
            </w:r>
            <w:r>
              <w:rPr>
                <w:rFonts w:cs="Arial"/>
                <w:szCs w:val="19"/>
                <w:lang w:val="en-US"/>
              </w:rPr>
              <w:t xml:space="preserve"> </w:t>
            </w:r>
            <w:r w:rsidRPr="00020C1D">
              <w:rPr>
                <w:rFonts w:cs="Arial"/>
                <w:sz w:val="16"/>
                <w:szCs w:val="16"/>
                <w:lang w:val="en-US"/>
              </w:rPr>
              <w:t>[UK]</w:t>
            </w:r>
          </w:p>
        </w:tc>
      </w:tr>
      <w:tr w:rsidR="00706657" w:rsidRPr="00A075A3" w14:paraId="2A9667CB" w14:textId="77777777" w:rsidTr="00A15137">
        <w:tc>
          <w:tcPr>
            <w:tcW w:w="1091" w:type="pct"/>
            <w:shd w:val="clear" w:color="auto" w:fill="auto"/>
            <w:tcMar>
              <w:top w:w="57" w:type="dxa"/>
              <w:bottom w:w="57" w:type="dxa"/>
            </w:tcMar>
          </w:tcPr>
          <w:p w14:paraId="4C411721" w14:textId="77777777" w:rsidR="00706657" w:rsidRPr="001D0510" w:rsidRDefault="00706657" w:rsidP="005E6F7A">
            <w:pPr>
              <w:rPr>
                <w:rFonts w:cs="Arial"/>
                <w:szCs w:val="19"/>
              </w:rPr>
            </w:pPr>
            <w:r>
              <w:rPr>
                <w:rFonts w:cs="Arial"/>
                <w:szCs w:val="19"/>
              </w:rPr>
              <w:t>D</w:t>
            </w:r>
            <w:r w:rsidRPr="001D0510">
              <w:rPr>
                <w:rFonts w:cs="Arial"/>
                <w:szCs w:val="19"/>
              </w:rPr>
              <w:t>enosumab biosimilar – FKS518</w:t>
            </w:r>
          </w:p>
        </w:tc>
        <w:tc>
          <w:tcPr>
            <w:tcW w:w="3909" w:type="pct"/>
            <w:shd w:val="clear" w:color="auto" w:fill="auto"/>
            <w:tcMar>
              <w:top w:w="57" w:type="dxa"/>
              <w:bottom w:w="57" w:type="dxa"/>
            </w:tcMar>
          </w:tcPr>
          <w:p w14:paraId="78212507" w14:textId="77777777" w:rsidR="00706657" w:rsidRPr="00A075A3" w:rsidRDefault="00706657" w:rsidP="005E6F7A">
            <w:pPr>
              <w:tabs>
                <w:tab w:val="center" w:pos="3152"/>
              </w:tabs>
              <w:rPr>
                <w:rFonts w:cs="Arial"/>
                <w:szCs w:val="19"/>
                <w:lang w:val="en-US"/>
              </w:rPr>
            </w:pPr>
            <w:r w:rsidRPr="001D0510">
              <w:rPr>
                <w:rFonts w:cs="Arial"/>
                <w:szCs w:val="19"/>
                <w:lang w:val="en-US"/>
              </w:rPr>
              <w:t xml:space="preserve">Postmenopausal osteoporosis </w:t>
            </w:r>
            <w:r w:rsidRPr="001D0510">
              <w:rPr>
                <w:rFonts w:cs="Arial"/>
                <w:szCs w:val="19"/>
                <w:lang w:val="en-US"/>
              </w:rPr>
              <w:tab/>
              <w:t xml:space="preserve">and other </w:t>
            </w:r>
            <w:r w:rsidRPr="001D0510">
              <w:rPr>
                <w:rFonts w:cs="Arial"/>
                <w:i/>
                <w:iCs/>
                <w:szCs w:val="19"/>
                <w:lang w:val="en-US"/>
              </w:rPr>
              <w:t>Prolia</w:t>
            </w:r>
            <w:r w:rsidRPr="001D0510">
              <w:rPr>
                <w:rFonts w:cs="Arial"/>
                <w:szCs w:val="19"/>
                <w:lang w:val="en-US"/>
              </w:rPr>
              <w:t xml:space="preserve"> indications </w:t>
            </w:r>
            <w:r w:rsidRPr="006C5B20">
              <w:rPr>
                <w:rFonts w:cs="Arial"/>
                <w:sz w:val="16"/>
                <w:szCs w:val="16"/>
                <w:lang w:val="en-US"/>
              </w:rPr>
              <w:t>[EU]</w:t>
            </w:r>
          </w:p>
        </w:tc>
      </w:tr>
      <w:tr w:rsidR="00706657" w:rsidRPr="00A075A3" w14:paraId="6BFCF0B3" w14:textId="77777777" w:rsidTr="00A15137">
        <w:tc>
          <w:tcPr>
            <w:tcW w:w="1091" w:type="pct"/>
            <w:shd w:val="clear" w:color="auto" w:fill="auto"/>
            <w:tcMar>
              <w:top w:w="57" w:type="dxa"/>
              <w:bottom w:w="57" w:type="dxa"/>
            </w:tcMar>
          </w:tcPr>
          <w:p w14:paraId="6718A019" w14:textId="77777777" w:rsidR="00706657" w:rsidRDefault="00706657" w:rsidP="005E6F7A">
            <w:pPr>
              <w:rPr>
                <w:rFonts w:cs="Arial"/>
                <w:szCs w:val="19"/>
              </w:rPr>
            </w:pPr>
            <w:r>
              <w:rPr>
                <w:rFonts w:cs="Arial"/>
                <w:szCs w:val="19"/>
              </w:rPr>
              <w:t>D</w:t>
            </w:r>
            <w:r w:rsidRPr="001D0510">
              <w:rPr>
                <w:rFonts w:cs="Arial"/>
                <w:szCs w:val="19"/>
              </w:rPr>
              <w:t>enosumab biosimilar – FKS518</w:t>
            </w:r>
          </w:p>
        </w:tc>
        <w:tc>
          <w:tcPr>
            <w:tcW w:w="3909" w:type="pct"/>
            <w:shd w:val="clear" w:color="auto" w:fill="auto"/>
            <w:tcMar>
              <w:top w:w="57" w:type="dxa"/>
              <w:bottom w:w="57" w:type="dxa"/>
            </w:tcMar>
          </w:tcPr>
          <w:p w14:paraId="36C2D89E" w14:textId="77777777" w:rsidR="00706657" w:rsidRPr="00A075A3" w:rsidRDefault="00706657" w:rsidP="005E6F7A">
            <w:pPr>
              <w:tabs>
                <w:tab w:val="center" w:pos="3152"/>
              </w:tabs>
              <w:rPr>
                <w:rFonts w:cs="Arial"/>
                <w:szCs w:val="19"/>
                <w:lang w:val="en-US"/>
              </w:rPr>
            </w:pPr>
            <w:r w:rsidRPr="001D0510">
              <w:rPr>
                <w:rFonts w:cs="Arial"/>
                <w:szCs w:val="19"/>
                <w:lang w:val="en-US"/>
              </w:rPr>
              <w:t xml:space="preserve">Prevention of skeletal related events in adults with advanced malignancies involving bone and other </w:t>
            </w:r>
            <w:r w:rsidRPr="001D0510">
              <w:rPr>
                <w:rFonts w:cs="Arial"/>
                <w:i/>
                <w:iCs/>
                <w:szCs w:val="19"/>
                <w:lang w:val="en-US"/>
              </w:rPr>
              <w:t>Xgeva</w:t>
            </w:r>
            <w:r w:rsidRPr="001D0510">
              <w:rPr>
                <w:rFonts w:cs="Arial"/>
                <w:szCs w:val="19"/>
                <w:lang w:val="en-US"/>
              </w:rPr>
              <w:t xml:space="preserve"> indications</w:t>
            </w:r>
            <w:r>
              <w:rPr>
                <w:rFonts w:cs="Arial"/>
                <w:szCs w:val="19"/>
                <w:lang w:val="en-US"/>
              </w:rPr>
              <w:t xml:space="preserve"> </w:t>
            </w:r>
            <w:r w:rsidRPr="006C5B20">
              <w:rPr>
                <w:rFonts w:cs="Arial"/>
                <w:sz w:val="16"/>
                <w:szCs w:val="16"/>
                <w:lang w:val="en-US"/>
              </w:rPr>
              <w:t>[EU]</w:t>
            </w:r>
          </w:p>
        </w:tc>
      </w:tr>
      <w:tr w:rsidR="00706657" w:rsidRPr="00A075A3" w14:paraId="54F81874" w14:textId="77777777" w:rsidTr="00A15137">
        <w:tc>
          <w:tcPr>
            <w:tcW w:w="1091" w:type="pct"/>
            <w:shd w:val="clear" w:color="auto" w:fill="auto"/>
            <w:tcMar>
              <w:top w:w="57" w:type="dxa"/>
              <w:bottom w:w="57" w:type="dxa"/>
            </w:tcMar>
          </w:tcPr>
          <w:p w14:paraId="61AAF1EB" w14:textId="77777777" w:rsidR="00706657" w:rsidRDefault="00706657" w:rsidP="005E6F7A">
            <w:pPr>
              <w:rPr>
                <w:rFonts w:cs="Arial"/>
                <w:szCs w:val="19"/>
              </w:rPr>
            </w:pPr>
            <w:r>
              <w:rPr>
                <w:rFonts w:cs="Arial"/>
                <w:szCs w:val="19"/>
              </w:rPr>
              <w:t>D</w:t>
            </w:r>
            <w:r w:rsidRPr="001D0510">
              <w:rPr>
                <w:rFonts w:cs="Arial"/>
                <w:szCs w:val="19"/>
              </w:rPr>
              <w:t xml:space="preserve">enosumab biosimilar – </w:t>
            </w:r>
            <w:r>
              <w:rPr>
                <w:rFonts w:cs="Arial"/>
                <w:szCs w:val="19"/>
              </w:rPr>
              <w:t>RGB 14-P</w:t>
            </w:r>
          </w:p>
        </w:tc>
        <w:tc>
          <w:tcPr>
            <w:tcW w:w="3909" w:type="pct"/>
            <w:shd w:val="clear" w:color="auto" w:fill="auto"/>
            <w:tcMar>
              <w:top w:w="57" w:type="dxa"/>
              <w:bottom w:w="57" w:type="dxa"/>
            </w:tcMar>
          </w:tcPr>
          <w:p w14:paraId="760FBDFA" w14:textId="77777777" w:rsidR="00706657" w:rsidRPr="001D0510" w:rsidRDefault="00706657" w:rsidP="005E6F7A">
            <w:pPr>
              <w:tabs>
                <w:tab w:val="center" w:pos="3152"/>
              </w:tabs>
              <w:rPr>
                <w:rFonts w:cs="Arial"/>
                <w:szCs w:val="19"/>
                <w:lang w:val="en-US"/>
              </w:rPr>
            </w:pPr>
            <w:r w:rsidRPr="001D0510">
              <w:rPr>
                <w:rFonts w:cs="Arial"/>
                <w:szCs w:val="19"/>
                <w:lang w:val="en-US"/>
              </w:rPr>
              <w:t xml:space="preserve">Postmenopausal osteoporosis </w:t>
            </w:r>
            <w:r w:rsidRPr="001D0510">
              <w:rPr>
                <w:rFonts w:cs="Arial"/>
                <w:szCs w:val="19"/>
                <w:lang w:val="en-US"/>
              </w:rPr>
              <w:tab/>
              <w:t xml:space="preserve">and other </w:t>
            </w:r>
            <w:r w:rsidRPr="001D0510">
              <w:rPr>
                <w:rFonts w:cs="Arial"/>
                <w:i/>
                <w:iCs/>
                <w:szCs w:val="19"/>
                <w:lang w:val="en-US"/>
              </w:rPr>
              <w:t>Prolia</w:t>
            </w:r>
            <w:r w:rsidRPr="001D0510">
              <w:rPr>
                <w:rFonts w:cs="Arial"/>
                <w:szCs w:val="19"/>
                <w:lang w:val="en-US"/>
              </w:rPr>
              <w:t xml:space="preserve"> indications </w:t>
            </w:r>
            <w:r w:rsidRPr="006C5B20">
              <w:rPr>
                <w:rFonts w:cs="Arial"/>
                <w:sz w:val="16"/>
                <w:szCs w:val="16"/>
                <w:lang w:val="en-US"/>
              </w:rPr>
              <w:t>[EU]</w:t>
            </w:r>
          </w:p>
        </w:tc>
      </w:tr>
      <w:tr w:rsidR="00706657" w:rsidRPr="00A075A3" w14:paraId="146DBB06" w14:textId="77777777" w:rsidTr="00A15137">
        <w:tc>
          <w:tcPr>
            <w:tcW w:w="1091" w:type="pct"/>
            <w:shd w:val="clear" w:color="auto" w:fill="auto"/>
            <w:tcMar>
              <w:top w:w="57" w:type="dxa"/>
              <w:bottom w:w="57" w:type="dxa"/>
            </w:tcMar>
          </w:tcPr>
          <w:p w14:paraId="4CCF0510" w14:textId="77777777" w:rsidR="00706657" w:rsidRDefault="00706657" w:rsidP="005E6F7A">
            <w:pPr>
              <w:rPr>
                <w:rFonts w:cs="Arial"/>
                <w:szCs w:val="19"/>
              </w:rPr>
            </w:pPr>
            <w:r>
              <w:rPr>
                <w:rFonts w:cs="Arial"/>
                <w:szCs w:val="19"/>
              </w:rPr>
              <w:t>D</w:t>
            </w:r>
            <w:r w:rsidRPr="001D0510">
              <w:rPr>
                <w:rFonts w:cs="Arial"/>
                <w:szCs w:val="19"/>
              </w:rPr>
              <w:t xml:space="preserve">enosumab biosimilar – </w:t>
            </w:r>
            <w:r>
              <w:rPr>
                <w:rFonts w:cs="Arial"/>
                <w:szCs w:val="19"/>
              </w:rPr>
              <w:t>RGB 14-P</w:t>
            </w:r>
          </w:p>
        </w:tc>
        <w:tc>
          <w:tcPr>
            <w:tcW w:w="3909" w:type="pct"/>
            <w:shd w:val="clear" w:color="auto" w:fill="auto"/>
            <w:tcMar>
              <w:top w:w="57" w:type="dxa"/>
              <w:bottom w:w="57" w:type="dxa"/>
            </w:tcMar>
          </w:tcPr>
          <w:p w14:paraId="3D02185F" w14:textId="77777777" w:rsidR="00706657" w:rsidRPr="001D0510" w:rsidRDefault="00706657" w:rsidP="005E6F7A">
            <w:pPr>
              <w:tabs>
                <w:tab w:val="center" w:pos="3152"/>
              </w:tabs>
              <w:rPr>
                <w:rFonts w:cs="Arial"/>
                <w:szCs w:val="19"/>
                <w:lang w:val="en-US"/>
              </w:rPr>
            </w:pPr>
            <w:r w:rsidRPr="001D0510">
              <w:rPr>
                <w:rFonts w:cs="Arial"/>
                <w:szCs w:val="19"/>
                <w:lang w:val="en-US"/>
              </w:rPr>
              <w:t xml:space="preserve">Prevention of skeletal related events in adults with advanced malignancies involving bone and other </w:t>
            </w:r>
            <w:r w:rsidRPr="001D0510">
              <w:rPr>
                <w:rFonts w:cs="Arial"/>
                <w:i/>
                <w:iCs/>
                <w:szCs w:val="19"/>
                <w:lang w:val="en-US"/>
              </w:rPr>
              <w:t>Xgeva</w:t>
            </w:r>
            <w:r w:rsidRPr="001D0510">
              <w:rPr>
                <w:rFonts w:cs="Arial"/>
                <w:szCs w:val="19"/>
                <w:lang w:val="en-US"/>
              </w:rPr>
              <w:t xml:space="preserve"> indications</w:t>
            </w:r>
            <w:r>
              <w:rPr>
                <w:rFonts w:cs="Arial"/>
                <w:szCs w:val="19"/>
                <w:lang w:val="en-US"/>
              </w:rPr>
              <w:t xml:space="preserve"> </w:t>
            </w:r>
            <w:r w:rsidRPr="006C5B20">
              <w:rPr>
                <w:rFonts w:cs="Arial"/>
                <w:sz w:val="16"/>
                <w:szCs w:val="16"/>
                <w:lang w:val="en-US"/>
              </w:rPr>
              <w:t>[EU]</w:t>
            </w:r>
          </w:p>
        </w:tc>
      </w:tr>
      <w:tr w:rsidR="00706657" w:rsidRPr="00A075A3" w14:paraId="7ECDBF0A" w14:textId="77777777" w:rsidTr="00A15137">
        <w:tc>
          <w:tcPr>
            <w:tcW w:w="1091" w:type="pct"/>
            <w:shd w:val="clear" w:color="auto" w:fill="auto"/>
            <w:tcMar>
              <w:top w:w="57" w:type="dxa"/>
              <w:bottom w:w="57" w:type="dxa"/>
            </w:tcMar>
          </w:tcPr>
          <w:p w14:paraId="50AC85BC" w14:textId="77777777" w:rsidR="00706657" w:rsidRPr="004910AC" w:rsidRDefault="00706657" w:rsidP="005E6F7A">
            <w:pPr>
              <w:rPr>
                <w:rFonts w:cs="Arial"/>
                <w:szCs w:val="19"/>
              </w:rPr>
            </w:pPr>
            <w:r w:rsidRPr="00D25041">
              <w:rPr>
                <w:rFonts w:cs="Arial"/>
                <w:szCs w:val="19"/>
              </w:rPr>
              <w:t>Deutivacaftor + tezacaftor + vanzacaftor</w:t>
            </w:r>
          </w:p>
        </w:tc>
        <w:tc>
          <w:tcPr>
            <w:tcW w:w="3909" w:type="pct"/>
            <w:shd w:val="clear" w:color="auto" w:fill="auto"/>
            <w:tcMar>
              <w:top w:w="57" w:type="dxa"/>
              <w:bottom w:w="57" w:type="dxa"/>
            </w:tcMar>
          </w:tcPr>
          <w:p w14:paraId="05934BC0" w14:textId="77777777" w:rsidR="00706657" w:rsidRPr="00460B68" w:rsidRDefault="00706657" w:rsidP="005E6F7A">
            <w:pPr>
              <w:tabs>
                <w:tab w:val="center" w:pos="3152"/>
              </w:tabs>
              <w:rPr>
                <w:rFonts w:cs="Arial"/>
                <w:szCs w:val="19"/>
                <w:lang w:val="en-US"/>
              </w:rPr>
            </w:pPr>
            <w:r w:rsidRPr="00D25041">
              <w:rPr>
                <w:rFonts w:cs="Arial"/>
                <w:szCs w:val="19"/>
                <w:lang w:val="en-US"/>
              </w:rPr>
              <w:t xml:space="preserve">Cystic fibrosis </w:t>
            </w:r>
            <w:r w:rsidRPr="00D25041">
              <w:rPr>
                <w:rFonts w:cs="Arial"/>
                <w:szCs w:val="19"/>
                <w:lang w:val="en-US"/>
              </w:rPr>
              <w:tab/>
              <w:t xml:space="preserve">in patients aged </w:t>
            </w:r>
            <w:r>
              <w:rPr>
                <w:rFonts w:cs="Arial"/>
                <w:szCs w:val="19"/>
                <w:lang w:val="en-US"/>
              </w:rPr>
              <w:t>≥</w:t>
            </w:r>
            <w:r w:rsidRPr="00D25041">
              <w:rPr>
                <w:rFonts w:cs="Arial"/>
                <w:szCs w:val="19"/>
                <w:lang w:val="en-US"/>
              </w:rPr>
              <w:t>6 years with at least one F508del mutation in the CFTR gene</w:t>
            </w:r>
            <w:r>
              <w:rPr>
                <w:rFonts w:cs="Arial"/>
                <w:szCs w:val="19"/>
                <w:lang w:val="en-US"/>
              </w:rPr>
              <w:t xml:space="preserve"> </w:t>
            </w:r>
            <w:r w:rsidRPr="00D25041">
              <w:rPr>
                <w:rFonts w:cs="Arial"/>
                <w:sz w:val="16"/>
                <w:szCs w:val="16"/>
                <w:lang w:val="en-US"/>
              </w:rPr>
              <w:t>[UK]</w:t>
            </w:r>
          </w:p>
        </w:tc>
      </w:tr>
      <w:tr w:rsidR="00706657" w:rsidRPr="000F19E1" w14:paraId="11C96805" w14:textId="77777777" w:rsidTr="00A15137">
        <w:tc>
          <w:tcPr>
            <w:tcW w:w="1091" w:type="pct"/>
            <w:shd w:val="clear" w:color="auto" w:fill="auto"/>
            <w:tcMar>
              <w:top w:w="0" w:type="dxa"/>
              <w:bottom w:w="0" w:type="dxa"/>
            </w:tcMar>
          </w:tcPr>
          <w:p w14:paraId="6ACC1292" w14:textId="77777777" w:rsidR="00706657" w:rsidRPr="000F19E1" w:rsidRDefault="00706657" w:rsidP="005E6F7A">
            <w:pPr>
              <w:rPr>
                <w:rFonts w:cs="Arial"/>
                <w:bCs/>
                <w:sz w:val="8"/>
                <w:szCs w:val="8"/>
              </w:rPr>
            </w:pPr>
          </w:p>
        </w:tc>
        <w:tc>
          <w:tcPr>
            <w:tcW w:w="3909" w:type="pct"/>
            <w:shd w:val="clear" w:color="auto" w:fill="auto"/>
            <w:tcMar>
              <w:top w:w="0" w:type="dxa"/>
              <w:bottom w:w="0" w:type="dxa"/>
            </w:tcMar>
          </w:tcPr>
          <w:p w14:paraId="31F15151" w14:textId="77777777" w:rsidR="00706657" w:rsidRPr="000F19E1" w:rsidRDefault="00706657" w:rsidP="005E6F7A">
            <w:pPr>
              <w:tabs>
                <w:tab w:val="center" w:pos="3152"/>
              </w:tabs>
              <w:rPr>
                <w:rFonts w:cs="Arial"/>
                <w:sz w:val="8"/>
                <w:szCs w:val="8"/>
                <w:lang w:val="en-US"/>
              </w:rPr>
            </w:pPr>
          </w:p>
        </w:tc>
      </w:tr>
      <w:tr w:rsidR="00706657" w:rsidRPr="000F19E1" w14:paraId="6D3C08EB" w14:textId="77777777" w:rsidTr="00A15137">
        <w:tc>
          <w:tcPr>
            <w:tcW w:w="1091" w:type="pct"/>
            <w:shd w:val="clear" w:color="auto" w:fill="DAEEF3"/>
            <w:tcMar>
              <w:top w:w="0" w:type="dxa"/>
              <w:bottom w:w="0" w:type="dxa"/>
            </w:tcMar>
          </w:tcPr>
          <w:p w14:paraId="76A84840" w14:textId="77777777" w:rsidR="00706657" w:rsidRPr="000F19E1" w:rsidRDefault="00706657" w:rsidP="005E6F7A">
            <w:pPr>
              <w:rPr>
                <w:rFonts w:cs="Arial"/>
                <w:bCs/>
                <w:sz w:val="8"/>
                <w:szCs w:val="8"/>
              </w:rPr>
            </w:pPr>
          </w:p>
        </w:tc>
        <w:tc>
          <w:tcPr>
            <w:tcW w:w="3909" w:type="pct"/>
            <w:shd w:val="clear" w:color="auto" w:fill="DAEEF3"/>
            <w:tcMar>
              <w:top w:w="0" w:type="dxa"/>
              <w:bottom w:w="0" w:type="dxa"/>
            </w:tcMar>
          </w:tcPr>
          <w:p w14:paraId="30E8C78C" w14:textId="77777777" w:rsidR="00706657" w:rsidRPr="000F19E1" w:rsidRDefault="00706657" w:rsidP="005E6F7A">
            <w:pPr>
              <w:tabs>
                <w:tab w:val="center" w:pos="3152"/>
              </w:tabs>
              <w:rPr>
                <w:rFonts w:cs="Arial"/>
                <w:sz w:val="8"/>
                <w:szCs w:val="8"/>
                <w:lang w:val="en-US"/>
              </w:rPr>
            </w:pPr>
          </w:p>
        </w:tc>
      </w:tr>
    </w:tbl>
    <w:p w14:paraId="3D9CAC2A" w14:textId="42D21E4F" w:rsidR="00AC74AF" w:rsidRDefault="00AC74AF">
      <w:r>
        <w:br w:type="page"/>
      </w:r>
    </w:p>
    <w:p w14:paraId="27682EEB" w14:textId="77777777" w:rsidR="00AC74AF" w:rsidRDefault="00AC74AF"/>
    <w:tbl>
      <w:tblPr>
        <w:tblW w:w="5170" w:type="pct"/>
        <w:tblInd w:w="-176" w:type="dxa"/>
        <w:tblLayout w:type="fixed"/>
        <w:tblLook w:val="01E0" w:firstRow="1" w:lastRow="1" w:firstColumn="1" w:lastColumn="1" w:noHBand="0" w:noVBand="0"/>
      </w:tblPr>
      <w:tblGrid>
        <w:gridCol w:w="2161"/>
        <w:gridCol w:w="698"/>
        <w:gridCol w:w="7692"/>
      </w:tblGrid>
      <w:tr w:rsidR="00AC74AF" w:rsidRPr="00862949" w14:paraId="1CF1FD0D" w14:textId="77777777" w:rsidTr="00CC78AD">
        <w:tc>
          <w:tcPr>
            <w:tcW w:w="5000" w:type="pct"/>
            <w:gridSpan w:val="3"/>
            <w:shd w:val="clear" w:color="auto" w:fill="0070C0"/>
            <w:tcMar>
              <w:top w:w="85" w:type="dxa"/>
              <w:bottom w:w="85" w:type="dxa"/>
            </w:tcMar>
            <w:vAlign w:val="bottom"/>
          </w:tcPr>
          <w:p w14:paraId="2D75D826" w14:textId="77777777" w:rsidR="00AC74AF" w:rsidRPr="00862949" w:rsidRDefault="00AC74AF" w:rsidP="00CC78AD">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AC74AF" w:rsidRPr="000F19E1" w14:paraId="1483A3FB" w14:textId="77777777" w:rsidTr="00CC78AD">
        <w:tc>
          <w:tcPr>
            <w:tcW w:w="1024" w:type="pct"/>
            <w:shd w:val="clear" w:color="auto" w:fill="DAEEF3"/>
            <w:tcMar>
              <w:top w:w="0" w:type="dxa"/>
              <w:bottom w:w="0" w:type="dxa"/>
            </w:tcMar>
          </w:tcPr>
          <w:p w14:paraId="0A85ADFF" w14:textId="77777777" w:rsidR="00AC74AF" w:rsidRPr="000F19E1" w:rsidRDefault="00AC74AF" w:rsidP="00CC78AD">
            <w:pPr>
              <w:rPr>
                <w:rFonts w:cs="Arial"/>
                <w:bCs/>
                <w:sz w:val="8"/>
                <w:szCs w:val="8"/>
              </w:rPr>
            </w:pPr>
          </w:p>
        </w:tc>
        <w:tc>
          <w:tcPr>
            <w:tcW w:w="3976" w:type="pct"/>
            <w:gridSpan w:val="2"/>
            <w:shd w:val="clear" w:color="auto" w:fill="DAEEF3"/>
            <w:tcMar>
              <w:top w:w="0" w:type="dxa"/>
              <w:bottom w:w="0" w:type="dxa"/>
            </w:tcMar>
          </w:tcPr>
          <w:p w14:paraId="4570D40C" w14:textId="77777777" w:rsidR="00AC74AF" w:rsidRPr="000F19E1" w:rsidRDefault="00AC74AF" w:rsidP="00CC78AD">
            <w:pPr>
              <w:tabs>
                <w:tab w:val="center" w:pos="3152"/>
              </w:tabs>
              <w:rPr>
                <w:rFonts w:cs="Arial"/>
                <w:sz w:val="8"/>
                <w:szCs w:val="8"/>
                <w:lang w:val="en-US"/>
              </w:rPr>
            </w:pPr>
          </w:p>
        </w:tc>
      </w:tr>
      <w:tr w:rsidR="00AC74AF" w:rsidRPr="00433D3E" w14:paraId="56B7FE21" w14:textId="77777777" w:rsidTr="00CC78AD">
        <w:tc>
          <w:tcPr>
            <w:tcW w:w="5000" w:type="pct"/>
            <w:gridSpan w:val="3"/>
            <w:shd w:val="clear" w:color="auto" w:fill="00B050"/>
            <w:tcMar>
              <w:top w:w="57" w:type="dxa"/>
              <w:bottom w:w="57" w:type="dxa"/>
            </w:tcMar>
          </w:tcPr>
          <w:p w14:paraId="40214099" w14:textId="12EC9145" w:rsidR="00AC74AF" w:rsidRPr="00433D3E" w:rsidRDefault="00AC74AF" w:rsidP="00CC78AD">
            <w:pPr>
              <w:rPr>
                <w:rFonts w:cs="Arial"/>
                <w:noProof/>
                <w:color w:val="FFFFFF"/>
                <w:sz w:val="16"/>
                <w:szCs w:val="16"/>
              </w:rPr>
            </w:pPr>
            <w:r w:rsidRPr="00433D3E">
              <w:rPr>
                <w:rFonts w:cs="Arial"/>
                <w:b/>
                <w:bCs/>
                <w:i/>
                <w:iCs/>
                <w:color w:val="FFFFFF"/>
                <w:sz w:val="22"/>
                <w:szCs w:val="20"/>
                <w:lang w:val="en-US"/>
              </w:rPr>
              <w:t xml:space="preserve">Filed for approval in the </w:t>
            </w:r>
            <w:r>
              <w:rPr>
                <w:rFonts w:cs="Arial"/>
                <w:b/>
                <w:bCs/>
                <w:i/>
                <w:iCs/>
                <w:color w:val="FFFFFF"/>
                <w:sz w:val="22"/>
                <w:szCs w:val="20"/>
                <w:lang w:val="en-US"/>
              </w:rPr>
              <w:t xml:space="preserve">UK or </w:t>
            </w:r>
            <w:r w:rsidRPr="00433D3E">
              <w:rPr>
                <w:rFonts w:cs="Arial"/>
                <w:b/>
                <w:bCs/>
                <w:i/>
                <w:iCs/>
                <w:color w:val="FFFFFF"/>
                <w:sz w:val="22"/>
                <w:szCs w:val="20"/>
                <w:lang w:val="en-US"/>
              </w:rPr>
              <w:t>EU</w:t>
            </w:r>
            <w:r w:rsidR="00706657">
              <w:rPr>
                <w:rFonts w:cs="Arial"/>
                <w:b/>
                <w:bCs/>
                <w:i/>
                <w:iCs/>
                <w:color w:val="FFFFFF"/>
                <w:sz w:val="22"/>
                <w:szCs w:val="20"/>
                <w:lang w:val="en-US"/>
              </w:rPr>
              <w:t xml:space="preserve"> </w:t>
            </w:r>
            <w:r w:rsidR="00706657" w:rsidRPr="00706657">
              <w:rPr>
                <w:rFonts w:cs="Arial"/>
                <w:b/>
                <w:bCs/>
                <w:color w:val="FFFFFF"/>
                <w:sz w:val="16"/>
                <w:szCs w:val="14"/>
                <w:lang w:val="en-US"/>
              </w:rPr>
              <w:t>(continued)</w:t>
            </w:r>
          </w:p>
        </w:tc>
      </w:tr>
      <w:tr w:rsidR="00AC74AF" w:rsidRPr="00A075A3" w14:paraId="13ACA2A0" w14:textId="77777777" w:rsidTr="00706657">
        <w:tc>
          <w:tcPr>
            <w:tcW w:w="1024" w:type="pct"/>
            <w:shd w:val="clear" w:color="auto" w:fill="auto"/>
            <w:tcMar>
              <w:top w:w="57" w:type="dxa"/>
              <w:bottom w:w="57" w:type="dxa"/>
            </w:tcMar>
          </w:tcPr>
          <w:p w14:paraId="1476C27B" w14:textId="77777777" w:rsidR="00AC74AF" w:rsidRPr="00AB72B3" w:rsidRDefault="00AC74AF" w:rsidP="00CC78AD">
            <w:pPr>
              <w:rPr>
                <w:rFonts w:cs="Arial"/>
                <w:szCs w:val="19"/>
              </w:rPr>
            </w:pPr>
            <w:r w:rsidRPr="002B5ED1">
              <w:rPr>
                <w:rFonts w:cs="Arial"/>
                <w:szCs w:val="19"/>
              </w:rPr>
              <w:t>Efgartigimod alfa</w:t>
            </w:r>
            <w:r>
              <w:rPr>
                <w:rFonts w:cs="Arial"/>
                <w:szCs w:val="19"/>
              </w:rPr>
              <w:t xml:space="preserve"> (</w:t>
            </w:r>
            <w:r>
              <w:rPr>
                <w:rFonts w:cs="Arial"/>
                <w:i/>
                <w:iCs/>
                <w:szCs w:val="19"/>
              </w:rPr>
              <w:t>Vyvgart</w:t>
            </w:r>
            <w:r>
              <w:rPr>
                <w:rFonts w:cs="Arial"/>
                <w:szCs w:val="19"/>
              </w:rPr>
              <w:t>)</w:t>
            </w:r>
            <w:r w:rsidRPr="002B5ED1">
              <w:rPr>
                <w:rFonts w:cs="Arial"/>
                <w:szCs w:val="19"/>
              </w:rPr>
              <w:t> </w:t>
            </w:r>
          </w:p>
        </w:tc>
        <w:tc>
          <w:tcPr>
            <w:tcW w:w="3976" w:type="pct"/>
            <w:gridSpan w:val="2"/>
            <w:shd w:val="clear" w:color="auto" w:fill="auto"/>
            <w:tcMar>
              <w:top w:w="57" w:type="dxa"/>
              <w:bottom w:w="57" w:type="dxa"/>
            </w:tcMar>
          </w:tcPr>
          <w:p w14:paraId="2B0FAEAB" w14:textId="77777777" w:rsidR="00AC74AF" w:rsidRPr="00AB72B3" w:rsidRDefault="00AC74AF" w:rsidP="00CC78AD">
            <w:pPr>
              <w:tabs>
                <w:tab w:val="center" w:pos="3152"/>
              </w:tabs>
              <w:rPr>
                <w:rFonts w:cs="Arial"/>
                <w:szCs w:val="19"/>
                <w:lang w:val="en-US"/>
              </w:rPr>
            </w:pPr>
            <w:r w:rsidRPr="002B5ED1">
              <w:rPr>
                <w:rFonts w:cs="Arial"/>
                <w:szCs w:val="19"/>
                <w:lang w:val="en-US"/>
              </w:rPr>
              <w:t>Treatment of adults with chronic inflammatory demyelinating polyneuropathy</w:t>
            </w:r>
            <w:r>
              <w:rPr>
                <w:rFonts w:cs="Arial"/>
                <w:szCs w:val="19"/>
                <w:lang w:val="en-US"/>
              </w:rPr>
              <w:t xml:space="preserve"> </w:t>
            </w:r>
            <w:r w:rsidRPr="002B5ED1">
              <w:rPr>
                <w:rFonts w:cs="Arial"/>
                <w:sz w:val="16"/>
                <w:szCs w:val="16"/>
                <w:lang w:val="en-US"/>
              </w:rPr>
              <w:t>[EU]</w:t>
            </w:r>
          </w:p>
        </w:tc>
      </w:tr>
      <w:tr w:rsidR="00AC74AF" w:rsidRPr="00A075A3" w14:paraId="66B7174F" w14:textId="77777777" w:rsidTr="00706657">
        <w:tc>
          <w:tcPr>
            <w:tcW w:w="1024" w:type="pct"/>
            <w:shd w:val="clear" w:color="auto" w:fill="auto"/>
            <w:tcMar>
              <w:top w:w="57" w:type="dxa"/>
              <w:bottom w:w="57" w:type="dxa"/>
            </w:tcMar>
          </w:tcPr>
          <w:p w14:paraId="60E7990F" w14:textId="77777777" w:rsidR="00AC74AF" w:rsidRDefault="00AC74AF" w:rsidP="00CC78AD">
            <w:pPr>
              <w:rPr>
                <w:rFonts w:cs="Arial"/>
                <w:szCs w:val="19"/>
              </w:rPr>
            </w:pPr>
            <w:r w:rsidRPr="00AB72B3">
              <w:rPr>
                <w:rFonts w:cs="Arial"/>
                <w:szCs w:val="19"/>
              </w:rPr>
              <w:t>Hydromethylthionine mesylate </w:t>
            </w:r>
          </w:p>
        </w:tc>
        <w:tc>
          <w:tcPr>
            <w:tcW w:w="3976" w:type="pct"/>
            <w:gridSpan w:val="2"/>
            <w:shd w:val="clear" w:color="auto" w:fill="auto"/>
            <w:tcMar>
              <w:top w:w="57" w:type="dxa"/>
              <w:bottom w:w="57" w:type="dxa"/>
            </w:tcMar>
          </w:tcPr>
          <w:p w14:paraId="2FE7B27C" w14:textId="77777777" w:rsidR="00AC74AF" w:rsidRPr="00460B68" w:rsidRDefault="00AC74AF" w:rsidP="00CC78AD">
            <w:pPr>
              <w:tabs>
                <w:tab w:val="center" w:pos="3152"/>
              </w:tabs>
              <w:rPr>
                <w:rFonts w:cs="Arial"/>
                <w:szCs w:val="19"/>
                <w:lang w:val="en-US"/>
              </w:rPr>
            </w:pPr>
            <w:r w:rsidRPr="00AB72B3">
              <w:rPr>
                <w:rFonts w:cs="Arial"/>
                <w:szCs w:val="19"/>
                <w:lang w:val="en-US"/>
              </w:rPr>
              <w:t>Treatment of mild cognitive impairment and mild to moderate stages of dementia due to Alzheimer’s disease</w:t>
            </w:r>
            <w:r>
              <w:rPr>
                <w:rFonts w:cs="Arial"/>
                <w:szCs w:val="19"/>
                <w:lang w:val="en-US"/>
              </w:rPr>
              <w:t xml:space="preserve"> </w:t>
            </w:r>
            <w:r w:rsidRPr="00AB72B3">
              <w:rPr>
                <w:rFonts w:cs="Arial"/>
                <w:sz w:val="16"/>
                <w:szCs w:val="16"/>
                <w:lang w:val="en-US"/>
              </w:rPr>
              <w:t>[UK]</w:t>
            </w:r>
          </w:p>
        </w:tc>
      </w:tr>
      <w:tr w:rsidR="00AC74AF" w:rsidRPr="00A075A3" w14:paraId="71814A45" w14:textId="77777777" w:rsidTr="00706657">
        <w:tc>
          <w:tcPr>
            <w:tcW w:w="1024" w:type="pct"/>
            <w:shd w:val="clear" w:color="auto" w:fill="auto"/>
            <w:tcMar>
              <w:top w:w="57" w:type="dxa"/>
              <w:bottom w:w="57" w:type="dxa"/>
            </w:tcMar>
          </w:tcPr>
          <w:p w14:paraId="190630DB" w14:textId="77777777" w:rsidR="00AC74AF" w:rsidRDefault="00AC74AF" w:rsidP="00CC78AD">
            <w:pPr>
              <w:rPr>
                <w:rFonts w:cs="Arial"/>
                <w:szCs w:val="19"/>
              </w:rPr>
            </w:pPr>
            <w:r>
              <w:rPr>
                <w:rFonts w:cs="Arial"/>
                <w:szCs w:val="19"/>
              </w:rPr>
              <w:t>Ipilimumab (</w:t>
            </w:r>
            <w:r w:rsidRPr="00F41C9A">
              <w:rPr>
                <w:rFonts w:cs="Arial"/>
                <w:i/>
                <w:iCs/>
                <w:szCs w:val="19"/>
              </w:rPr>
              <w:t>Yervoy</w:t>
            </w:r>
            <w:r>
              <w:rPr>
                <w:rFonts w:cs="Arial"/>
                <w:szCs w:val="19"/>
              </w:rPr>
              <w:t>)</w:t>
            </w:r>
          </w:p>
        </w:tc>
        <w:tc>
          <w:tcPr>
            <w:tcW w:w="3976" w:type="pct"/>
            <w:gridSpan w:val="2"/>
            <w:shd w:val="clear" w:color="auto" w:fill="auto"/>
            <w:tcMar>
              <w:top w:w="57" w:type="dxa"/>
              <w:bottom w:w="57" w:type="dxa"/>
            </w:tcMar>
          </w:tcPr>
          <w:p w14:paraId="1D8CFE67" w14:textId="77777777" w:rsidR="00AC74AF" w:rsidRDefault="00AC74AF" w:rsidP="00CC78AD">
            <w:pPr>
              <w:tabs>
                <w:tab w:val="center" w:pos="3152"/>
              </w:tabs>
              <w:rPr>
                <w:rFonts w:cs="Arial"/>
                <w:sz w:val="16"/>
                <w:szCs w:val="16"/>
                <w:lang w:val="en-US"/>
              </w:rPr>
            </w:pPr>
            <w:r w:rsidRPr="007D415D">
              <w:rPr>
                <w:rFonts w:cs="Arial"/>
                <w:szCs w:val="19"/>
                <w:lang w:val="en-US"/>
              </w:rPr>
              <w:t>Use</w:t>
            </w:r>
            <w:r>
              <w:rPr>
                <w:rFonts w:cs="Arial"/>
                <w:szCs w:val="19"/>
                <w:lang w:val="en-US"/>
              </w:rPr>
              <w:t xml:space="preserve"> </w:t>
            </w:r>
            <w:r w:rsidRPr="007D415D">
              <w:rPr>
                <w:rFonts w:cs="Arial"/>
                <w:szCs w:val="19"/>
                <w:lang w:val="en-US"/>
              </w:rPr>
              <w:t xml:space="preserve">in combination </w:t>
            </w:r>
            <w:r>
              <w:rPr>
                <w:rFonts w:cs="Arial"/>
                <w:szCs w:val="19"/>
                <w:lang w:val="en-US"/>
              </w:rPr>
              <w:t xml:space="preserve">with nivolumab </w:t>
            </w:r>
            <w:r w:rsidRPr="007D415D">
              <w:rPr>
                <w:rFonts w:cs="Arial"/>
                <w:szCs w:val="19"/>
                <w:lang w:val="en-US"/>
              </w:rPr>
              <w:t xml:space="preserve">as a first-line treatment for </w:t>
            </w:r>
            <w:r>
              <w:rPr>
                <w:rFonts w:cs="Arial"/>
                <w:szCs w:val="19"/>
                <w:lang w:val="en-US"/>
              </w:rPr>
              <w:t>adults</w:t>
            </w:r>
            <w:r w:rsidRPr="007D415D">
              <w:rPr>
                <w:rFonts w:cs="Arial"/>
                <w:szCs w:val="19"/>
                <w:lang w:val="en-US"/>
              </w:rPr>
              <w:t xml:space="preserve"> with unresectable or advanced hepatocellular carcinoma who have not received prior systemic therapy</w:t>
            </w:r>
            <w:r>
              <w:rPr>
                <w:rFonts w:cs="Arial"/>
                <w:szCs w:val="19"/>
                <w:lang w:val="en-US"/>
              </w:rPr>
              <w:t xml:space="preserve"> </w:t>
            </w:r>
            <w:r w:rsidRPr="006C5B20">
              <w:rPr>
                <w:rFonts w:cs="Arial"/>
                <w:sz w:val="16"/>
                <w:szCs w:val="16"/>
                <w:lang w:val="en-US"/>
              </w:rPr>
              <w:t>[EU]</w:t>
            </w:r>
            <w:r>
              <w:rPr>
                <w:rFonts w:cs="Arial"/>
                <w:sz w:val="16"/>
                <w:szCs w:val="16"/>
                <w:lang w:val="en-US"/>
              </w:rPr>
              <w:t xml:space="preserve"> </w:t>
            </w:r>
          </w:p>
          <w:p w14:paraId="45087BC7" w14:textId="77777777" w:rsidR="00AC74AF" w:rsidRPr="007D415D" w:rsidRDefault="00AC74AF" w:rsidP="00CC78AD">
            <w:pPr>
              <w:tabs>
                <w:tab w:val="center" w:pos="3152"/>
              </w:tabs>
              <w:rPr>
                <w:rFonts w:cs="Arial"/>
                <w:szCs w:val="19"/>
                <w:lang w:val="en-US"/>
              </w:rPr>
            </w:pPr>
            <w:r>
              <w:rPr>
                <w:rFonts w:cs="Arial"/>
                <w:sz w:val="16"/>
                <w:szCs w:val="16"/>
                <w:lang w:val="en-US"/>
              </w:rPr>
              <w:t>[new indication]</w:t>
            </w:r>
          </w:p>
        </w:tc>
      </w:tr>
      <w:tr w:rsidR="00AC74AF" w:rsidRPr="00A075A3" w14:paraId="16C38353" w14:textId="77777777" w:rsidTr="00706657">
        <w:tc>
          <w:tcPr>
            <w:tcW w:w="1024" w:type="pct"/>
            <w:shd w:val="clear" w:color="auto" w:fill="auto"/>
            <w:tcMar>
              <w:top w:w="57" w:type="dxa"/>
              <w:bottom w:w="57" w:type="dxa"/>
            </w:tcMar>
          </w:tcPr>
          <w:p w14:paraId="080B3620" w14:textId="77777777" w:rsidR="00AC74AF" w:rsidRPr="007D415D" w:rsidRDefault="00AC74AF" w:rsidP="00CC78AD">
            <w:pPr>
              <w:rPr>
                <w:rFonts w:cs="Arial"/>
                <w:szCs w:val="19"/>
              </w:rPr>
            </w:pPr>
            <w:r>
              <w:rPr>
                <w:rFonts w:cs="Arial"/>
                <w:szCs w:val="19"/>
              </w:rPr>
              <w:t>Nivolumab (</w:t>
            </w:r>
            <w:r>
              <w:rPr>
                <w:rFonts w:cs="Arial"/>
                <w:i/>
                <w:iCs/>
                <w:szCs w:val="19"/>
              </w:rPr>
              <w:t>Opdivo</w:t>
            </w:r>
            <w:r>
              <w:rPr>
                <w:rFonts w:cs="Arial"/>
                <w:szCs w:val="19"/>
              </w:rPr>
              <w:t>)</w:t>
            </w:r>
          </w:p>
        </w:tc>
        <w:tc>
          <w:tcPr>
            <w:tcW w:w="3976" w:type="pct"/>
            <w:gridSpan w:val="2"/>
            <w:shd w:val="clear" w:color="auto" w:fill="auto"/>
            <w:tcMar>
              <w:top w:w="57" w:type="dxa"/>
              <w:bottom w:w="57" w:type="dxa"/>
            </w:tcMar>
          </w:tcPr>
          <w:p w14:paraId="3128233F" w14:textId="77777777" w:rsidR="00AC74AF" w:rsidRDefault="00AC74AF" w:rsidP="00CC78AD">
            <w:pPr>
              <w:tabs>
                <w:tab w:val="center" w:pos="3152"/>
              </w:tabs>
              <w:rPr>
                <w:rFonts w:cs="Arial"/>
                <w:sz w:val="16"/>
                <w:szCs w:val="16"/>
                <w:lang w:val="en-US"/>
              </w:rPr>
            </w:pPr>
            <w:r w:rsidRPr="007D415D">
              <w:rPr>
                <w:rFonts w:cs="Arial"/>
                <w:szCs w:val="19"/>
                <w:lang w:val="en-US"/>
              </w:rPr>
              <w:t>Use</w:t>
            </w:r>
            <w:r>
              <w:rPr>
                <w:rFonts w:cs="Arial"/>
                <w:szCs w:val="19"/>
                <w:lang w:val="en-US"/>
              </w:rPr>
              <w:t xml:space="preserve"> </w:t>
            </w:r>
            <w:r w:rsidRPr="007D415D">
              <w:rPr>
                <w:rFonts w:cs="Arial"/>
                <w:szCs w:val="19"/>
                <w:lang w:val="en-US"/>
              </w:rPr>
              <w:t xml:space="preserve">in combination </w:t>
            </w:r>
            <w:r>
              <w:rPr>
                <w:rFonts w:cs="Arial"/>
                <w:szCs w:val="19"/>
                <w:lang w:val="en-US"/>
              </w:rPr>
              <w:t xml:space="preserve">with ipilimumab </w:t>
            </w:r>
            <w:r w:rsidRPr="007D415D">
              <w:rPr>
                <w:rFonts w:cs="Arial"/>
                <w:szCs w:val="19"/>
                <w:lang w:val="en-US"/>
              </w:rPr>
              <w:t xml:space="preserve">as a first-line treatment for </w:t>
            </w:r>
            <w:r>
              <w:rPr>
                <w:rFonts w:cs="Arial"/>
                <w:szCs w:val="19"/>
                <w:lang w:val="en-US"/>
              </w:rPr>
              <w:t>adults</w:t>
            </w:r>
            <w:r w:rsidRPr="007D415D">
              <w:rPr>
                <w:rFonts w:cs="Arial"/>
                <w:szCs w:val="19"/>
                <w:lang w:val="en-US"/>
              </w:rPr>
              <w:t xml:space="preserve"> with unresectable or advanced hepatocellular carcinoma who have not received prior systemic therapy</w:t>
            </w:r>
            <w:r>
              <w:rPr>
                <w:rFonts w:cs="Arial"/>
                <w:szCs w:val="19"/>
                <w:lang w:val="en-US"/>
              </w:rPr>
              <w:t xml:space="preserve"> </w:t>
            </w:r>
            <w:r w:rsidRPr="006C5B20">
              <w:rPr>
                <w:rFonts w:cs="Arial"/>
                <w:sz w:val="16"/>
                <w:szCs w:val="16"/>
                <w:lang w:val="en-US"/>
              </w:rPr>
              <w:t>[EU]</w:t>
            </w:r>
            <w:r>
              <w:rPr>
                <w:rFonts w:cs="Arial"/>
                <w:sz w:val="16"/>
                <w:szCs w:val="16"/>
                <w:lang w:val="en-US"/>
              </w:rPr>
              <w:t xml:space="preserve"> </w:t>
            </w:r>
          </w:p>
          <w:p w14:paraId="6BDCF583" w14:textId="77777777" w:rsidR="00AC74AF" w:rsidRPr="00673041" w:rsidRDefault="00AC74AF" w:rsidP="00CC78AD">
            <w:pPr>
              <w:tabs>
                <w:tab w:val="center" w:pos="3152"/>
              </w:tabs>
              <w:rPr>
                <w:rFonts w:cs="Arial"/>
                <w:szCs w:val="19"/>
                <w:lang w:val="en-US"/>
              </w:rPr>
            </w:pPr>
            <w:r>
              <w:rPr>
                <w:rFonts w:cs="Arial"/>
                <w:sz w:val="16"/>
                <w:szCs w:val="16"/>
                <w:lang w:val="en-US"/>
              </w:rPr>
              <w:t>[new indication]</w:t>
            </w:r>
          </w:p>
        </w:tc>
      </w:tr>
      <w:tr w:rsidR="00AC74AF" w:rsidRPr="00A075A3" w14:paraId="5591D64B" w14:textId="77777777" w:rsidTr="00706657">
        <w:tc>
          <w:tcPr>
            <w:tcW w:w="1024" w:type="pct"/>
            <w:shd w:val="clear" w:color="auto" w:fill="auto"/>
            <w:tcMar>
              <w:top w:w="57" w:type="dxa"/>
              <w:bottom w:w="57" w:type="dxa"/>
            </w:tcMar>
          </w:tcPr>
          <w:p w14:paraId="6591CDCF" w14:textId="77777777" w:rsidR="00AC74AF" w:rsidRPr="004910AC" w:rsidRDefault="00AC74AF" w:rsidP="00CC78AD">
            <w:pPr>
              <w:rPr>
                <w:rFonts w:cs="Arial"/>
                <w:szCs w:val="19"/>
              </w:rPr>
            </w:pPr>
            <w:r w:rsidRPr="00673041">
              <w:rPr>
                <w:rFonts w:cs="Arial"/>
                <w:szCs w:val="19"/>
              </w:rPr>
              <w:t>Sipavibart</w:t>
            </w:r>
            <w:r>
              <w:rPr>
                <w:rFonts w:cs="Arial"/>
                <w:szCs w:val="19"/>
              </w:rPr>
              <w:t xml:space="preserve"> </w:t>
            </w:r>
          </w:p>
        </w:tc>
        <w:tc>
          <w:tcPr>
            <w:tcW w:w="3976" w:type="pct"/>
            <w:gridSpan w:val="2"/>
            <w:shd w:val="clear" w:color="auto" w:fill="auto"/>
            <w:tcMar>
              <w:top w:w="57" w:type="dxa"/>
              <w:bottom w:w="57" w:type="dxa"/>
            </w:tcMar>
          </w:tcPr>
          <w:p w14:paraId="2591630E" w14:textId="77777777" w:rsidR="00AC74AF" w:rsidRPr="00460B68" w:rsidRDefault="00AC74AF" w:rsidP="00CC78AD">
            <w:pPr>
              <w:tabs>
                <w:tab w:val="center" w:pos="3152"/>
              </w:tabs>
              <w:rPr>
                <w:rFonts w:cs="Arial"/>
                <w:szCs w:val="19"/>
                <w:lang w:val="en-US"/>
              </w:rPr>
            </w:pPr>
            <w:r w:rsidRPr="00673041">
              <w:rPr>
                <w:rFonts w:cs="Arial"/>
                <w:szCs w:val="19"/>
                <w:lang w:val="en-US"/>
              </w:rPr>
              <w:t>Pre-exposure prophylaxis of COVID-19 in immunocompromised patients</w:t>
            </w:r>
            <w:r>
              <w:rPr>
                <w:rFonts w:cs="Arial"/>
                <w:szCs w:val="19"/>
                <w:lang w:val="en-US"/>
              </w:rPr>
              <w:t xml:space="preserve"> </w:t>
            </w:r>
            <w:r w:rsidRPr="00CF2AE2">
              <w:rPr>
                <w:rFonts w:cs="Arial"/>
                <w:szCs w:val="19"/>
                <w:lang w:val="en-US"/>
              </w:rPr>
              <w:t xml:space="preserve">aged </w:t>
            </w:r>
            <w:r>
              <w:rPr>
                <w:rFonts w:cs="Arial"/>
                <w:szCs w:val="19"/>
                <w:lang w:val="en-US"/>
              </w:rPr>
              <w:t>≥1</w:t>
            </w:r>
            <w:r w:rsidRPr="00CF2AE2">
              <w:rPr>
                <w:rFonts w:cs="Arial"/>
                <w:szCs w:val="19"/>
                <w:lang w:val="en-US"/>
              </w:rPr>
              <w:t>2 years</w:t>
            </w:r>
            <w:r>
              <w:rPr>
                <w:rFonts w:cs="Arial"/>
                <w:szCs w:val="19"/>
                <w:lang w:val="en-US"/>
              </w:rPr>
              <w:t xml:space="preserve"> </w:t>
            </w:r>
            <w:r w:rsidRPr="00424FFD">
              <w:rPr>
                <w:rFonts w:cs="Arial"/>
                <w:sz w:val="16"/>
                <w:szCs w:val="16"/>
                <w:lang w:val="en-US"/>
              </w:rPr>
              <w:t>[EU]</w:t>
            </w:r>
          </w:p>
        </w:tc>
      </w:tr>
      <w:tr w:rsidR="00AC74AF" w:rsidRPr="00A075A3" w14:paraId="0B04E01C" w14:textId="77777777" w:rsidTr="00706657">
        <w:tc>
          <w:tcPr>
            <w:tcW w:w="1024" w:type="pct"/>
            <w:shd w:val="clear" w:color="auto" w:fill="auto"/>
            <w:tcMar>
              <w:top w:w="57" w:type="dxa"/>
              <w:bottom w:w="57" w:type="dxa"/>
            </w:tcMar>
          </w:tcPr>
          <w:p w14:paraId="56D6DCA7" w14:textId="77777777" w:rsidR="00AC74AF" w:rsidRPr="002446F5" w:rsidRDefault="00AC74AF" w:rsidP="00CC78AD">
            <w:pPr>
              <w:rPr>
                <w:rFonts w:cs="Arial"/>
                <w:szCs w:val="19"/>
              </w:rPr>
            </w:pPr>
            <w:r w:rsidRPr="000C6AB7">
              <w:rPr>
                <w:rFonts w:cs="Arial"/>
                <w:szCs w:val="19"/>
              </w:rPr>
              <w:t>TAK-880 </w:t>
            </w:r>
          </w:p>
        </w:tc>
        <w:tc>
          <w:tcPr>
            <w:tcW w:w="3976" w:type="pct"/>
            <w:gridSpan w:val="2"/>
            <w:shd w:val="clear" w:color="auto" w:fill="auto"/>
            <w:tcMar>
              <w:top w:w="57" w:type="dxa"/>
              <w:bottom w:w="57" w:type="dxa"/>
            </w:tcMar>
          </w:tcPr>
          <w:p w14:paraId="0BDBD19B" w14:textId="3B261857" w:rsidR="00AC74AF" w:rsidRPr="003F02CB" w:rsidRDefault="00AC74AF" w:rsidP="00CC78AD">
            <w:pPr>
              <w:tabs>
                <w:tab w:val="center" w:pos="3152"/>
              </w:tabs>
              <w:rPr>
                <w:rFonts w:cs="Arial"/>
                <w:szCs w:val="19"/>
                <w:lang w:val="en-US"/>
              </w:rPr>
            </w:pPr>
            <w:r w:rsidRPr="00CF2AE2">
              <w:rPr>
                <w:rFonts w:cs="Arial"/>
                <w:szCs w:val="19"/>
                <w:lang w:val="en-US"/>
              </w:rPr>
              <w:t xml:space="preserve">Primary immunodeficiency </w:t>
            </w:r>
            <w:r>
              <w:rPr>
                <w:rFonts w:cs="Arial"/>
                <w:szCs w:val="19"/>
                <w:lang w:val="en-US"/>
              </w:rPr>
              <w:t xml:space="preserve">in </w:t>
            </w:r>
            <w:r w:rsidRPr="00CF2AE2">
              <w:rPr>
                <w:rFonts w:cs="Arial"/>
                <w:szCs w:val="19"/>
                <w:lang w:val="en-US"/>
              </w:rPr>
              <w:t xml:space="preserve">patients aged </w:t>
            </w:r>
            <w:r>
              <w:rPr>
                <w:rFonts w:cs="Arial"/>
                <w:szCs w:val="19"/>
                <w:lang w:val="en-US"/>
              </w:rPr>
              <w:t>≥</w:t>
            </w:r>
            <w:r w:rsidRPr="00CF2AE2">
              <w:rPr>
                <w:rFonts w:cs="Arial"/>
                <w:szCs w:val="19"/>
                <w:lang w:val="en-US"/>
              </w:rPr>
              <w:t xml:space="preserve">2 years with </w:t>
            </w:r>
            <w:r>
              <w:rPr>
                <w:rFonts w:cs="Arial"/>
                <w:szCs w:val="19"/>
                <w:lang w:val="en-US"/>
              </w:rPr>
              <w:t xml:space="preserve">immunoglobulin </w:t>
            </w:r>
            <w:r w:rsidRPr="00CF2AE2">
              <w:rPr>
                <w:rFonts w:cs="Arial"/>
                <w:szCs w:val="19"/>
                <w:lang w:val="en-US"/>
              </w:rPr>
              <w:t>A deficiency</w:t>
            </w:r>
            <w:r>
              <w:rPr>
                <w:rFonts w:cs="Arial"/>
                <w:szCs w:val="19"/>
                <w:lang w:val="en-US"/>
              </w:rPr>
              <w:t xml:space="preserve"> </w:t>
            </w:r>
            <w:r w:rsidRPr="00424FFD">
              <w:rPr>
                <w:rFonts w:cs="Arial"/>
                <w:sz w:val="16"/>
                <w:szCs w:val="16"/>
                <w:lang w:val="en-US"/>
              </w:rPr>
              <w:t>[EU]</w:t>
            </w:r>
          </w:p>
        </w:tc>
      </w:tr>
      <w:tr w:rsidR="00AC74AF" w:rsidRPr="00A075A3" w14:paraId="0207C7ED" w14:textId="77777777" w:rsidTr="00706657">
        <w:tc>
          <w:tcPr>
            <w:tcW w:w="1024" w:type="pct"/>
            <w:shd w:val="clear" w:color="auto" w:fill="auto"/>
            <w:tcMar>
              <w:top w:w="57" w:type="dxa"/>
              <w:bottom w:w="57" w:type="dxa"/>
            </w:tcMar>
          </w:tcPr>
          <w:p w14:paraId="55163982" w14:textId="77777777" w:rsidR="00AC74AF" w:rsidRPr="006C5B20" w:rsidRDefault="00AC74AF" w:rsidP="00CC78AD">
            <w:pPr>
              <w:rPr>
                <w:rFonts w:cs="Arial"/>
                <w:szCs w:val="19"/>
              </w:rPr>
            </w:pPr>
            <w:r>
              <w:rPr>
                <w:rFonts w:cs="Arial"/>
                <w:szCs w:val="19"/>
              </w:rPr>
              <w:t>Upadacitinib (</w:t>
            </w:r>
            <w:r>
              <w:rPr>
                <w:rFonts w:cs="Arial"/>
                <w:i/>
                <w:iCs/>
                <w:szCs w:val="19"/>
              </w:rPr>
              <w:t>Rinvoq</w:t>
            </w:r>
            <w:r>
              <w:rPr>
                <w:rFonts w:cs="Arial"/>
                <w:szCs w:val="19"/>
              </w:rPr>
              <w:t>)</w:t>
            </w:r>
          </w:p>
        </w:tc>
        <w:tc>
          <w:tcPr>
            <w:tcW w:w="3976" w:type="pct"/>
            <w:gridSpan w:val="2"/>
            <w:shd w:val="clear" w:color="auto" w:fill="auto"/>
            <w:tcMar>
              <w:top w:w="57" w:type="dxa"/>
              <w:bottom w:w="57" w:type="dxa"/>
            </w:tcMar>
          </w:tcPr>
          <w:p w14:paraId="50A917ED" w14:textId="77777777" w:rsidR="00AC74AF" w:rsidRPr="00272180" w:rsidRDefault="00AC74AF" w:rsidP="00CC78AD">
            <w:pPr>
              <w:tabs>
                <w:tab w:val="center" w:pos="3152"/>
              </w:tabs>
              <w:rPr>
                <w:rFonts w:cs="Arial"/>
                <w:szCs w:val="19"/>
                <w:lang w:val="en-US"/>
              </w:rPr>
            </w:pPr>
            <w:r>
              <w:rPr>
                <w:rFonts w:cs="Arial"/>
                <w:szCs w:val="19"/>
                <w:lang w:val="en-US"/>
              </w:rPr>
              <w:t xml:space="preserve">Treatment of giant cell arteritis in adults </w:t>
            </w:r>
            <w:r w:rsidRPr="006C5B20">
              <w:rPr>
                <w:rFonts w:cs="Arial"/>
                <w:sz w:val="16"/>
                <w:szCs w:val="16"/>
                <w:lang w:val="en-US"/>
              </w:rPr>
              <w:t>[EU] [new indication]</w:t>
            </w:r>
          </w:p>
        </w:tc>
      </w:tr>
      <w:tr w:rsidR="00AC74AF" w:rsidRPr="00A075A3" w14:paraId="2A3E17D8" w14:textId="77777777" w:rsidTr="00706657">
        <w:tc>
          <w:tcPr>
            <w:tcW w:w="1024" w:type="pct"/>
            <w:shd w:val="clear" w:color="auto" w:fill="auto"/>
            <w:tcMar>
              <w:top w:w="57" w:type="dxa"/>
              <w:bottom w:w="57" w:type="dxa"/>
            </w:tcMar>
          </w:tcPr>
          <w:p w14:paraId="7F8D86FE" w14:textId="77777777" w:rsidR="00AC74AF" w:rsidRDefault="00AC74AF" w:rsidP="00CC78AD">
            <w:pPr>
              <w:rPr>
                <w:rFonts w:cs="Arial"/>
                <w:szCs w:val="19"/>
              </w:rPr>
            </w:pPr>
            <w:r w:rsidRPr="00072499">
              <w:rPr>
                <w:rFonts w:cs="Arial"/>
                <w:szCs w:val="19"/>
              </w:rPr>
              <w:t>Vimseltinib</w:t>
            </w:r>
            <w:r>
              <w:rPr>
                <w:rFonts w:cs="Arial"/>
                <w:szCs w:val="19"/>
              </w:rPr>
              <w:t xml:space="preserve"> </w:t>
            </w:r>
          </w:p>
        </w:tc>
        <w:tc>
          <w:tcPr>
            <w:tcW w:w="3976" w:type="pct"/>
            <w:gridSpan w:val="2"/>
            <w:shd w:val="clear" w:color="auto" w:fill="auto"/>
            <w:tcMar>
              <w:top w:w="57" w:type="dxa"/>
              <w:bottom w:w="57" w:type="dxa"/>
            </w:tcMar>
          </w:tcPr>
          <w:p w14:paraId="7380AB72" w14:textId="77777777" w:rsidR="00AC74AF" w:rsidRDefault="00AC74AF" w:rsidP="00CC78AD">
            <w:pPr>
              <w:tabs>
                <w:tab w:val="center" w:pos="3152"/>
              </w:tabs>
              <w:rPr>
                <w:rFonts w:cs="Arial"/>
                <w:szCs w:val="19"/>
                <w:lang w:val="en-US"/>
              </w:rPr>
            </w:pPr>
            <w:r>
              <w:rPr>
                <w:rFonts w:cs="Arial"/>
                <w:szCs w:val="19"/>
                <w:lang w:val="en-US"/>
              </w:rPr>
              <w:t xml:space="preserve">Treatment of </w:t>
            </w:r>
            <w:r w:rsidRPr="00072499">
              <w:rPr>
                <w:rFonts w:cs="Arial"/>
                <w:szCs w:val="19"/>
                <w:lang w:val="en-US"/>
              </w:rPr>
              <w:t>giant cell tumour of tendon sheath</w:t>
            </w:r>
            <w:r>
              <w:rPr>
                <w:rFonts w:cs="Arial"/>
                <w:szCs w:val="19"/>
                <w:lang w:val="en-US"/>
              </w:rPr>
              <w:t xml:space="preserve"> in adults </w:t>
            </w:r>
            <w:r w:rsidRPr="00072499">
              <w:rPr>
                <w:rFonts w:cs="Arial"/>
                <w:sz w:val="16"/>
                <w:szCs w:val="16"/>
                <w:lang w:val="en-US"/>
              </w:rPr>
              <w:t>[EU]</w:t>
            </w:r>
          </w:p>
        </w:tc>
      </w:tr>
      <w:tr w:rsidR="00AC74AF" w:rsidRPr="000F19E1" w14:paraId="0487CEB8" w14:textId="77777777" w:rsidTr="00706657">
        <w:tc>
          <w:tcPr>
            <w:tcW w:w="1024" w:type="pct"/>
            <w:shd w:val="clear" w:color="auto" w:fill="auto"/>
            <w:tcMar>
              <w:top w:w="0" w:type="dxa"/>
              <w:bottom w:w="0" w:type="dxa"/>
            </w:tcMar>
          </w:tcPr>
          <w:p w14:paraId="2B2594CF" w14:textId="77777777" w:rsidR="00AC74AF" w:rsidRPr="000F19E1" w:rsidRDefault="00AC74AF" w:rsidP="00CC78AD">
            <w:pPr>
              <w:rPr>
                <w:rFonts w:cs="Arial"/>
                <w:bCs/>
                <w:sz w:val="8"/>
                <w:szCs w:val="8"/>
              </w:rPr>
            </w:pPr>
          </w:p>
        </w:tc>
        <w:tc>
          <w:tcPr>
            <w:tcW w:w="3976" w:type="pct"/>
            <w:gridSpan w:val="2"/>
            <w:shd w:val="clear" w:color="auto" w:fill="auto"/>
            <w:tcMar>
              <w:top w:w="0" w:type="dxa"/>
              <w:bottom w:w="0" w:type="dxa"/>
            </w:tcMar>
          </w:tcPr>
          <w:p w14:paraId="5BCA8CC8" w14:textId="77777777" w:rsidR="00AC74AF" w:rsidRPr="000F19E1" w:rsidRDefault="00AC74AF" w:rsidP="00CC78AD">
            <w:pPr>
              <w:tabs>
                <w:tab w:val="center" w:pos="3152"/>
              </w:tabs>
              <w:rPr>
                <w:rFonts w:cs="Arial"/>
                <w:sz w:val="8"/>
                <w:szCs w:val="8"/>
                <w:lang w:val="en-US"/>
              </w:rPr>
            </w:pPr>
          </w:p>
        </w:tc>
      </w:tr>
      <w:tr w:rsidR="00AC74AF" w:rsidRPr="000F19E1" w14:paraId="3E029345" w14:textId="77777777" w:rsidTr="00706657">
        <w:tc>
          <w:tcPr>
            <w:tcW w:w="1024" w:type="pct"/>
            <w:shd w:val="clear" w:color="auto" w:fill="DAEEF3"/>
            <w:tcMar>
              <w:top w:w="0" w:type="dxa"/>
              <w:bottom w:w="0" w:type="dxa"/>
            </w:tcMar>
          </w:tcPr>
          <w:p w14:paraId="69121832" w14:textId="77777777" w:rsidR="00AC74AF" w:rsidRPr="000F19E1" w:rsidRDefault="00AC74AF" w:rsidP="00CC78AD">
            <w:pPr>
              <w:rPr>
                <w:rFonts w:cs="Arial"/>
                <w:bCs/>
                <w:sz w:val="8"/>
                <w:szCs w:val="8"/>
              </w:rPr>
            </w:pPr>
          </w:p>
        </w:tc>
        <w:tc>
          <w:tcPr>
            <w:tcW w:w="3976" w:type="pct"/>
            <w:gridSpan w:val="2"/>
            <w:shd w:val="clear" w:color="auto" w:fill="DAEEF3"/>
            <w:tcMar>
              <w:top w:w="0" w:type="dxa"/>
              <w:bottom w:w="0" w:type="dxa"/>
            </w:tcMar>
          </w:tcPr>
          <w:p w14:paraId="76372E92" w14:textId="77777777" w:rsidR="00AC74AF" w:rsidRPr="000F19E1" w:rsidRDefault="00AC74AF" w:rsidP="00CC78AD">
            <w:pPr>
              <w:tabs>
                <w:tab w:val="center" w:pos="3152"/>
              </w:tabs>
              <w:rPr>
                <w:rFonts w:cs="Arial"/>
                <w:sz w:val="8"/>
                <w:szCs w:val="8"/>
                <w:lang w:val="en-US"/>
              </w:rPr>
            </w:pPr>
          </w:p>
        </w:tc>
      </w:tr>
      <w:tr w:rsidR="00AC74AF" w:rsidRPr="00126CCD" w14:paraId="2839E617" w14:textId="77777777" w:rsidTr="00CC78AD">
        <w:tc>
          <w:tcPr>
            <w:tcW w:w="5000" w:type="pct"/>
            <w:gridSpan w:val="3"/>
            <w:shd w:val="clear" w:color="auto" w:fill="00B050"/>
            <w:tcMar>
              <w:top w:w="57" w:type="dxa"/>
              <w:bottom w:w="57" w:type="dxa"/>
            </w:tcMar>
          </w:tcPr>
          <w:p w14:paraId="03D89E34" w14:textId="1936A2F0" w:rsidR="00AC74AF" w:rsidRPr="004642B4" w:rsidRDefault="00AC74AF" w:rsidP="00CC78AD">
            <w:pPr>
              <w:rPr>
                <w:rFonts w:cs="Arial"/>
                <w:noProof/>
                <w:color w:val="FFFFFF"/>
                <w:sz w:val="16"/>
                <w:szCs w:val="16"/>
              </w:rPr>
            </w:pPr>
            <w:r w:rsidRPr="004642B4">
              <w:rPr>
                <w:rFonts w:cs="Arial"/>
                <w:b/>
                <w:bCs/>
                <w:i/>
                <w:iCs/>
                <w:color w:val="FFFFFF"/>
                <w:sz w:val="22"/>
                <w:szCs w:val="20"/>
                <w:lang w:val="en-US"/>
              </w:rPr>
              <w:t xml:space="preserve">Other </w:t>
            </w:r>
            <w:r>
              <w:rPr>
                <w:rFonts w:cs="Arial"/>
                <w:b/>
                <w:bCs/>
                <w:i/>
                <w:iCs/>
                <w:color w:val="FFFFFF"/>
                <w:sz w:val="22"/>
                <w:szCs w:val="20"/>
                <w:lang w:val="en-US"/>
              </w:rPr>
              <w:t>UK/</w:t>
            </w:r>
            <w:r w:rsidRPr="004642B4">
              <w:rPr>
                <w:rFonts w:cs="Arial"/>
                <w:b/>
                <w:bCs/>
                <w:i/>
                <w:iCs/>
                <w:color w:val="FFFFFF"/>
                <w:sz w:val="22"/>
                <w:szCs w:val="20"/>
                <w:lang w:val="en-US"/>
              </w:rPr>
              <w:t>EU developments</w:t>
            </w:r>
          </w:p>
        </w:tc>
      </w:tr>
      <w:tr w:rsidR="00AC74AF" w14:paraId="65ACEAED" w14:textId="77777777" w:rsidTr="00706657">
        <w:tc>
          <w:tcPr>
            <w:tcW w:w="1024" w:type="pct"/>
            <w:shd w:val="clear" w:color="auto" w:fill="auto"/>
            <w:tcMar>
              <w:top w:w="57" w:type="dxa"/>
              <w:bottom w:w="57" w:type="dxa"/>
            </w:tcMar>
          </w:tcPr>
          <w:p w14:paraId="503CD8D8" w14:textId="77777777" w:rsidR="00AC74AF" w:rsidRDefault="00AC74AF" w:rsidP="00CC78AD">
            <w:pPr>
              <w:rPr>
                <w:rFonts w:cs="Arial"/>
                <w:szCs w:val="19"/>
              </w:rPr>
            </w:pPr>
            <w:r>
              <w:rPr>
                <w:rFonts w:cs="Arial"/>
                <w:szCs w:val="19"/>
              </w:rPr>
              <w:t>A</w:t>
            </w:r>
            <w:r w:rsidRPr="002A6BC4">
              <w:rPr>
                <w:rFonts w:cs="Arial"/>
                <w:szCs w:val="19"/>
              </w:rPr>
              <w:t>lnuctamab </w:t>
            </w:r>
          </w:p>
        </w:tc>
        <w:tc>
          <w:tcPr>
            <w:tcW w:w="3976" w:type="pct"/>
            <w:gridSpan w:val="2"/>
            <w:shd w:val="clear" w:color="auto" w:fill="auto"/>
            <w:tcMar>
              <w:top w:w="57" w:type="dxa"/>
              <w:bottom w:w="57" w:type="dxa"/>
            </w:tcMar>
          </w:tcPr>
          <w:p w14:paraId="4B64DFAD" w14:textId="77777777" w:rsidR="00706657" w:rsidRDefault="00AC74AF" w:rsidP="00706657">
            <w:pPr>
              <w:tabs>
                <w:tab w:val="center" w:pos="3152"/>
              </w:tabs>
              <w:rPr>
                <w:rFonts w:cs="Arial"/>
                <w:szCs w:val="19"/>
                <w:lang w:val="en-US"/>
              </w:rPr>
            </w:pPr>
            <w:r>
              <w:rPr>
                <w:rFonts w:cs="Arial"/>
                <w:szCs w:val="19"/>
                <w:lang w:val="en-US"/>
              </w:rPr>
              <w:t>R</w:t>
            </w:r>
            <w:r w:rsidRPr="002A6BC4">
              <w:rPr>
                <w:rFonts w:cs="Arial"/>
                <w:szCs w:val="19"/>
                <w:lang w:val="en-US"/>
              </w:rPr>
              <w:t>elapsed or refractory</w:t>
            </w:r>
            <w:r>
              <w:rPr>
                <w:rFonts w:cs="Arial"/>
                <w:szCs w:val="19"/>
                <w:lang w:val="en-US"/>
              </w:rPr>
              <w:t xml:space="preserve"> m</w:t>
            </w:r>
            <w:r w:rsidRPr="002A6BC4">
              <w:rPr>
                <w:rFonts w:cs="Arial"/>
                <w:szCs w:val="19"/>
                <w:lang w:val="en-US"/>
              </w:rPr>
              <w:t>ultiple myeloma in adults</w:t>
            </w:r>
            <w:r>
              <w:rPr>
                <w:rFonts w:cs="Arial"/>
                <w:szCs w:val="19"/>
                <w:lang w:val="en-US"/>
              </w:rPr>
              <w:t xml:space="preserve"> – development </w:t>
            </w:r>
            <w:proofErr w:type="gramStart"/>
            <w:r>
              <w:rPr>
                <w:rFonts w:cs="Arial"/>
                <w:szCs w:val="19"/>
                <w:lang w:val="en-US"/>
              </w:rPr>
              <w:t>discontinued</w:t>
            </w:r>
            <w:proofErr w:type="gramEnd"/>
            <w:r>
              <w:rPr>
                <w:rFonts w:cs="Arial"/>
                <w:szCs w:val="19"/>
                <w:lang w:val="en-US"/>
              </w:rPr>
              <w:t xml:space="preserve"> </w:t>
            </w:r>
          </w:p>
          <w:p w14:paraId="470D5619" w14:textId="23D2070A" w:rsidR="00AC74AF" w:rsidRDefault="00AC74AF" w:rsidP="00706657">
            <w:pPr>
              <w:tabs>
                <w:tab w:val="center" w:pos="3152"/>
              </w:tabs>
              <w:rPr>
                <w:rFonts w:cs="Arial"/>
                <w:szCs w:val="19"/>
                <w:lang w:val="en-US"/>
              </w:rPr>
            </w:pPr>
            <w:r>
              <w:rPr>
                <w:rFonts w:cs="Arial"/>
                <w:szCs w:val="19"/>
                <w:lang w:val="en-US"/>
              </w:rPr>
              <w:t>(company decision)</w:t>
            </w:r>
          </w:p>
        </w:tc>
      </w:tr>
      <w:tr w:rsidR="00AC74AF" w14:paraId="7F917458" w14:textId="77777777" w:rsidTr="00706657">
        <w:tc>
          <w:tcPr>
            <w:tcW w:w="1024" w:type="pct"/>
            <w:shd w:val="clear" w:color="auto" w:fill="auto"/>
            <w:tcMar>
              <w:top w:w="57" w:type="dxa"/>
              <w:bottom w:w="57" w:type="dxa"/>
            </w:tcMar>
          </w:tcPr>
          <w:p w14:paraId="35BD6AE1" w14:textId="77777777" w:rsidR="00AC74AF" w:rsidRPr="00D25041" w:rsidRDefault="00AC74AF" w:rsidP="00CC78AD">
            <w:pPr>
              <w:rPr>
                <w:rFonts w:cs="Arial"/>
                <w:szCs w:val="19"/>
              </w:rPr>
            </w:pPr>
            <w:r>
              <w:rPr>
                <w:rFonts w:cs="Arial"/>
                <w:szCs w:val="19"/>
              </w:rPr>
              <w:t>Atezolizumab (</w:t>
            </w:r>
            <w:r>
              <w:rPr>
                <w:rFonts w:cs="Arial"/>
                <w:i/>
                <w:iCs/>
                <w:szCs w:val="19"/>
              </w:rPr>
              <w:t>Tecentriq</w:t>
            </w:r>
            <w:r>
              <w:rPr>
                <w:rFonts w:cs="Arial"/>
                <w:szCs w:val="19"/>
              </w:rPr>
              <w:t>)</w:t>
            </w:r>
          </w:p>
        </w:tc>
        <w:tc>
          <w:tcPr>
            <w:tcW w:w="3976" w:type="pct"/>
            <w:gridSpan w:val="2"/>
            <w:shd w:val="clear" w:color="auto" w:fill="auto"/>
            <w:tcMar>
              <w:top w:w="57" w:type="dxa"/>
              <w:bottom w:w="57" w:type="dxa"/>
            </w:tcMar>
          </w:tcPr>
          <w:p w14:paraId="3EB9F8FA" w14:textId="77777777" w:rsidR="00AC74AF" w:rsidRPr="00C05FAF" w:rsidRDefault="00AC74AF" w:rsidP="00CC78AD">
            <w:pPr>
              <w:tabs>
                <w:tab w:val="center" w:pos="3152"/>
              </w:tabs>
              <w:rPr>
                <w:rFonts w:cs="Arial"/>
                <w:szCs w:val="19"/>
                <w:lang w:val="en-US"/>
              </w:rPr>
            </w:pPr>
            <w:r>
              <w:rPr>
                <w:rFonts w:cs="Arial"/>
                <w:szCs w:val="19"/>
                <w:lang w:val="en-US"/>
              </w:rPr>
              <w:t>A</w:t>
            </w:r>
            <w:r w:rsidRPr="00D25041">
              <w:rPr>
                <w:rFonts w:cs="Arial"/>
                <w:szCs w:val="19"/>
                <w:lang w:val="en-US"/>
              </w:rPr>
              <w:t>dvanced, non-squamous</w:t>
            </w:r>
            <w:r>
              <w:t xml:space="preserve"> n</w:t>
            </w:r>
            <w:r w:rsidRPr="00D25041">
              <w:rPr>
                <w:rFonts w:cs="Arial"/>
                <w:szCs w:val="19"/>
                <w:lang w:val="en-US"/>
              </w:rPr>
              <w:t>on-small cell lung cancer in adults</w:t>
            </w:r>
            <w:r>
              <w:rPr>
                <w:rFonts w:cs="Arial"/>
                <w:szCs w:val="19"/>
                <w:lang w:val="en-US"/>
              </w:rPr>
              <w:t>,</w:t>
            </w:r>
            <w:r w:rsidRPr="00D25041">
              <w:rPr>
                <w:rFonts w:cs="Arial"/>
                <w:szCs w:val="19"/>
                <w:lang w:val="en-US"/>
              </w:rPr>
              <w:t xml:space="preserve"> first-line with </w:t>
            </w:r>
            <w:r>
              <w:rPr>
                <w:rFonts w:cs="Arial"/>
                <w:szCs w:val="19"/>
                <w:lang w:val="en-US"/>
              </w:rPr>
              <w:t>tiragol</w:t>
            </w:r>
            <w:r w:rsidRPr="00D25041">
              <w:rPr>
                <w:rFonts w:cs="Arial"/>
                <w:szCs w:val="19"/>
                <w:lang w:val="en-US"/>
              </w:rPr>
              <w:t xml:space="preserve">umab plus pemetrexed and carboplatin/cisplatin </w:t>
            </w:r>
            <w:r>
              <w:rPr>
                <w:rFonts w:cs="Arial"/>
                <w:szCs w:val="19"/>
                <w:lang w:val="en-US"/>
              </w:rPr>
              <w:t>– development discontinued (lack of efficacy)</w:t>
            </w:r>
          </w:p>
        </w:tc>
      </w:tr>
      <w:tr w:rsidR="00AC74AF" w14:paraId="6F56D12A" w14:textId="77777777" w:rsidTr="00706657">
        <w:tc>
          <w:tcPr>
            <w:tcW w:w="1024" w:type="pct"/>
            <w:shd w:val="clear" w:color="auto" w:fill="auto"/>
            <w:tcMar>
              <w:top w:w="57" w:type="dxa"/>
              <w:bottom w:w="57" w:type="dxa"/>
            </w:tcMar>
          </w:tcPr>
          <w:p w14:paraId="0A2958E5" w14:textId="77777777" w:rsidR="00AC74AF" w:rsidRPr="00C05FAF" w:rsidRDefault="00AC74AF" w:rsidP="00CC78AD">
            <w:pPr>
              <w:rPr>
                <w:rFonts w:cs="Arial"/>
                <w:szCs w:val="19"/>
              </w:rPr>
            </w:pPr>
            <w:r w:rsidRPr="00E37F63">
              <w:rPr>
                <w:rFonts w:cs="Arial"/>
                <w:szCs w:val="19"/>
              </w:rPr>
              <w:t>Emiplacel</w:t>
            </w:r>
            <w:r>
              <w:rPr>
                <w:rFonts w:cs="Arial"/>
                <w:szCs w:val="19"/>
              </w:rPr>
              <w:t xml:space="preserve"> </w:t>
            </w:r>
          </w:p>
        </w:tc>
        <w:tc>
          <w:tcPr>
            <w:tcW w:w="3976" w:type="pct"/>
            <w:gridSpan w:val="2"/>
            <w:shd w:val="clear" w:color="auto" w:fill="auto"/>
            <w:tcMar>
              <w:top w:w="57" w:type="dxa"/>
              <w:bottom w:w="57" w:type="dxa"/>
            </w:tcMar>
          </w:tcPr>
          <w:p w14:paraId="6F4405A8" w14:textId="77777777" w:rsidR="00AC74AF" w:rsidRDefault="00AC74AF" w:rsidP="00CC78AD">
            <w:pPr>
              <w:tabs>
                <w:tab w:val="center" w:pos="3152"/>
              </w:tabs>
              <w:rPr>
                <w:rFonts w:cs="Arial"/>
                <w:szCs w:val="19"/>
                <w:lang w:val="en-US"/>
              </w:rPr>
            </w:pPr>
            <w:r w:rsidRPr="00E37F63">
              <w:rPr>
                <w:rFonts w:cs="Arial"/>
                <w:szCs w:val="19"/>
                <w:lang w:val="en-US"/>
              </w:rPr>
              <w:t>Treatment of muscle injury following arthroplasty</w:t>
            </w:r>
            <w:r>
              <w:rPr>
                <w:rFonts w:cs="Arial"/>
                <w:szCs w:val="19"/>
                <w:lang w:val="en-US"/>
              </w:rPr>
              <w:t xml:space="preserve"> – assume development </w:t>
            </w:r>
            <w:proofErr w:type="gramStart"/>
            <w:r>
              <w:rPr>
                <w:rFonts w:cs="Arial"/>
                <w:szCs w:val="19"/>
                <w:lang w:val="en-US"/>
              </w:rPr>
              <w:t>discontinued</w:t>
            </w:r>
            <w:proofErr w:type="gramEnd"/>
            <w:r>
              <w:rPr>
                <w:rFonts w:cs="Arial"/>
                <w:szCs w:val="19"/>
                <w:lang w:val="en-US"/>
              </w:rPr>
              <w:t xml:space="preserve"> </w:t>
            </w:r>
          </w:p>
          <w:p w14:paraId="1F99EE47" w14:textId="77777777" w:rsidR="00AC74AF" w:rsidRDefault="00AC74AF" w:rsidP="00CC78AD">
            <w:pPr>
              <w:tabs>
                <w:tab w:val="center" w:pos="3152"/>
              </w:tabs>
              <w:rPr>
                <w:rFonts w:cs="Arial"/>
                <w:szCs w:val="19"/>
                <w:lang w:val="en-US"/>
              </w:rPr>
            </w:pPr>
            <w:r>
              <w:rPr>
                <w:rFonts w:cs="Arial"/>
                <w:szCs w:val="19"/>
                <w:lang w:val="en-US"/>
              </w:rPr>
              <w:t>(lack of efficacy)</w:t>
            </w:r>
          </w:p>
        </w:tc>
      </w:tr>
      <w:tr w:rsidR="00AC74AF" w14:paraId="6AA2304E" w14:textId="77777777" w:rsidTr="00706657">
        <w:tc>
          <w:tcPr>
            <w:tcW w:w="1024" w:type="pct"/>
            <w:shd w:val="clear" w:color="auto" w:fill="auto"/>
            <w:tcMar>
              <w:top w:w="57" w:type="dxa"/>
              <w:bottom w:w="57" w:type="dxa"/>
            </w:tcMar>
          </w:tcPr>
          <w:p w14:paraId="70A31B03" w14:textId="77777777" w:rsidR="00AC74AF" w:rsidRPr="003D2915" w:rsidRDefault="00AC74AF" w:rsidP="00CC78AD">
            <w:pPr>
              <w:rPr>
                <w:rFonts w:cs="Arial"/>
                <w:szCs w:val="19"/>
              </w:rPr>
            </w:pPr>
            <w:r w:rsidRPr="00C07B04">
              <w:rPr>
                <w:rFonts w:cs="Arial"/>
                <w:szCs w:val="19"/>
              </w:rPr>
              <w:t>Envafolimab</w:t>
            </w:r>
            <w:r>
              <w:rPr>
                <w:rFonts w:cs="Arial"/>
                <w:szCs w:val="19"/>
              </w:rPr>
              <w:t xml:space="preserve"> </w:t>
            </w:r>
          </w:p>
        </w:tc>
        <w:tc>
          <w:tcPr>
            <w:tcW w:w="3976" w:type="pct"/>
            <w:gridSpan w:val="2"/>
            <w:shd w:val="clear" w:color="auto" w:fill="auto"/>
            <w:tcMar>
              <w:top w:w="57" w:type="dxa"/>
              <w:bottom w:w="57" w:type="dxa"/>
            </w:tcMar>
          </w:tcPr>
          <w:p w14:paraId="3C502B84" w14:textId="77777777" w:rsidR="00AC74AF" w:rsidRPr="00C05FAF" w:rsidRDefault="00AC74AF" w:rsidP="00CC78AD">
            <w:pPr>
              <w:tabs>
                <w:tab w:val="center" w:pos="3152"/>
              </w:tabs>
              <w:rPr>
                <w:rFonts w:cs="Arial"/>
                <w:szCs w:val="19"/>
                <w:lang w:val="en-US"/>
              </w:rPr>
            </w:pPr>
            <w:r>
              <w:rPr>
                <w:rFonts w:cs="Arial"/>
                <w:szCs w:val="19"/>
                <w:lang w:val="en-US"/>
              </w:rPr>
              <w:t>U</w:t>
            </w:r>
            <w:r w:rsidRPr="00C07B04">
              <w:rPr>
                <w:rFonts w:cs="Arial"/>
                <w:szCs w:val="19"/>
                <w:lang w:val="en-US"/>
              </w:rPr>
              <w:t xml:space="preserve">ndifferentiated pleomorphic sarcoma and myxofibrosarcoma in adults and children aged </w:t>
            </w:r>
            <w:r>
              <w:rPr>
                <w:rFonts w:cs="Arial"/>
                <w:szCs w:val="19"/>
                <w:lang w:val="en-US"/>
              </w:rPr>
              <w:t>≥</w:t>
            </w:r>
            <w:r w:rsidRPr="00C07B04">
              <w:rPr>
                <w:rFonts w:cs="Arial"/>
                <w:szCs w:val="19"/>
                <w:lang w:val="en-US"/>
              </w:rPr>
              <w:t xml:space="preserve">12 years </w:t>
            </w:r>
            <w:r>
              <w:rPr>
                <w:rFonts w:cs="Arial"/>
                <w:szCs w:val="19"/>
                <w:lang w:val="en-US"/>
              </w:rPr>
              <w:t>– development discontinued (lack of efficacy)</w:t>
            </w:r>
          </w:p>
        </w:tc>
      </w:tr>
      <w:tr w:rsidR="00AC74AF" w14:paraId="43B32B08" w14:textId="77777777" w:rsidTr="00706657">
        <w:tc>
          <w:tcPr>
            <w:tcW w:w="1024" w:type="pct"/>
            <w:shd w:val="clear" w:color="auto" w:fill="auto"/>
            <w:tcMar>
              <w:top w:w="57" w:type="dxa"/>
              <w:bottom w:w="57" w:type="dxa"/>
            </w:tcMar>
          </w:tcPr>
          <w:p w14:paraId="6B2419DE" w14:textId="77777777" w:rsidR="00AC74AF" w:rsidRPr="00C5736F" w:rsidRDefault="00AC74AF" w:rsidP="00CC78AD">
            <w:pPr>
              <w:rPr>
                <w:rFonts w:cs="Arial"/>
                <w:szCs w:val="19"/>
              </w:rPr>
            </w:pPr>
            <w:r w:rsidRPr="00C5736F">
              <w:rPr>
                <w:rFonts w:cs="Arial"/>
                <w:szCs w:val="19"/>
              </w:rPr>
              <w:t>Erdafitinib</w:t>
            </w:r>
            <w:r>
              <w:rPr>
                <w:rFonts w:cs="Arial"/>
                <w:szCs w:val="19"/>
              </w:rPr>
              <w:t xml:space="preserve"> (</w:t>
            </w:r>
            <w:r>
              <w:rPr>
                <w:rFonts w:cs="Arial"/>
                <w:i/>
                <w:iCs/>
                <w:szCs w:val="19"/>
              </w:rPr>
              <w:t>Balversa</w:t>
            </w:r>
            <w:r>
              <w:rPr>
                <w:rFonts w:cs="Arial"/>
                <w:szCs w:val="19"/>
              </w:rPr>
              <w:t>)</w:t>
            </w:r>
          </w:p>
        </w:tc>
        <w:tc>
          <w:tcPr>
            <w:tcW w:w="3976" w:type="pct"/>
            <w:gridSpan w:val="2"/>
            <w:shd w:val="clear" w:color="auto" w:fill="auto"/>
            <w:tcMar>
              <w:top w:w="57" w:type="dxa"/>
              <w:bottom w:w="57" w:type="dxa"/>
            </w:tcMar>
          </w:tcPr>
          <w:p w14:paraId="63014B50" w14:textId="77777777" w:rsidR="00AC74AF" w:rsidRDefault="00AC74AF" w:rsidP="00CC78AD">
            <w:pPr>
              <w:tabs>
                <w:tab w:val="center" w:pos="3152"/>
              </w:tabs>
              <w:rPr>
                <w:rFonts w:cs="Arial"/>
                <w:szCs w:val="19"/>
                <w:lang w:val="en-US"/>
              </w:rPr>
            </w:pPr>
            <w:r w:rsidRPr="00C5736F">
              <w:rPr>
                <w:rFonts w:cs="Arial"/>
                <w:szCs w:val="19"/>
                <w:lang w:val="en-US"/>
              </w:rPr>
              <w:tab/>
              <w:t>FGFR-positive</w:t>
            </w:r>
            <w:r>
              <w:rPr>
                <w:rFonts w:cs="Arial"/>
                <w:szCs w:val="19"/>
                <w:lang w:val="en-US"/>
              </w:rPr>
              <w:t xml:space="preserve"> solid tumours</w:t>
            </w:r>
            <w:r w:rsidRPr="00C5736F">
              <w:rPr>
                <w:rFonts w:cs="Arial"/>
                <w:szCs w:val="19"/>
                <w:lang w:val="en-US"/>
              </w:rPr>
              <w:t xml:space="preserve"> in adults and children aged </w:t>
            </w:r>
            <w:r>
              <w:rPr>
                <w:rFonts w:cs="Arial"/>
                <w:szCs w:val="19"/>
                <w:lang w:val="en-US"/>
              </w:rPr>
              <w:t>≥</w:t>
            </w:r>
            <w:r w:rsidRPr="00C5736F">
              <w:rPr>
                <w:rFonts w:cs="Arial"/>
                <w:szCs w:val="19"/>
                <w:lang w:val="en-US"/>
              </w:rPr>
              <w:t>6 years</w:t>
            </w:r>
            <w:r>
              <w:rPr>
                <w:rFonts w:cs="Arial"/>
                <w:szCs w:val="19"/>
                <w:lang w:val="en-US"/>
              </w:rPr>
              <w:t>,</w:t>
            </w:r>
            <w:r w:rsidRPr="00C5736F">
              <w:rPr>
                <w:rFonts w:cs="Arial"/>
                <w:szCs w:val="19"/>
                <w:lang w:val="en-US"/>
              </w:rPr>
              <w:t xml:space="preserve"> second-line or later</w:t>
            </w:r>
            <w:r>
              <w:rPr>
                <w:rFonts w:cs="Arial"/>
                <w:szCs w:val="19"/>
                <w:lang w:val="en-US"/>
              </w:rPr>
              <w:t xml:space="preserve"> – UK development discontinued (company decision)</w:t>
            </w:r>
          </w:p>
        </w:tc>
      </w:tr>
      <w:tr w:rsidR="00AC74AF" w14:paraId="153E7A4C" w14:textId="77777777" w:rsidTr="00706657">
        <w:tc>
          <w:tcPr>
            <w:tcW w:w="1024" w:type="pct"/>
            <w:shd w:val="clear" w:color="auto" w:fill="auto"/>
            <w:tcMar>
              <w:top w:w="57" w:type="dxa"/>
              <w:bottom w:w="57" w:type="dxa"/>
            </w:tcMar>
          </w:tcPr>
          <w:p w14:paraId="4B86AC1F" w14:textId="77777777" w:rsidR="00AC74AF" w:rsidRDefault="00AC74AF" w:rsidP="00CC78AD">
            <w:pPr>
              <w:rPr>
                <w:rFonts w:cs="Arial"/>
                <w:szCs w:val="19"/>
              </w:rPr>
            </w:pPr>
            <w:r w:rsidRPr="00EC6416">
              <w:rPr>
                <w:rFonts w:cs="Arial"/>
                <w:szCs w:val="19"/>
              </w:rPr>
              <w:t>Insulin icodec + semaglutide</w:t>
            </w:r>
          </w:p>
        </w:tc>
        <w:tc>
          <w:tcPr>
            <w:tcW w:w="3976" w:type="pct"/>
            <w:gridSpan w:val="2"/>
            <w:shd w:val="clear" w:color="auto" w:fill="auto"/>
            <w:tcMar>
              <w:top w:w="57" w:type="dxa"/>
              <w:bottom w:w="57" w:type="dxa"/>
            </w:tcMar>
          </w:tcPr>
          <w:p w14:paraId="0885EF6A" w14:textId="77777777" w:rsidR="00AC74AF" w:rsidRDefault="00AC74AF" w:rsidP="00CC78AD">
            <w:pPr>
              <w:tabs>
                <w:tab w:val="center" w:pos="3152"/>
              </w:tabs>
              <w:rPr>
                <w:rFonts w:cs="Arial"/>
                <w:szCs w:val="19"/>
                <w:lang w:val="en-US"/>
              </w:rPr>
            </w:pPr>
            <w:r w:rsidRPr="00EC6416">
              <w:rPr>
                <w:rFonts w:cs="Arial"/>
                <w:szCs w:val="19"/>
                <w:lang w:val="en-US"/>
              </w:rPr>
              <w:t>Type 2 diabetes mellitus in adults</w:t>
            </w:r>
            <w:r>
              <w:rPr>
                <w:rFonts w:cs="Arial"/>
                <w:szCs w:val="19"/>
                <w:lang w:val="en-US"/>
              </w:rPr>
              <w:t xml:space="preserve"> – UK development discontinued (company decision) </w:t>
            </w:r>
          </w:p>
        </w:tc>
      </w:tr>
      <w:tr w:rsidR="00AC74AF" w14:paraId="53FA875C" w14:textId="77777777" w:rsidTr="00706657">
        <w:tc>
          <w:tcPr>
            <w:tcW w:w="1024" w:type="pct"/>
            <w:shd w:val="clear" w:color="auto" w:fill="auto"/>
            <w:tcMar>
              <w:top w:w="57" w:type="dxa"/>
              <w:bottom w:w="57" w:type="dxa"/>
            </w:tcMar>
          </w:tcPr>
          <w:p w14:paraId="18E65F59" w14:textId="77777777" w:rsidR="00AC74AF" w:rsidRPr="00927EA9" w:rsidRDefault="00AC74AF" w:rsidP="00CC78AD">
            <w:pPr>
              <w:rPr>
                <w:rFonts w:cs="Arial"/>
                <w:szCs w:val="19"/>
              </w:rPr>
            </w:pPr>
            <w:r>
              <w:rPr>
                <w:rFonts w:cs="Arial"/>
                <w:szCs w:val="19"/>
              </w:rPr>
              <w:t>Lecanemab (</w:t>
            </w:r>
            <w:r>
              <w:rPr>
                <w:rFonts w:cs="Arial"/>
                <w:i/>
                <w:iCs/>
                <w:szCs w:val="19"/>
              </w:rPr>
              <w:t>Leqembi</w:t>
            </w:r>
            <w:r>
              <w:rPr>
                <w:rFonts w:cs="Arial"/>
                <w:szCs w:val="19"/>
              </w:rPr>
              <w:t>)</w:t>
            </w:r>
          </w:p>
        </w:tc>
        <w:tc>
          <w:tcPr>
            <w:tcW w:w="3976" w:type="pct"/>
            <w:gridSpan w:val="2"/>
            <w:shd w:val="clear" w:color="auto" w:fill="auto"/>
            <w:tcMar>
              <w:top w:w="57" w:type="dxa"/>
              <w:bottom w:w="57" w:type="dxa"/>
            </w:tcMar>
          </w:tcPr>
          <w:p w14:paraId="58E4937A" w14:textId="77777777" w:rsidR="00AC74AF" w:rsidRPr="009D460C" w:rsidRDefault="00AC74AF" w:rsidP="00CC78AD">
            <w:pPr>
              <w:tabs>
                <w:tab w:val="center" w:pos="3152"/>
              </w:tabs>
              <w:rPr>
                <w:rFonts w:cs="Arial"/>
                <w:szCs w:val="19"/>
                <w:lang w:val="en-US"/>
              </w:rPr>
            </w:pPr>
            <w:r w:rsidRPr="00C95F65">
              <w:rPr>
                <w:rFonts w:cs="Arial"/>
                <w:szCs w:val="19"/>
                <w:lang w:val="en-US"/>
              </w:rPr>
              <w:t xml:space="preserve">Treatment </w:t>
            </w:r>
            <w:r>
              <w:rPr>
                <w:rFonts w:cs="Arial"/>
                <w:szCs w:val="19"/>
                <w:lang w:val="en-US"/>
              </w:rPr>
              <w:t>of</w:t>
            </w:r>
            <w:r w:rsidRPr="00C95F65">
              <w:rPr>
                <w:rFonts w:cs="Arial"/>
                <w:szCs w:val="19"/>
                <w:lang w:val="en-US"/>
              </w:rPr>
              <w:t xml:space="preserve"> adults with </w:t>
            </w:r>
            <w:r>
              <w:rPr>
                <w:rFonts w:cs="Arial"/>
                <w:szCs w:val="19"/>
                <w:lang w:val="en-US"/>
              </w:rPr>
              <w:t>m</w:t>
            </w:r>
            <w:r w:rsidRPr="00C95F65">
              <w:rPr>
                <w:rFonts w:cs="Arial"/>
                <w:szCs w:val="19"/>
                <w:lang w:val="en-US"/>
              </w:rPr>
              <w:t xml:space="preserve">ild </w:t>
            </w:r>
            <w:r>
              <w:rPr>
                <w:rFonts w:cs="Arial"/>
                <w:szCs w:val="19"/>
                <w:lang w:val="en-US"/>
              </w:rPr>
              <w:t>c</w:t>
            </w:r>
            <w:r w:rsidRPr="00C95F65">
              <w:rPr>
                <w:rFonts w:cs="Arial"/>
                <w:szCs w:val="19"/>
                <w:lang w:val="en-US"/>
              </w:rPr>
              <w:t xml:space="preserve">ognitive </w:t>
            </w:r>
            <w:r>
              <w:rPr>
                <w:rFonts w:cs="Arial"/>
                <w:szCs w:val="19"/>
                <w:lang w:val="en-US"/>
              </w:rPr>
              <w:t>i</w:t>
            </w:r>
            <w:r w:rsidRPr="00C95F65">
              <w:rPr>
                <w:rFonts w:cs="Arial"/>
                <w:szCs w:val="19"/>
                <w:lang w:val="en-US"/>
              </w:rPr>
              <w:t xml:space="preserve">mpairment due to Alzheimer’s disease and </w:t>
            </w:r>
            <w:r>
              <w:rPr>
                <w:rFonts w:cs="Arial"/>
                <w:szCs w:val="19"/>
                <w:lang w:val="en-US"/>
              </w:rPr>
              <w:t>m</w:t>
            </w:r>
            <w:r w:rsidRPr="00C95F65">
              <w:rPr>
                <w:rFonts w:cs="Arial"/>
                <w:szCs w:val="19"/>
                <w:lang w:val="en-US"/>
              </w:rPr>
              <w:t>ild Alzheimer’s disease</w:t>
            </w:r>
            <w:r>
              <w:rPr>
                <w:rFonts w:cs="Arial"/>
                <w:szCs w:val="19"/>
                <w:lang w:val="en-US"/>
              </w:rPr>
              <w:t xml:space="preserve"> – not recommended for approval in EU</w:t>
            </w:r>
          </w:p>
        </w:tc>
      </w:tr>
      <w:tr w:rsidR="00AC74AF" w14:paraId="6F999750" w14:textId="77777777" w:rsidTr="00706657">
        <w:tc>
          <w:tcPr>
            <w:tcW w:w="1024" w:type="pct"/>
            <w:shd w:val="clear" w:color="auto" w:fill="auto"/>
            <w:tcMar>
              <w:top w:w="57" w:type="dxa"/>
              <w:bottom w:w="57" w:type="dxa"/>
            </w:tcMar>
          </w:tcPr>
          <w:p w14:paraId="4D27BEAB" w14:textId="77777777" w:rsidR="00AC74AF" w:rsidRDefault="00AC74AF" w:rsidP="00CC78AD">
            <w:pPr>
              <w:rPr>
                <w:rFonts w:cs="Arial"/>
                <w:szCs w:val="19"/>
              </w:rPr>
            </w:pPr>
            <w:r>
              <w:rPr>
                <w:rFonts w:cs="Arial"/>
                <w:szCs w:val="19"/>
              </w:rPr>
              <w:t>Semaglutide (</w:t>
            </w:r>
            <w:r>
              <w:rPr>
                <w:rFonts w:cs="Arial"/>
                <w:i/>
                <w:iCs/>
                <w:szCs w:val="19"/>
              </w:rPr>
              <w:t>Wegovy</w:t>
            </w:r>
            <w:r>
              <w:rPr>
                <w:rFonts w:cs="Arial"/>
                <w:szCs w:val="19"/>
              </w:rPr>
              <w:t>)</w:t>
            </w:r>
          </w:p>
        </w:tc>
        <w:tc>
          <w:tcPr>
            <w:tcW w:w="3976" w:type="pct"/>
            <w:gridSpan w:val="2"/>
            <w:shd w:val="clear" w:color="auto" w:fill="auto"/>
            <w:tcMar>
              <w:top w:w="57" w:type="dxa"/>
              <w:bottom w:w="57" w:type="dxa"/>
            </w:tcMar>
          </w:tcPr>
          <w:p w14:paraId="5EDD6C88" w14:textId="4314BEE1" w:rsidR="00AC74AF" w:rsidRPr="00910393" w:rsidRDefault="00AC74AF" w:rsidP="00706657">
            <w:pPr>
              <w:tabs>
                <w:tab w:val="num" w:pos="720"/>
                <w:tab w:val="center" w:pos="3152"/>
              </w:tabs>
              <w:rPr>
                <w:rFonts w:cs="Arial"/>
                <w:color w:val="000000" w:themeColor="text1"/>
                <w:szCs w:val="19"/>
                <w:lang w:val="en-US"/>
              </w:rPr>
            </w:pPr>
            <w:r>
              <w:rPr>
                <w:rFonts w:cs="Arial"/>
                <w:color w:val="000000" w:themeColor="text1"/>
                <w:szCs w:val="19"/>
                <w:lang w:val="en-US"/>
              </w:rPr>
              <w:t xml:space="preserve">Use </w:t>
            </w:r>
            <w:r w:rsidRPr="000E3AF0">
              <w:rPr>
                <w:rFonts w:cs="Arial"/>
                <w:color w:val="000000" w:themeColor="text1"/>
                <w:szCs w:val="19"/>
                <w:lang w:val="en-US"/>
              </w:rPr>
              <w:t>as an adjunct to a reduced-calorie diet and increased physical activity to reduce the risk of major adverse cardiovascular events (cardiovascular death, non-fatal myocardial infarction, or non-fatal stroke) in adults with established cardiovascular disease and either obesity or overweight (BMI ≥ 27kg/m</w:t>
            </w:r>
            <w:r w:rsidRPr="000E3AF0">
              <w:rPr>
                <w:rFonts w:cs="Arial"/>
                <w:color w:val="000000" w:themeColor="text1"/>
                <w:szCs w:val="19"/>
                <w:vertAlign w:val="superscript"/>
                <w:lang w:val="en-US"/>
              </w:rPr>
              <w:t>2</w:t>
            </w:r>
            <w:r w:rsidRPr="000E3AF0">
              <w:rPr>
                <w:rFonts w:cs="Arial"/>
                <w:color w:val="000000" w:themeColor="text1"/>
                <w:szCs w:val="19"/>
                <w:lang w:val="en-US"/>
              </w:rPr>
              <w:t>)</w:t>
            </w:r>
            <w:r>
              <w:rPr>
                <w:rFonts w:cs="Arial"/>
                <w:color w:val="000000" w:themeColor="text1"/>
                <w:szCs w:val="19"/>
                <w:lang w:val="en-US"/>
              </w:rPr>
              <w:t xml:space="preserve"> – not approved in EU as European Medicines Agency </w:t>
            </w:r>
            <w:r w:rsidRPr="00910393">
              <w:rPr>
                <w:rFonts w:cs="Arial"/>
                <w:color w:val="000000" w:themeColor="text1"/>
                <w:szCs w:val="19"/>
                <w:lang w:val="en-US"/>
              </w:rPr>
              <w:t xml:space="preserve">considers that use in this population is already covered by the approved indication for weight management in people with a BMI of </w:t>
            </w:r>
            <w:r>
              <w:rPr>
                <w:rFonts w:cs="Arial"/>
                <w:color w:val="000000" w:themeColor="text1"/>
                <w:szCs w:val="19"/>
                <w:lang w:val="en-US"/>
              </w:rPr>
              <w:t>≥</w:t>
            </w:r>
            <w:r w:rsidRPr="00910393">
              <w:rPr>
                <w:rFonts w:cs="Arial"/>
                <w:color w:val="000000" w:themeColor="text1"/>
                <w:szCs w:val="19"/>
                <w:lang w:val="en-US"/>
              </w:rPr>
              <w:t>27kg/m</w:t>
            </w:r>
            <w:r w:rsidRPr="00910393">
              <w:rPr>
                <w:rFonts w:cs="Arial"/>
                <w:color w:val="000000" w:themeColor="text1"/>
                <w:sz w:val="20"/>
                <w:szCs w:val="20"/>
                <w:vertAlign w:val="superscript"/>
                <w:lang w:val="en-US"/>
              </w:rPr>
              <w:t>2</w:t>
            </w:r>
            <w:r>
              <w:rPr>
                <w:rFonts w:cs="Arial"/>
                <w:color w:val="000000" w:themeColor="text1"/>
                <w:sz w:val="20"/>
                <w:szCs w:val="20"/>
                <w:vertAlign w:val="superscript"/>
                <w:lang w:val="en-US"/>
              </w:rPr>
              <w:t xml:space="preserve"> </w:t>
            </w:r>
            <w:r w:rsidR="00706657">
              <w:rPr>
                <w:rFonts w:cs="Arial"/>
                <w:color w:val="000000" w:themeColor="text1"/>
                <w:sz w:val="20"/>
                <w:szCs w:val="20"/>
                <w:vertAlign w:val="superscript"/>
                <w:lang w:val="en-US"/>
              </w:rPr>
              <w:t xml:space="preserve"> </w:t>
            </w:r>
            <w:r w:rsidRPr="00910393">
              <w:rPr>
                <w:rFonts w:cs="Arial"/>
                <w:i/>
                <w:iCs/>
                <w:color w:val="000000" w:themeColor="text1"/>
                <w:sz w:val="16"/>
                <w:szCs w:val="16"/>
                <w:lang w:val="en-US"/>
              </w:rPr>
              <w:t>Note: The MHRA has approved this new indication</w:t>
            </w:r>
          </w:p>
        </w:tc>
      </w:tr>
      <w:tr w:rsidR="00AC74AF" w14:paraId="29DE9E6F" w14:textId="77777777" w:rsidTr="00706657">
        <w:tc>
          <w:tcPr>
            <w:tcW w:w="1024" w:type="pct"/>
            <w:shd w:val="clear" w:color="auto" w:fill="auto"/>
            <w:tcMar>
              <w:top w:w="57" w:type="dxa"/>
              <w:bottom w:w="57" w:type="dxa"/>
            </w:tcMar>
          </w:tcPr>
          <w:p w14:paraId="724EC634" w14:textId="77777777" w:rsidR="00AC74AF" w:rsidRPr="00672A42" w:rsidRDefault="00AC74AF" w:rsidP="00CC78AD">
            <w:pPr>
              <w:rPr>
                <w:rFonts w:cs="Arial"/>
                <w:szCs w:val="19"/>
              </w:rPr>
            </w:pPr>
            <w:r>
              <w:rPr>
                <w:rFonts w:cs="Arial"/>
                <w:szCs w:val="19"/>
              </w:rPr>
              <w:t>Sirolimus (</w:t>
            </w:r>
            <w:r w:rsidRPr="009D460C">
              <w:rPr>
                <w:rFonts w:cs="Arial"/>
                <w:i/>
                <w:iCs/>
                <w:szCs w:val="19"/>
              </w:rPr>
              <w:t>Pascomer</w:t>
            </w:r>
            <w:r>
              <w:rPr>
                <w:rFonts w:cs="Arial"/>
                <w:szCs w:val="19"/>
              </w:rPr>
              <w:t>)</w:t>
            </w:r>
          </w:p>
        </w:tc>
        <w:tc>
          <w:tcPr>
            <w:tcW w:w="3976" w:type="pct"/>
            <w:gridSpan w:val="2"/>
            <w:shd w:val="clear" w:color="auto" w:fill="auto"/>
            <w:tcMar>
              <w:top w:w="57" w:type="dxa"/>
              <w:bottom w:w="57" w:type="dxa"/>
            </w:tcMar>
          </w:tcPr>
          <w:p w14:paraId="5316B9B1" w14:textId="77777777" w:rsidR="00AC74AF" w:rsidRDefault="00AC74AF" w:rsidP="00CC78AD">
            <w:pPr>
              <w:tabs>
                <w:tab w:val="center" w:pos="3152"/>
              </w:tabs>
              <w:rPr>
                <w:rFonts w:cs="Arial"/>
                <w:szCs w:val="19"/>
                <w:lang w:val="en-US"/>
              </w:rPr>
            </w:pPr>
            <w:r w:rsidRPr="009D460C">
              <w:rPr>
                <w:rFonts w:cs="Arial"/>
                <w:szCs w:val="19"/>
                <w:lang w:val="en-US"/>
              </w:rPr>
              <w:t>Tuberous sclerosis complex</w:t>
            </w:r>
            <w:r>
              <w:rPr>
                <w:rFonts w:cs="Arial"/>
                <w:szCs w:val="19"/>
                <w:lang w:val="en-US"/>
              </w:rPr>
              <w:t>-</w:t>
            </w:r>
            <w:r w:rsidRPr="009D460C">
              <w:rPr>
                <w:rFonts w:cs="Arial"/>
                <w:szCs w:val="19"/>
                <w:lang w:val="en-US"/>
              </w:rPr>
              <w:tab/>
              <w:t xml:space="preserve">associated facial angiofibroma in adults and children aged </w:t>
            </w:r>
            <w:r>
              <w:rPr>
                <w:rFonts w:cs="Arial"/>
                <w:szCs w:val="19"/>
                <w:lang w:val="en-US"/>
              </w:rPr>
              <w:t>≥</w:t>
            </w:r>
            <w:r w:rsidRPr="009D460C">
              <w:rPr>
                <w:rFonts w:cs="Arial"/>
                <w:szCs w:val="19"/>
                <w:lang w:val="en-US"/>
              </w:rPr>
              <w:t>6 years</w:t>
            </w:r>
            <w:r>
              <w:rPr>
                <w:rFonts w:cs="Arial"/>
                <w:szCs w:val="19"/>
                <w:lang w:val="en-US"/>
              </w:rPr>
              <w:t xml:space="preserve"> – UK development discontinued (company decision)</w:t>
            </w:r>
          </w:p>
        </w:tc>
      </w:tr>
      <w:tr w:rsidR="00AC74AF" w14:paraId="41AD1E72" w14:textId="77777777" w:rsidTr="00706657">
        <w:tc>
          <w:tcPr>
            <w:tcW w:w="1024" w:type="pct"/>
            <w:shd w:val="clear" w:color="auto" w:fill="auto"/>
            <w:tcMar>
              <w:top w:w="57" w:type="dxa"/>
              <w:bottom w:w="57" w:type="dxa"/>
            </w:tcMar>
          </w:tcPr>
          <w:p w14:paraId="5C70C7B6" w14:textId="77777777" w:rsidR="00AC74AF" w:rsidRPr="00D25041" w:rsidRDefault="00AC74AF" w:rsidP="00CC78AD">
            <w:pPr>
              <w:rPr>
                <w:rFonts w:cs="Arial"/>
                <w:szCs w:val="19"/>
              </w:rPr>
            </w:pPr>
            <w:r>
              <w:rPr>
                <w:rFonts w:cs="Arial"/>
                <w:szCs w:val="19"/>
              </w:rPr>
              <w:t>SPK-3006</w:t>
            </w:r>
          </w:p>
        </w:tc>
        <w:tc>
          <w:tcPr>
            <w:tcW w:w="3976" w:type="pct"/>
            <w:gridSpan w:val="2"/>
            <w:shd w:val="clear" w:color="auto" w:fill="auto"/>
            <w:tcMar>
              <w:top w:w="57" w:type="dxa"/>
              <w:bottom w:w="57" w:type="dxa"/>
            </w:tcMar>
          </w:tcPr>
          <w:p w14:paraId="6DAA8494" w14:textId="77777777" w:rsidR="00AC74AF" w:rsidRDefault="00AC74AF" w:rsidP="00CC78AD">
            <w:pPr>
              <w:tabs>
                <w:tab w:val="center" w:pos="3152"/>
              </w:tabs>
              <w:rPr>
                <w:rFonts w:cs="Arial"/>
                <w:szCs w:val="19"/>
                <w:lang w:val="en-US"/>
              </w:rPr>
            </w:pPr>
            <w:r>
              <w:rPr>
                <w:rFonts w:cs="Arial"/>
                <w:szCs w:val="19"/>
                <w:lang w:val="en-US"/>
              </w:rPr>
              <w:t>Late-onset g</w:t>
            </w:r>
            <w:r w:rsidRPr="006F4E33">
              <w:rPr>
                <w:rFonts w:cs="Arial"/>
                <w:szCs w:val="19"/>
                <w:lang w:val="en-US"/>
              </w:rPr>
              <w:t>lycogen storage disease type II (Pompe disease) in adults</w:t>
            </w:r>
            <w:r>
              <w:rPr>
                <w:rFonts w:cs="Arial"/>
                <w:szCs w:val="19"/>
                <w:lang w:val="en-US"/>
              </w:rPr>
              <w:t xml:space="preserve"> – development discontinued (company decision)</w:t>
            </w:r>
          </w:p>
        </w:tc>
      </w:tr>
      <w:tr w:rsidR="00AC74AF" w14:paraId="657DEBE9" w14:textId="77777777" w:rsidTr="00706657">
        <w:tc>
          <w:tcPr>
            <w:tcW w:w="1024" w:type="pct"/>
            <w:shd w:val="clear" w:color="auto" w:fill="auto"/>
            <w:tcMar>
              <w:top w:w="57" w:type="dxa"/>
              <w:bottom w:w="57" w:type="dxa"/>
            </w:tcMar>
          </w:tcPr>
          <w:p w14:paraId="2975DED8" w14:textId="77777777" w:rsidR="00AC74AF" w:rsidRPr="00D25041" w:rsidRDefault="00AC74AF" w:rsidP="00CC78AD">
            <w:pPr>
              <w:rPr>
                <w:rFonts w:cs="Arial"/>
                <w:szCs w:val="19"/>
              </w:rPr>
            </w:pPr>
            <w:r w:rsidRPr="00D25041">
              <w:rPr>
                <w:rFonts w:cs="Arial"/>
                <w:szCs w:val="19"/>
              </w:rPr>
              <w:t>Tiragolumab</w:t>
            </w:r>
            <w:r>
              <w:rPr>
                <w:rFonts w:cs="Arial"/>
                <w:szCs w:val="19"/>
              </w:rPr>
              <w:t xml:space="preserve"> </w:t>
            </w:r>
          </w:p>
        </w:tc>
        <w:tc>
          <w:tcPr>
            <w:tcW w:w="3976" w:type="pct"/>
            <w:gridSpan w:val="2"/>
            <w:shd w:val="clear" w:color="auto" w:fill="auto"/>
            <w:tcMar>
              <w:top w:w="57" w:type="dxa"/>
              <w:bottom w:w="57" w:type="dxa"/>
            </w:tcMar>
          </w:tcPr>
          <w:p w14:paraId="29F2DFBC" w14:textId="77777777" w:rsidR="00AC74AF" w:rsidRPr="008E641A" w:rsidRDefault="00AC74AF" w:rsidP="00CC78AD">
            <w:pPr>
              <w:tabs>
                <w:tab w:val="center" w:pos="3152"/>
              </w:tabs>
              <w:rPr>
                <w:rFonts w:cs="Arial"/>
                <w:szCs w:val="19"/>
                <w:lang w:val="en-US"/>
              </w:rPr>
            </w:pPr>
            <w:r>
              <w:rPr>
                <w:rFonts w:cs="Arial"/>
                <w:szCs w:val="19"/>
                <w:lang w:val="en-US"/>
              </w:rPr>
              <w:t>A</w:t>
            </w:r>
            <w:r w:rsidRPr="00D25041">
              <w:rPr>
                <w:rFonts w:cs="Arial"/>
                <w:szCs w:val="19"/>
                <w:lang w:val="en-US"/>
              </w:rPr>
              <w:t>dvanced, non-squamous</w:t>
            </w:r>
            <w:r>
              <w:t xml:space="preserve"> n</w:t>
            </w:r>
            <w:r w:rsidRPr="00D25041">
              <w:rPr>
                <w:rFonts w:cs="Arial"/>
                <w:szCs w:val="19"/>
                <w:lang w:val="en-US"/>
              </w:rPr>
              <w:t>on-small cell lung cancer in adults</w:t>
            </w:r>
            <w:r>
              <w:rPr>
                <w:rFonts w:cs="Arial"/>
                <w:szCs w:val="19"/>
                <w:lang w:val="en-US"/>
              </w:rPr>
              <w:t>,</w:t>
            </w:r>
            <w:r w:rsidRPr="00D25041">
              <w:rPr>
                <w:rFonts w:cs="Arial"/>
                <w:szCs w:val="19"/>
                <w:lang w:val="en-US"/>
              </w:rPr>
              <w:t xml:space="preserve"> first-line with atezolizumab plus pemetrexed and carboplatin/cisplatin </w:t>
            </w:r>
            <w:r>
              <w:rPr>
                <w:rFonts w:cs="Arial"/>
                <w:szCs w:val="19"/>
                <w:lang w:val="en-US"/>
              </w:rPr>
              <w:t>– development discontinued (lack of efficacy)</w:t>
            </w:r>
          </w:p>
        </w:tc>
      </w:tr>
      <w:tr w:rsidR="00AC74AF" w14:paraId="6E5D9234" w14:textId="77777777" w:rsidTr="00706657">
        <w:tc>
          <w:tcPr>
            <w:tcW w:w="1024" w:type="pct"/>
            <w:shd w:val="clear" w:color="auto" w:fill="auto"/>
            <w:tcMar>
              <w:top w:w="57" w:type="dxa"/>
              <w:bottom w:w="57" w:type="dxa"/>
            </w:tcMar>
          </w:tcPr>
          <w:p w14:paraId="2AD047D3" w14:textId="77777777" w:rsidR="00AC74AF" w:rsidRPr="00A63D29" w:rsidRDefault="00AC74AF" w:rsidP="00CC78AD">
            <w:pPr>
              <w:rPr>
                <w:rFonts w:cs="Arial"/>
                <w:szCs w:val="19"/>
              </w:rPr>
            </w:pPr>
            <w:r>
              <w:rPr>
                <w:rFonts w:cs="Arial"/>
                <w:szCs w:val="19"/>
              </w:rPr>
              <w:t xml:space="preserve">Venglustat </w:t>
            </w:r>
          </w:p>
        </w:tc>
        <w:tc>
          <w:tcPr>
            <w:tcW w:w="3976" w:type="pct"/>
            <w:gridSpan w:val="2"/>
            <w:shd w:val="clear" w:color="auto" w:fill="auto"/>
            <w:tcMar>
              <w:top w:w="57" w:type="dxa"/>
              <w:bottom w:w="57" w:type="dxa"/>
            </w:tcMar>
          </w:tcPr>
          <w:p w14:paraId="13603F00" w14:textId="77777777" w:rsidR="00AC74AF" w:rsidRDefault="00AC74AF" w:rsidP="00CC78AD">
            <w:pPr>
              <w:tabs>
                <w:tab w:val="center" w:pos="3152"/>
              </w:tabs>
              <w:rPr>
                <w:rFonts w:cs="Arial"/>
                <w:szCs w:val="19"/>
                <w:lang w:val="en-US"/>
              </w:rPr>
            </w:pPr>
            <w:r>
              <w:rPr>
                <w:rFonts w:cs="Arial"/>
                <w:szCs w:val="19"/>
                <w:lang w:val="en-US"/>
              </w:rPr>
              <w:t>Late-stage onset GM2 g</w:t>
            </w:r>
            <w:r w:rsidRPr="00671601">
              <w:rPr>
                <w:rFonts w:cs="Arial"/>
                <w:szCs w:val="19"/>
                <w:lang w:val="en-US"/>
              </w:rPr>
              <w:t>angliosidoses (Tay-Sachs/Sandhoff diseases), and other lysosomal storage disorders involving the glucosylceramide-based sphingolipid pathway</w:t>
            </w:r>
            <w:r>
              <w:rPr>
                <w:rFonts w:cs="Arial"/>
                <w:szCs w:val="19"/>
                <w:lang w:val="en-US"/>
              </w:rPr>
              <w:t xml:space="preserve"> – development discontinued (lack of efficacy)</w:t>
            </w:r>
          </w:p>
        </w:tc>
      </w:tr>
      <w:tr w:rsidR="00AC74AF" w:rsidRPr="000F19E1" w14:paraId="1E23804C" w14:textId="77777777" w:rsidTr="00706657">
        <w:tc>
          <w:tcPr>
            <w:tcW w:w="1024" w:type="pct"/>
            <w:shd w:val="clear" w:color="auto" w:fill="auto"/>
            <w:tcMar>
              <w:top w:w="0" w:type="dxa"/>
              <w:bottom w:w="0" w:type="dxa"/>
            </w:tcMar>
          </w:tcPr>
          <w:p w14:paraId="16BEBF5E" w14:textId="77777777" w:rsidR="00AC74AF" w:rsidRPr="000F19E1" w:rsidRDefault="00AC74AF" w:rsidP="00CC78AD">
            <w:pPr>
              <w:rPr>
                <w:rFonts w:cs="Arial"/>
                <w:bCs/>
                <w:sz w:val="8"/>
                <w:szCs w:val="8"/>
              </w:rPr>
            </w:pPr>
          </w:p>
        </w:tc>
        <w:tc>
          <w:tcPr>
            <w:tcW w:w="3976" w:type="pct"/>
            <w:gridSpan w:val="2"/>
            <w:shd w:val="clear" w:color="auto" w:fill="auto"/>
            <w:tcMar>
              <w:top w:w="0" w:type="dxa"/>
              <w:bottom w:w="0" w:type="dxa"/>
            </w:tcMar>
          </w:tcPr>
          <w:p w14:paraId="2EC030F9" w14:textId="77777777" w:rsidR="00AC74AF" w:rsidRPr="000F19E1" w:rsidRDefault="00AC74AF" w:rsidP="00CC78AD">
            <w:pPr>
              <w:tabs>
                <w:tab w:val="center" w:pos="3152"/>
              </w:tabs>
              <w:rPr>
                <w:rFonts w:cs="Arial"/>
                <w:sz w:val="8"/>
                <w:szCs w:val="8"/>
                <w:lang w:val="en-US"/>
              </w:rPr>
            </w:pPr>
          </w:p>
        </w:tc>
      </w:tr>
      <w:tr w:rsidR="00AC74AF" w:rsidRPr="000F19E1" w14:paraId="019DE8BB" w14:textId="77777777" w:rsidTr="00CC78AD">
        <w:tc>
          <w:tcPr>
            <w:tcW w:w="1355" w:type="pct"/>
            <w:gridSpan w:val="2"/>
            <w:shd w:val="clear" w:color="auto" w:fill="DAEEF3"/>
            <w:tcMar>
              <w:top w:w="0" w:type="dxa"/>
              <w:bottom w:w="0" w:type="dxa"/>
            </w:tcMar>
          </w:tcPr>
          <w:p w14:paraId="52FDB428" w14:textId="77777777" w:rsidR="00AC74AF" w:rsidRPr="000F19E1" w:rsidRDefault="00AC74AF" w:rsidP="00CC78AD">
            <w:pPr>
              <w:rPr>
                <w:rFonts w:cs="Arial"/>
                <w:bCs/>
                <w:sz w:val="8"/>
                <w:szCs w:val="8"/>
              </w:rPr>
            </w:pPr>
          </w:p>
        </w:tc>
        <w:tc>
          <w:tcPr>
            <w:tcW w:w="3645" w:type="pct"/>
            <w:shd w:val="clear" w:color="auto" w:fill="DAEEF3"/>
            <w:tcMar>
              <w:top w:w="0" w:type="dxa"/>
              <w:bottom w:w="0" w:type="dxa"/>
            </w:tcMar>
          </w:tcPr>
          <w:p w14:paraId="69F5467C" w14:textId="77777777" w:rsidR="00AC74AF" w:rsidRPr="000F19E1" w:rsidRDefault="00AC74AF" w:rsidP="00CC78AD">
            <w:pPr>
              <w:tabs>
                <w:tab w:val="center" w:pos="3152"/>
              </w:tabs>
              <w:rPr>
                <w:rFonts w:cs="Arial"/>
                <w:sz w:val="8"/>
                <w:szCs w:val="8"/>
                <w:lang w:val="en-US"/>
              </w:rPr>
            </w:pPr>
          </w:p>
        </w:tc>
      </w:tr>
    </w:tbl>
    <w:p w14:paraId="51D2DA71" w14:textId="77777777" w:rsidR="00AC74AF" w:rsidRPr="008949EF" w:rsidRDefault="00AC74AF" w:rsidP="003D16EF">
      <w:pPr>
        <w:rPr>
          <w:sz w:val="8"/>
          <w:szCs w:val="8"/>
        </w:rPr>
      </w:pPr>
    </w:p>
    <w:sectPr w:rsidR="00AC74AF" w:rsidRPr="008949EF" w:rsidSect="00F566AB">
      <w:headerReference w:type="even" r:id="rId16"/>
      <w:headerReference w:type="default" r:id="rId17"/>
      <w:footerReference w:type="default" r:id="rId18"/>
      <w:headerReference w:type="first" r:id="rId19"/>
      <w:type w:val="evenPage"/>
      <w:pgSz w:w="11906" w:h="16838" w:code="9"/>
      <w:pgMar w:top="1021" w:right="851" w:bottom="102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4290C" w14:textId="77777777" w:rsidR="00466FF6" w:rsidRDefault="00466FF6">
      <w:r>
        <w:separator/>
      </w:r>
    </w:p>
  </w:endnote>
  <w:endnote w:type="continuationSeparator" w:id="0">
    <w:p w14:paraId="3447BD46" w14:textId="77777777" w:rsidR="00466FF6" w:rsidRDefault="0046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303" w:type="dxa"/>
      <w:tblBorders>
        <w:top w:val="single" w:sz="4" w:space="0" w:color="000000"/>
        <w:left w:val="single" w:sz="4" w:space="0" w:color="000000"/>
        <w:bottom w:val="single" w:sz="4" w:space="0" w:color="000000"/>
        <w:right w:val="single" w:sz="4" w:space="0" w:color="000000"/>
        <w:insideH w:val="single" w:sz="4" w:space="0" w:color="000000"/>
      </w:tblBorders>
      <w:tblLook w:val="01E0" w:firstRow="1" w:lastRow="1" w:firstColumn="1" w:lastColumn="1" w:noHBand="0" w:noVBand="0"/>
    </w:tblPr>
    <w:tblGrid>
      <w:gridCol w:w="10980"/>
    </w:tblGrid>
    <w:tr w:rsidR="000D44DB" w:rsidRPr="00710A1C" w14:paraId="49A5E3F2" w14:textId="77777777">
      <w:tc>
        <w:tcPr>
          <w:tcW w:w="10980" w:type="dxa"/>
          <w:shd w:val="clear" w:color="auto" w:fill="3366FF"/>
          <w:tcMar>
            <w:top w:w="28" w:type="dxa"/>
            <w:left w:w="57" w:type="dxa"/>
            <w:bottom w:w="28" w:type="dxa"/>
            <w:right w:w="57" w:type="dxa"/>
          </w:tcMar>
        </w:tcPr>
        <w:p w14:paraId="74C1CB6C" w14:textId="77777777" w:rsidR="000D44DB" w:rsidRPr="00710A1C" w:rsidRDefault="000D44DB" w:rsidP="00710A1C">
          <w:pPr>
            <w:spacing w:before="60" w:after="60"/>
            <w:ind w:right="57"/>
            <w:rPr>
              <w:rFonts w:ascii="Verdana" w:hAnsi="Verdana" w:cs="Arial"/>
              <w:b/>
              <w:bCs/>
              <w:color w:val="000080"/>
              <w:sz w:val="15"/>
              <w:szCs w:val="15"/>
              <w:lang w:val="en-US"/>
            </w:rPr>
          </w:pPr>
          <w:r w:rsidRPr="00710A1C">
            <w:rPr>
              <w:rFonts w:ascii="Verdana" w:hAnsi="Verdana" w:cs="Arial"/>
              <w:b/>
              <w:bCs/>
              <w:color w:val="FFFFFF"/>
              <w:sz w:val="15"/>
              <w:szCs w:val="15"/>
              <w:lang w:val="en-US"/>
            </w:rPr>
            <w:t xml:space="preserve">If you do not wish to continue receiving NDO </w:t>
          </w:r>
          <w:r w:rsidRPr="00710A1C">
            <w:rPr>
              <w:rFonts w:ascii="Verdana" w:hAnsi="Verdana" w:cs="Arial"/>
              <w:b/>
              <w:bCs/>
              <w:i/>
              <w:color w:val="FFFFFF"/>
              <w:sz w:val="15"/>
              <w:szCs w:val="15"/>
              <w:lang w:val="en-US"/>
            </w:rPr>
            <w:t>Newsletter</w:t>
          </w:r>
          <w:r w:rsidRPr="00710A1C">
            <w:rPr>
              <w:rFonts w:ascii="Verdana" w:hAnsi="Verdana" w:cs="Arial"/>
              <w:b/>
              <w:bCs/>
              <w:color w:val="FFFFFF"/>
              <w:sz w:val="15"/>
              <w:szCs w:val="15"/>
              <w:lang w:val="en-US"/>
            </w:rPr>
            <w:t xml:space="preserve"> log in and update your profile at </w:t>
          </w:r>
          <w:hyperlink r:id="rId1" w:history="1">
            <w:r w:rsidRPr="00710A1C">
              <w:rPr>
                <w:rStyle w:val="Hyperlink"/>
                <w:rFonts w:cs="Arial"/>
                <w:b/>
                <w:bCs/>
                <w:color w:val="FFFFFF"/>
                <w:sz w:val="15"/>
                <w:szCs w:val="15"/>
                <w:lang w:val="en-US"/>
              </w:rPr>
              <w:t>www.ukmi.nhs.uk/ndo</w:t>
            </w:r>
          </w:hyperlink>
        </w:p>
      </w:tc>
    </w:tr>
    <w:tr w:rsidR="000D44DB" w14:paraId="713669FD" w14:textId="77777777">
      <w:tc>
        <w:tcPr>
          <w:tcW w:w="10980" w:type="dxa"/>
          <w:shd w:val="clear" w:color="auto" w:fill="auto"/>
          <w:tcMar>
            <w:left w:w="28" w:type="dxa"/>
            <w:right w:w="28" w:type="dxa"/>
          </w:tcMar>
        </w:tcPr>
        <w:p w14:paraId="7C26A289" w14:textId="77777777" w:rsidR="000D44DB" w:rsidRPr="00710A1C" w:rsidRDefault="000D44DB" w:rsidP="00710A1C">
          <w:pPr>
            <w:spacing w:before="120" w:after="60"/>
            <w:ind w:left="57" w:right="57"/>
            <w:rPr>
              <w:sz w:val="15"/>
              <w:szCs w:val="15"/>
            </w:rPr>
          </w:pPr>
          <w:r w:rsidRPr="00710A1C">
            <w:rPr>
              <w:rFonts w:ascii="Verdana" w:hAnsi="Verdana" w:cs="Arial"/>
              <w:b/>
              <w:bCs/>
              <w:color w:val="333399"/>
              <w:sz w:val="15"/>
              <w:szCs w:val="15"/>
              <w:lang w:val="en-US"/>
            </w:rPr>
            <w:t>In September 2011</w:t>
          </w:r>
          <w:r w:rsidRPr="00710A1C">
            <w:rPr>
              <w:rFonts w:ascii="Verdana" w:hAnsi="Verdana" w:cs="Arial"/>
              <w:bCs/>
              <w:color w:val="000000"/>
              <w:sz w:val="15"/>
              <w:szCs w:val="15"/>
              <w:lang w:val="en-US"/>
            </w:rPr>
            <w:t xml:space="preserve"> </w:t>
          </w:r>
          <w:r w:rsidRPr="00710A1C">
            <w:rPr>
              <w:rFonts w:ascii="Verdana" w:hAnsi="Verdana" w:cs="Arial"/>
              <w:b/>
              <w:bCs/>
              <w:color w:val="000000"/>
              <w:sz w:val="15"/>
              <w:szCs w:val="15"/>
              <w:lang w:val="en-US"/>
            </w:rPr>
            <w:t>| 229 monographs updated | 14 evidence-based evaluations added | 2,200 registered NDO users</w:t>
          </w:r>
        </w:p>
      </w:tc>
    </w:tr>
  </w:tbl>
  <w:p w14:paraId="4F8CF171" w14:textId="77777777" w:rsidR="000D44DB" w:rsidRDefault="000D4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227" w:type="dxa"/>
      <w:tblLook w:val="01E0" w:firstRow="1" w:lastRow="1" w:firstColumn="1" w:lastColumn="1" w:noHBand="0" w:noVBand="0"/>
    </w:tblPr>
    <w:tblGrid>
      <w:gridCol w:w="10774"/>
    </w:tblGrid>
    <w:tr w:rsidR="001F4283" w:rsidRPr="00862949" w14:paraId="3CDE88E9" w14:textId="77777777" w:rsidTr="001734BF">
      <w:trPr>
        <w:trHeight w:val="262"/>
      </w:trPr>
      <w:tc>
        <w:tcPr>
          <w:tcW w:w="10774" w:type="dxa"/>
          <w:shd w:val="clear" w:color="auto" w:fill="0070C0"/>
          <w:tcMar>
            <w:top w:w="28" w:type="dxa"/>
            <w:left w:w="57" w:type="dxa"/>
            <w:bottom w:w="28" w:type="dxa"/>
            <w:right w:w="57" w:type="dxa"/>
          </w:tcMar>
        </w:tcPr>
        <w:p w14:paraId="3277E6D0" w14:textId="77777777" w:rsidR="001F4283" w:rsidRPr="00114EBA" w:rsidRDefault="001F4283" w:rsidP="001F4283">
          <w:pPr>
            <w:spacing w:before="60" w:after="60"/>
            <w:ind w:right="57"/>
            <w:jc w:val="center"/>
            <w:rPr>
              <w:rFonts w:cs="Arial"/>
              <w:bCs/>
              <w:color w:val="F2F2F2"/>
              <w:sz w:val="17"/>
              <w:szCs w:val="17"/>
              <w:lang w:val="en-US"/>
            </w:rPr>
          </w:pPr>
          <w:r w:rsidRPr="00114EBA">
            <w:rPr>
              <w:rFonts w:cs="Arial"/>
              <w:b/>
              <w:bCs/>
              <w:color w:val="FFFFFF"/>
              <w:sz w:val="17"/>
              <w:szCs w:val="17"/>
              <w:lang w:val="en-US"/>
            </w:rPr>
            <w:t xml:space="preserve">This is </w:t>
          </w:r>
          <w:proofErr w:type="gramStart"/>
          <w:r w:rsidRPr="00114EBA">
            <w:rPr>
              <w:rFonts w:cs="Arial"/>
              <w:b/>
              <w:bCs/>
              <w:color w:val="FFFFFF"/>
              <w:sz w:val="17"/>
              <w:szCs w:val="17"/>
              <w:lang w:val="en-US"/>
            </w:rPr>
            <w:t>a</w:t>
          </w:r>
          <w:proofErr w:type="gramEnd"/>
          <w:r w:rsidRPr="00114EBA">
            <w:rPr>
              <w:rFonts w:cs="Arial"/>
              <w:b/>
              <w:bCs/>
              <w:color w:val="FFFFFF"/>
              <w:sz w:val="17"/>
              <w:szCs w:val="17"/>
              <w:lang w:val="en-US"/>
            </w:rPr>
            <w:t xml:space="preserve"> NHS document not to be used for commercial purposes</w:t>
          </w:r>
        </w:p>
      </w:tc>
    </w:tr>
    <w:tr w:rsidR="001F4283" w:rsidRPr="00862949" w14:paraId="6DD7B839" w14:textId="77777777" w:rsidTr="001734BF">
      <w:trPr>
        <w:trHeight w:val="331"/>
      </w:trPr>
      <w:tc>
        <w:tcPr>
          <w:tcW w:w="10774" w:type="dxa"/>
          <w:shd w:val="clear" w:color="auto" w:fill="DAEEF3"/>
          <w:tcMar>
            <w:left w:w="28" w:type="dxa"/>
            <w:right w:w="28" w:type="dxa"/>
          </w:tcMar>
        </w:tcPr>
        <w:p w14:paraId="40373A32" w14:textId="77777777" w:rsidR="001F4283" w:rsidRDefault="001F4283" w:rsidP="001F4283">
          <w:pPr>
            <w:spacing w:before="60" w:after="60"/>
            <w:ind w:right="57"/>
            <w:rPr>
              <w:rFonts w:cs="Arial"/>
              <w:bCs/>
              <w:color w:val="000000"/>
              <w:sz w:val="17"/>
              <w:szCs w:val="17"/>
              <w:lang w:val="en-US"/>
            </w:rPr>
          </w:pPr>
          <w:r w:rsidRPr="00114EBA">
            <w:rPr>
              <w:rFonts w:cs="Arial"/>
              <w:bCs/>
              <w:color w:val="00B050"/>
              <w:sz w:val="17"/>
              <w:szCs w:val="17"/>
              <w:lang w:val="en-US"/>
            </w:rPr>
            <w:t>New Medicines</w:t>
          </w:r>
          <w:r w:rsidRPr="00114EBA">
            <w:rPr>
              <w:rFonts w:cs="Arial"/>
              <w:bCs/>
              <w:color w:val="F2F2F2"/>
              <w:sz w:val="17"/>
              <w:szCs w:val="17"/>
              <w:lang w:val="en-US"/>
            </w:rPr>
            <w:t xml:space="preserve"> </w:t>
          </w:r>
          <w:r w:rsidRPr="00114EBA">
            <w:rPr>
              <w:rStyle w:val="Hyperlink"/>
              <w:rFonts w:ascii="Arial" w:hAnsi="Arial"/>
              <w:i/>
              <w:color w:val="0070C0"/>
              <w:sz w:val="17"/>
              <w:szCs w:val="17"/>
              <w:u w:val="none"/>
            </w:rPr>
            <w:t>News</w:t>
          </w:r>
          <w:r w:rsidRPr="00114EBA">
            <w:rPr>
              <w:rFonts w:cs="Arial"/>
              <w:bCs/>
              <w:color w:val="F2F2F2"/>
              <w:sz w:val="17"/>
              <w:szCs w:val="17"/>
              <w:lang w:val="en-US"/>
            </w:rPr>
            <w:t xml:space="preserve"> </w:t>
          </w:r>
          <w:r w:rsidRPr="00114EBA">
            <w:rPr>
              <w:rFonts w:cs="Arial"/>
              <w:bCs/>
              <w:color w:val="000000"/>
              <w:sz w:val="17"/>
              <w:szCs w:val="17"/>
              <w:lang w:val="en-US"/>
            </w:rPr>
            <w:t xml:space="preserve">is one of several horizon scanning resources produced by </w:t>
          </w:r>
          <w:r>
            <w:rPr>
              <w:rFonts w:cs="Arial"/>
              <w:bCs/>
              <w:color w:val="000000"/>
              <w:sz w:val="17"/>
              <w:szCs w:val="17"/>
              <w:lang w:val="en-US"/>
            </w:rPr>
            <w:t>the Specialist Pharmacy Service</w:t>
          </w:r>
          <w:r w:rsidRPr="00114EBA">
            <w:rPr>
              <w:rFonts w:cs="Arial"/>
              <w:bCs/>
              <w:color w:val="000000"/>
              <w:sz w:val="17"/>
              <w:szCs w:val="17"/>
              <w:lang w:val="en-US"/>
            </w:rPr>
            <w:t xml:space="preserve"> to support managed introduction of new medicines into the NHS,</w:t>
          </w:r>
          <w:r w:rsidRPr="00114EBA">
            <w:rPr>
              <w:color w:val="000000"/>
              <w:sz w:val="17"/>
              <w:szCs w:val="17"/>
            </w:rPr>
            <w:t xml:space="preserve"> </w:t>
          </w:r>
          <w:r w:rsidRPr="00114EBA">
            <w:rPr>
              <w:rFonts w:cs="Arial"/>
              <w:bCs/>
              <w:color w:val="000000"/>
              <w:sz w:val="17"/>
              <w:szCs w:val="17"/>
              <w:lang w:val="en-US"/>
            </w:rPr>
            <w:t xml:space="preserve">to help organisations develop medicines management policies and to inform prescribing decisions when a product has been launched. </w:t>
          </w:r>
        </w:p>
        <w:p w14:paraId="21C06B0E" w14:textId="77777777" w:rsidR="001F4283" w:rsidRPr="00114EBA" w:rsidRDefault="001F4283" w:rsidP="001F4283">
          <w:pPr>
            <w:spacing w:before="60" w:after="60"/>
            <w:ind w:right="57"/>
            <w:jc w:val="right"/>
            <w:rPr>
              <w:rFonts w:cs="Arial"/>
              <w:bCs/>
              <w:color w:val="000000"/>
              <w:sz w:val="17"/>
              <w:szCs w:val="17"/>
              <w:lang w:val="en-US"/>
            </w:rPr>
          </w:pPr>
          <w:r w:rsidRPr="00114EBA">
            <w:rPr>
              <w:rFonts w:cs="Arial"/>
              <w:bCs/>
              <w:color w:val="000000"/>
              <w:sz w:val="17"/>
              <w:szCs w:val="17"/>
              <w:lang w:val="en-US"/>
            </w:rPr>
            <w:t>For more information</w:t>
          </w:r>
          <w:r>
            <w:rPr>
              <w:rFonts w:cs="Arial"/>
              <w:bCs/>
              <w:color w:val="000000"/>
              <w:sz w:val="17"/>
              <w:szCs w:val="17"/>
              <w:lang w:val="en-US"/>
            </w:rPr>
            <w:t xml:space="preserve"> or </w:t>
          </w:r>
          <w:r w:rsidRPr="00114EBA">
            <w:rPr>
              <w:rFonts w:cs="Arial"/>
              <w:bCs/>
              <w:color w:val="000000"/>
              <w:sz w:val="17"/>
              <w:szCs w:val="17"/>
              <w:lang w:val="en-US"/>
            </w:rPr>
            <w:t>if you have a question about this newsletter, contact</w:t>
          </w:r>
          <w:r>
            <w:rPr>
              <w:rFonts w:cs="Arial"/>
              <w:bCs/>
              <w:color w:val="000000"/>
              <w:sz w:val="17"/>
              <w:szCs w:val="17"/>
              <w:lang w:val="en-US"/>
            </w:rPr>
            <w:t xml:space="preserve"> </w:t>
          </w:r>
          <w:hyperlink r:id="rId1" w:history="1">
            <w:r w:rsidRPr="00114EBA">
              <w:rPr>
                <w:rStyle w:val="Hyperlink"/>
                <w:rFonts w:ascii="Arial" w:hAnsi="Arial" w:cs="Arial"/>
                <w:bCs/>
                <w:sz w:val="17"/>
                <w:szCs w:val="17"/>
                <w:lang w:val="en-US"/>
              </w:rPr>
              <w:t>nwmedinfo@nhs.net</w:t>
            </w:r>
          </w:hyperlink>
          <w:r w:rsidRPr="00114EBA">
            <w:rPr>
              <w:rFonts w:cs="Arial"/>
              <w:bCs/>
              <w:color w:val="000000"/>
              <w:sz w:val="17"/>
              <w:szCs w:val="17"/>
              <w:lang w:val="en-US"/>
            </w:rPr>
            <w:t>.</w:t>
          </w:r>
        </w:p>
      </w:tc>
    </w:tr>
  </w:tbl>
  <w:p w14:paraId="07C34F22" w14:textId="77777777" w:rsidR="000D44DB" w:rsidRDefault="000D4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227" w:type="dxa"/>
      <w:tblLook w:val="01E0" w:firstRow="1" w:lastRow="1" w:firstColumn="1" w:lastColumn="1" w:noHBand="0" w:noVBand="0"/>
    </w:tblPr>
    <w:tblGrid>
      <w:gridCol w:w="10774"/>
    </w:tblGrid>
    <w:tr w:rsidR="001F4283" w:rsidRPr="00862949" w14:paraId="68B500BC" w14:textId="77777777" w:rsidTr="001734BF">
      <w:trPr>
        <w:trHeight w:val="262"/>
      </w:trPr>
      <w:tc>
        <w:tcPr>
          <w:tcW w:w="10774" w:type="dxa"/>
          <w:shd w:val="clear" w:color="auto" w:fill="0070C0"/>
          <w:tcMar>
            <w:top w:w="28" w:type="dxa"/>
            <w:left w:w="57" w:type="dxa"/>
            <w:bottom w:w="28" w:type="dxa"/>
            <w:right w:w="57" w:type="dxa"/>
          </w:tcMar>
        </w:tcPr>
        <w:p w14:paraId="70A44341" w14:textId="77777777" w:rsidR="001F4283" w:rsidRPr="00114EBA" w:rsidRDefault="001F4283" w:rsidP="001F4283">
          <w:pPr>
            <w:spacing w:before="60" w:after="60"/>
            <w:ind w:right="57"/>
            <w:jc w:val="center"/>
            <w:rPr>
              <w:rFonts w:cs="Arial"/>
              <w:bCs/>
              <w:color w:val="F2F2F2"/>
              <w:sz w:val="17"/>
              <w:szCs w:val="17"/>
              <w:lang w:val="en-US"/>
            </w:rPr>
          </w:pPr>
          <w:r w:rsidRPr="00114EBA">
            <w:rPr>
              <w:rFonts w:cs="Arial"/>
              <w:b/>
              <w:bCs/>
              <w:color w:val="FFFFFF"/>
              <w:sz w:val="17"/>
              <w:szCs w:val="17"/>
              <w:lang w:val="en-US"/>
            </w:rPr>
            <w:t xml:space="preserve">This is </w:t>
          </w:r>
          <w:proofErr w:type="gramStart"/>
          <w:r w:rsidRPr="00114EBA">
            <w:rPr>
              <w:rFonts w:cs="Arial"/>
              <w:b/>
              <w:bCs/>
              <w:color w:val="FFFFFF"/>
              <w:sz w:val="17"/>
              <w:szCs w:val="17"/>
              <w:lang w:val="en-US"/>
            </w:rPr>
            <w:t>a</w:t>
          </w:r>
          <w:proofErr w:type="gramEnd"/>
          <w:r w:rsidRPr="00114EBA">
            <w:rPr>
              <w:rFonts w:cs="Arial"/>
              <w:b/>
              <w:bCs/>
              <w:color w:val="FFFFFF"/>
              <w:sz w:val="17"/>
              <w:szCs w:val="17"/>
              <w:lang w:val="en-US"/>
            </w:rPr>
            <w:t xml:space="preserve"> NHS document not to be used for commercial purposes</w:t>
          </w:r>
        </w:p>
      </w:tc>
    </w:tr>
    <w:tr w:rsidR="001F4283" w:rsidRPr="00862949" w14:paraId="489F5F3C" w14:textId="77777777" w:rsidTr="001734BF">
      <w:trPr>
        <w:trHeight w:val="331"/>
      </w:trPr>
      <w:tc>
        <w:tcPr>
          <w:tcW w:w="10774" w:type="dxa"/>
          <w:shd w:val="clear" w:color="auto" w:fill="DAEEF3"/>
          <w:tcMar>
            <w:left w:w="28" w:type="dxa"/>
            <w:right w:w="28" w:type="dxa"/>
          </w:tcMar>
        </w:tcPr>
        <w:p w14:paraId="02EA0A56" w14:textId="77777777" w:rsidR="001F4283" w:rsidRDefault="001F4283" w:rsidP="001F4283">
          <w:pPr>
            <w:spacing w:before="60" w:after="60"/>
            <w:ind w:right="57"/>
            <w:rPr>
              <w:rFonts w:cs="Arial"/>
              <w:bCs/>
              <w:color w:val="000000"/>
              <w:sz w:val="17"/>
              <w:szCs w:val="17"/>
              <w:lang w:val="en-US"/>
            </w:rPr>
          </w:pPr>
          <w:r w:rsidRPr="00114EBA">
            <w:rPr>
              <w:rFonts w:cs="Arial"/>
              <w:bCs/>
              <w:color w:val="00B050"/>
              <w:sz w:val="17"/>
              <w:szCs w:val="17"/>
              <w:lang w:val="en-US"/>
            </w:rPr>
            <w:t>New Medicines</w:t>
          </w:r>
          <w:r w:rsidRPr="00114EBA">
            <w:rPr>
              <w:rFonts w:cs="Arial"/>
              <w:bCs/>
              <w:color w:val="F2F2F2"/>
              <w:sz w:val="17"/>
              <w:szCs w:val="17"/>
              <w:lang w:val="en-US"/>
            </w:rPr>
            <w:t xml:space="preserve"> </w:t>
          </w:r>
          <w:r w:rsidRPr="00114EBA">
            <w:rPr>
              <w:rStyle w:val="Hyperlink"/>
              <w:rFonts w:ascii="Arial" w:hAnsi="Arial"/>
              <w:i/>
              <w:color w:val="0070C0"/>
              <w:sz w:val="17"/>
              <w:szCs w:val="17"/>
              <w:u w:val="none"/>
            </w:rPr>
            <w:t>News</w:t>
          </w:r>
          <w:r w:rsidRPr="00114EBA">
            <w:rPr>
              <w:rFonts w:cs="Arial"/>
              <w:bCs/>
              <w:color w:val="F2F2F2"/>
              <w:sz w:val="17"/>
              <w:szCs w:val="17"/>
              <w:lang w:val="en-US"/>
            </w:rPr>
            <w:t xml:space="preserve"> </w:t>
          </w:r>
          <w:r w:rsidRPr="00114EBA">
            <w:rPr>
              <w:rFonts w:cs="Arial"/>
              <w:bCs/>
              <w:color w:val="000000"/>
              <w:sz w:val="17"/>
              <w:szCs w:val="17"/>
              <w:lang w:val="en-US"/>
            </w:rPr>
            <w:t xml:space="preserve">is one of several horizon scanning resources produced by </w:t>
          </w:r>
          <w:r>
            <w:rPr>
              <w:rFonts w:cs="Arial"/>
              <w:bCs/>
              <w:color w:val="000000"/>
              <w:sz w:val="17"/>
              <w:szCs w:val="17"/>
              <w:lang w:val="en-US"/>
            </w:rPr>
            <w:t>the Specialist Pharmacy Service</w:t>
          </w:r>
          <w:r w:rsidRPr="00114EBA">
            <w:rPr>
              <w:rFonts w:cs="Arial"/>
              <w:bCs/>
              <w:color w:val="000000"/>
              <w:sz w:val="17"/>
              <w:szCs w:val="17"/>
              <w:lang w:val="en-US"/>
            </w:rPr>
            <w:t xml:space="preserve"> to support managed introduction of new medicines into the NHS,</w:t>
          </w:r>
          <w:r w:rsidRPr="00114EBA">
            <w:rPr>
              <w:color w:val="000000"/>
              <w:sz w:val="17"/>
              <w:szCs w:val="17"/>
            </w:rPr>
            <w:t xml:space="preserve"> </w:t>
          </w:r>
          <w:r w:rsidRPr="00114EBA">
            <w:rPr>
              <w:rFonts w:cs="Arial"/>
              <w:bCs/>
              <w:color w:val="000000"/>
              <w:sz w:val="17"/>
              <w:szCs w:val="17"/>
              <w:lang w:val="en-US"/>
            </w:rPr>
            <w:t xml:space="preserve">to help organisations develop medicines management policies and to inform prescribing decisions when a product has been launched. </w:t>
          </w:r>
        </w:p>
        <w:p w14:paraId="679B3724" w14:textId="77777777" w:rsidR="001F4283" w:rsidRPr="00114EBA" w:rsidRDefault="001F4283" w:rsidP="001F4283">
          <w:pPr>
            <w:spacing w:before="60" w:after="60"/>
            <w:ind w:right="57"/>
            <w:jc w:val="right"/>
            <w:rPr>
              <w:rFonts w:cs="Arial"/>
              <w:bCs/>
              <w:color w:val="000000"/>
              <w:sz w:val="17"/>
              <w:szCs w:val="17"/>
              <w:lang w:val="en-US"/>
            </w:rPr>
          </w:pPr>
          <w:r w:rsidRPr="00114EBA">
            <w:rPr>
              <w:rFonts w:cs="Arial"/>
              <w:bCs/>
              <w:color w:val="000000"/>
              <w:sz w:val="17"/>
              <w:szCs w:val="17"/>
              <w:lang w:val="en-US"/>
            </w:rPr>
            <w:t>For more information</w:t>
          </w:r>
          <w:r>
            <w:rPr>
              <w:rFonts w:cs="Arial"/>
              <w:bCs/>
              <w:color w:val="000000"/>
              <w:sz w:val="17"/>
              <w:szCs w:val="17"/>
              <w:lang w:val="en-US"/>
            </w:rPr>
            <w:t xml:space="preserve"> or </w:t>
          </w:r>
          <w:r w:rsidRPr="00114EBA">
            <w:rPr>
              <w:rFonts w:cs="Arial"/>
              <w:bCs/>
              <w:color w:val="000000"/>
              <w:sz w:val="17"/>
              <w:szCs w:val="17"/>
              <w:lang w:val="en-US"/>
            </w:rPr>
            <w:t>if you have a question about this newsletter, contact</w:t>
          </w:r>
          <w:r>
            <w:rPr>
              <w:rFonts w:cs="Arial"/>
              <w:bCs/>
              <w:color w:val="000000"/>
              <w:sz w:val="17"/>
              <w:szCs w:val="17"/>
              <w:lang w:val="en-US"/>
            </w:rPr>
            <w:t xml:space="preserve"> </w:t>
          </w:r>
          <w:hyperlink r:id="rId1" w:history="1">
            <w:r w:rsidRPr="00114EBA">
              <w:rPr>
                <w:rStyle w:val="Hyperlink"/>
                <w:rFonts w:ascii="Arial" w:hAnsi="Arial" w:cs="Arial"/>
                <w:bCs/>
                <w:sz w:val="17"/>
                <w:szCs w:val="17"/>
                <w:lang w:val="en-US"/>
              </w:rPr>
              <w:t>nwmedinfo@nhs.net</w:t>
            </w:r>
          </w:hyperlink>
          <w:r w:rsidRPr="00114EBA">
            <w:rPr>
              <w:rFonts w:cs="Arial"/>
              <w:bCs/>
              <w:color w:val="000000"/>
              <w:sz w:val="17"/>
              <w:szCs w:val="17"/>
              <w:lang w:val="en-US"/>
            </w:rPr>
            <w:t>.</w:t>
          </w:r>
        </w:p>
      </w:tc>
    </w:tr>
  </w:tbl>
  <w:p w14:paraId="251554A5" w14:textId="77777777" w:rsidR="000D44DB" w:rsidRPr="00862949" w:rsidRDefault="000D44DB" w:rsidP="00F95449">
    <w:pPr>
      <w:spacing w:before="60" w:after="60"/>
      <w:ind w:left="57" w:right="57"/>
      <w:jc w:val="center"/>
      <w:rPr>
        <w:rFonts w:cs="Arial"/>
        <w:bCs/>
        <w:color w:val="333399"/>
        <w:sz w:val="8"/>
        <w:szCs w:val="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68C5" w14:textId="77777777" w:rsidR="00466FF6" w:rsidRDefault="00466FF6">
      <w:r>
        <w:separator/>
      </w:r>
    </w:p>
  </w:footnote>
  <w:footnote w:type="continuationSeparator" w:id="0">
    <w:p w14:paraId="20C941D5" w14:textId="77777777" w:rsidR="00466FF6" w:rsidRDefault="00466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F7C8" w14:textId="0204439D" w:rsidR="000D44DB" w:rsidRPr="00CD021E" w:rsidRDefault="00CD021E" w:rsidP="009A09B7">
    <w:pPr>
      <w:pStyle w:val="Header"/>
      <w:rPr>
        <w:rFonts w:ascii="Verdana" w:hAnsi="Verdana" w:cs="Arial"/>
        <w:b/>
        <w:bCs/>
        <w:i/>
        <w:color w:val="33CCCC"/>
        <w:sz w:val="52"/>
        <w:szCs w:val="52"/>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7216" behindDoc="1" locked="0" layoutInCell="1" allowOverlap="1" wp14:anchorId="28C045CF" wp14:editId="7342DFED">
          <wp:simplePos x="0" y="0"/>
          <wp:positionH relativeFrom="column">
            <wp:posOffset>5715000</wp:posOffset>
          </wp:positionH>
          <wp:positionV relativeFrom="paragraph">
            <wp:posOffset>10795</wp:posOffset>
          </wp:positionV>
          <wp:extent cx="816610" cy="463550"/>
          <wp:effectExtent l="0" t="0" r="2540" b="0"/>
          <wp:wrapTight wrapText="bothSides">
            <wp:wrapPolygon edited="0">
              <wp:start x="0" y="0"/>
              <wp:lineTo x="0" y="20416"/>
              <wp:lineTo x="21163" y="20416"/>
              <wp:lineTo x="21163" y="0"/>
              <wp:lineTo x="0" y="0"/>
            </wp:wrapPolygon>
          </wp:wrapTight>
          <wp:docPr id="18" name="Picture 18" descr="UKMi logo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KMi logo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67957D1C" wp14:editId="6CED784E">
          <wp:simplePos x="0" y="0"/>
          <wp:positionH relativeFrom="column">
            <wp:posOffset>5193665</wp:posOffset>
          </wp:positionH>
          <wp:positionV relativeFrom="paragraph">
            <wp:posOffset>116205</wp:posOffset>
          </wp:positionV>
          <wp:extent cx="533400" cy="219075"/>
          <wp:effectExtent l="0" t="0" r="0" b="9525"/>
          <wp:wrapTight wrapText="bothSides">
            <wp:wrapPolygon edited="0">
              <wp:start x="0" y="0"/>
              <wp:lineTo x="0" y="20661"/>
              <wp:lineTo x="20829" y="20661"/>
              <wp:lineTo x="20829" y="0"/>
              <wp:lineTo x="0" y="0"/>
            </wp:wrapPolygon>
          </wp:wrapTight>
          <wp:docPr id="19" name="Picture 19"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D2D4012" wp14:editId="7BFFD691">
          <wp:extent cx="1075055" cy="467995"/>
          <wp:effectExtent l="0" t="0" r="0" b="8255"/>
          <wp:docPr id="20" name="Picture 20" descr="N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O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5055" cy="467995"/>
                  </a:xfrm>
                  <a:prstGeom prst="rect">
                    <a:avLst/>
                  </a:prstGeom>
                  <a:noFill/>
                  <a:ln>
                    <a:noFill/>
                  </a:ln>
                </pic:spPr>
              </pic:pic>
            </a:graphicData>
          </a:graphic>
        </wp:inline>
      </w:drawing>
    </w:r>
    <w:r w:rsidR="000D44DB" w:rsidRPr="00CD021E">
      <w:rPr>
        <w:rFonts w:ascii="Verdana" w:hAnsi="Verdana" w:cs="Arial"/>
        <w:b/>
        <w:bCs/>
        <w:i/>
        <w:color w:val="33CCCC"/>
        <w:sz w:val="44"/>
        <w:szCs w:val="44"/>
        <w14:shadow w14:blurRad="50800" w14:dist="38100" w14:dir="2700000" w14:sx="100000" w14:sy="100000" w14:kx="0" w14:ky="0" w14:algn="tl">
          <w14:srgbClr w14:val="000000">
            <w14:alpha w14:val="60000"/>
          </w14:srgbClr>
        </w14:shadow>
      </w:rPr>
      <w:t>Newsletter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C808" w14:textId="78A29BEC" w:rsidR="000D44DB" w:rsidRPr="00CD021E" w:rsidRDefault="00A75BCB" w:rsidP="00BA65A9">
    <w:pPr>
      <w:pStyle w:val="Header"/>
      <w:ind w:left="-142"/>
      <w:rPr>
        <w:rFonts w:cs="Arial"/>
        <w:b/>
        <w:bCs/>
        <w:color w:val="244061"/>
        <w:sz w:val="32"/>
        <w:szCs w:val="32"/>
        <w14:shadow w14:blurRad="50800" w14:dist="38100" w14:dir="2700000" w14:sx="100000" w14:sy="100000" w14:kx="0" w14:ky="0" w14:algn="tl">
          <w14:srgbClr w14:val="000000">
            <w14:alpha w14:val="60000"/>
          </w14:srgbClr>
        </w14:shadow>
      </w:rPr>
    </w:pPr>
    <w:r>
      <w:rPr>
        <w:noProof/>
        <w:color w:val="00B050"/>
        <w:sz w:val="32"/>
        <w:szCs w:val="32"/>
      </w:rPr>
      <w:drawing>
        <wp:anchor distT="0" distB="0" distL="114300" distR="114300" simplePos="0" relativeHeight="251654144" behindDoc="0" locked="0" layoutInCell="1" allowOverlap="1" wp14:anchorId="20D76566" wp14:editId="0259C31D">
          <wp:simplePos x="0" y="0"/>
          <wp:positionH relativeFrom="column">
            <wp:posOffset>6073775</wp:posOffset>
          </wp:positionH>
          <wp:positionV relativeFrom="paragraph">
            <wp:posOffset>-21590</wp:posOffset>
          </wp:positionV>
          <wp:extent cx="521335" cy="213995"/>
          <wp:effectExtent l="0" t="0" r="0" b="0"/>
          <wp:wrapNone/>
          <wp:docPr id="21" name="Picture 21"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7D2A5" w14:textId="77777777" w:rsidR="000D44DB" w:rsidRPr="00CD021E" w:rsidRDefault="00CD021E" w:rsidP="00C3217F">
    <w:pPr>
      <w:pStyle w:val="Header"/>
      <w:tabs>
        <w:tab w:val="clear" w:pos="8306"/>
        <w:tab w:val="left" w:pos="7830"/>
      </w:tabs>
      <w:ind w:left="-255" w:hanging="142"/>
      <w:rPr>
        <w:rFonts w:cs="Arial"/>
        <w:b/>
        <w:bCs/>
        <w:i/>
        <w:color w:val="244061"/>
        <w:sz w:val="72"/>
        <w:szCs w:val="72"/>
        <w14:shadow w14:blurRad="50800" w14:dist="38100" w14:dir="2700000" w14:sx="100000" w14:sy="100000" w14:kx="0" w14:ky="0" w14:algn="tl">
          <w14:srgbClr w14:val="000000">
            <w14:alpha w14:val="60000"/>
          </w14:srgbClr>
        </w14:shadow>
      </w:rPr>
    </w:pPr>
    <w:r>
      <w:rPr>
        <w:rFonts w:cs="Arial"/>
        <w:b/>
        <w:bCs/>
        <w:noProof/>
        <w:color w:val="00B050"/>
        <w:sz w:val="72"/>
        <w:szCs w:val="72"/>
      </w:rPr>
      <w:drawing>
        <wp:anchor distT="0" distB="0" distL="114300" distR="114300" simplePos="0" relativeHeight="251661312" behindDoc="1" locked="0" layoutInCell="1" allowOverlap="1" wp14:anchorId="130A552C" wp14:editId="0E7230A9">
          <wp:simplePos x="0" y="0"/>
          <wp:positionH relativeFrom="column">
            <wp:posOffset>-360045</wp:posOffset>
          </wp:positionH>
          <wp:positionV relativeFrom="paragraph">
            <wp:posOffset>34925</wp:posOffset>
          </wp:positionV>
          <wp:extent cx="1051560" cy="448945"/>
          <wp:effectExtent l="0" t="0" r="0" b="8255"/>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560" cy="448945"/>
                  </a:xfrm>
                  <a:prstGeom prst="rect">
                    <a:avLst/>
                  </a:prstGeom>
                  <a:noFill/>
                </pic:spPr>
              </pic:pic>
            </a:graphicData>
          </a:graphic>
          <wp14:sizeRelH relativeFrom="page">
            <wp14:pctWidth>0</wp14:pctWidth>
          </wp14:sizeRelH>
          <wp14:sizeRelV relativeFrom="page">
            <wp14:pctHeight>0</wp14:pctHeight>
          </wp14:sizeRelV>
        </wp:anchor>
      </w:drawing>
    </w:r>
    <w:r w:rsidR="000D44DB" w:rsidRPr="00CD021E">
      <w:rPr>
        <w:rFonts w:cs="Arial"/>
        <w:b/>
        <w:bCs/>
        <w:color w:val="00B050"/>
        <w:sz w:val="72"/>
        <w:szCs w:val="72"/>
        <w14:shadow w14:blurRad="50800" w14:dist="38100" w14:dir="2700000" w14:sx="100000" w14:sy="100000" w14:kx="0" w14:ky="0" w14:algn="tl">
          <w14:srgbClr w14:val="000000">
            <w14:alpha w14:val="60000"/>
          </w14:srgbClr>
        </w14:shadow>
      </w:rPr>
      <w:tab/>
    </w:r>
    <w:r w:rsidR="000D44DB" w:rsidRPr="00CD021E">
      <w:rPr>
        <w:rFonts w:cs="Arial"/>
        <w:b/>
        <w:bCs/>
        <w:color w:val="00B050"/>
        <w:sz w:val="72"/>
        <w:szCs w:val="72"/>
        <w14:shadow w14:blurRad="50800" w14:dist="38100" w14:dir="2700000" w14:sx="100000" w14:sy="100000" w14:kx="0" w14:ky="0" w14:algn="tl">
          <w14:srgbClr w14:val="000000">
            <w14:alpha w14:val="60000"/>
          </w14:srgbClr>
        </w14:shadow>
      </w:rPr>
      <w:tab/>
      <w:t xml:space="preserve">      New Medicines</w:t>
    </w:r>
    <w:r w:rsidR="000D44DB" w:rsidRPr="00CD021E">
      <w:rPr>
        <w:rFonts w:cs="Arial"/>
        <w:b/>
        <w:bCs/>
        <w:i/>
        <w:color w:val="244061"/>
        <w:sz w:val="72"/>
        <w:szCs w:val="72"/>
        <w14:shadow w14:blurRad="50800" w14:dist="38100" w14:dir="2700000" w14:sx="100000" w14:sy="100000" w14:kx="0" w14:ky="0" w14:algn="tl">
          <w14:srgbClr w14:val="000000">
            <w14:alpha w14:val="60000"/>
          </w14:srgbClr>
        </w14:shadow>
      </w:rPr>
      <w:t xml:space="preserve"> </w:t>
    </w:r>
    <w:r w:rsidR="000D44DB" w:rsidRPr="00CD021E">
      <w:rPr>
        <w:rFonts w:cs="Arial"/>
        <w:b/>
        <w:bCs/>
        <w:i/>
        <w:color w:val="0070C0"/>
        <w:sz w:val="72"/>
        <w:szCs w:val="72"/>
        <w14:shadow w14:blurRad="50800" w14:dist="38100" w14:dir="2700000" w14:sx="100000" w14:sy="100000" w14:kx="0" w14:ky="0" w14:algn="tl">
          <w14:srgbClr w14:val="000000">
            <w14:alpha w14:val="60000"/>
          </w14:srgbClr>
        </w14:shadow>
      </w:rPr>
      <w:t>News</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0D44DB" w:rsidRPr="00CD021E" w14:paraId="291843F5" w14:textId="77777777" w:rsidTr="002772ED">
      <w:tc>
        <w:tcPr>
          <w:tcW w:w="10774" w:type="dxa"/>
          <w:tcBorders>
            <w:top w:val="nil"/>
            <w:left w:val="nil"/>
            <w:bottom w:val="nil"/>
            <w:right w:val="nil"/>
          </w:tcBorders>
          <w:shd w:val="clear" w:color="auto" w:fill="DAEEF3"/>
        </w:tcPr>
        <w:p w14:paraId="14A8C19C" w14:textId="3AA3E125" w:rsidR="000D44DB" w:rsidRPr="00CD021E" w:rsidRDefault="00C0419D" w:rsidP="00EB3E6F">
          <w:pPr>
            <w:pStyle w:val="Header"/>
            <w:spacing w:before="60" w:after="60"/>
            <w:rPr>
              <w:rFonts w:cs="Arial"/>
              <w:b/>
              <w:bCs/>
              <w:color w:val="000000"/>
              <w:sz w:val="36"/>
              <w:szCs w:val="36"/>
              <w14:shadow w14:blurRad="50800" w14:dist="38100" w14:dir="2700000" w14:sx="100000" w14:sy="100000" w14:kx="0" w14:ky="0" w14:algn="tl">
                <w14:srgbClr w14:val="000000">
                  <w14:alpha w14:val="60000"/>
                </w14:srgbClr>
              </w14:shadow>
            </w:rPr>
          </w:pPr>
          <w:r>
            <w:rPr>
              <w:rFonts w:cs="Arial"/>
              <w:b/>
              <w:bCs/>
              <w:color w:val="0070C0"/>
              <w:sz w:val="36"/>
              <w:szCs w:val="36"/>
              <w14:shadow w14:blurRad="50800" w14:dist="38100" w14:dir="2700000" w14:sx="100000" w14:sy="100000" w14:kx="0" w14:ky="0" w14:algn="tl">
                <w14:srgbClr w14:val="000000">
                  <w14:alpha w14:val="60000"/>
                </w14:srgbClr>
              </w14:shadow>
            </w:rPr>
            <w:t>July</w:t>
          </w:r>
          <w:r w:rsidR="00A75BCB">
            <w:rPr>
              <w:rFonts w:cs="Arial"/>
              <w:b/>
              <w:bCs/>
              <w:color w:val="0070C0"/>
              <w:sz w:val="36"/>
              <w:szCs w:val="36"/>
              <w14:shadow w14:blurRad="50800" w14:dist="38100" w14:dir="2700000" w14:sx="100000" w14:sy="100000" w14:kx="0" w14:ky="0" w14:algn="tl">
                <w14:srgbClr w14:val="000000">
                  <w14:alpha w14:val="60000"/>
                </w14:srgbClr>
              </w14:shadow>
            </w:rPr>
            <w:t xml:space="preserve"> 202</w:t>
          </w:r>
          <w:r w:rsidR="001D7529">
            <w:rPr>
              <w:rFonts w:cs="Arial"/>
              <w:b/>
              <w:bCs/>
              <w:color w:val="0070C0"/>
              <w:sz w:val="36"/>
              <w:szCs w:val="36"/>
              <w14:shadow w14:blurRad="50800" w14:dist="38100" w14:dir="2700000" w14:sx="100000" w14:sy="100000" w14:kx="0" w14:ky="0" w14:algn="tl">
                <w14:srgbClr w14:val="000000">
                  <w14:alpha w14:val="60000"/>
                </w14:srgbClr>
              </w14:shadow>
            </w:rPr>
            <w:t>4</w:t>
          </w:r>
        </w:p>
      </w:tc>
    </w:tr>
    <w:tr w:rsidR="000D44DB" w:rsidRPr="00CD021E" w14:paraId="7E800443" w14:textId="77777777" w:rsidTr="002772ED">
      <w:tc>
        <w:tcPr>
          <w:tcW w:w="10774" w:type="dxa"/>
          <w:tcBorders>
            <w:top w:val="nil"/>
            <w:left w:val="nil"/>
            <w:bottom w:val="nil"/>
            <w:right w:val="nil"/>
          </w:tcBorders>
          <w:shd w:val="clear" w:color="auto" w:fill="0070C0"/>
        </w:tcPr>
        <w:p w14:paraId="22F3D005" w14:textId="77777777" w:rsidR="000D44DB" w:rsidRPr="00CD021E" w:rsidRDefault="000D44DB" w:rsidP="00395D20">
          <w:pPr>
            <w:pStyle w:val="Header"/>
            <w:tabs>
              <w:tab w:val="clear" w:pos="4153"/>
              <w:tab w:val="clear" w:pos="8306"/>
              <w:tab w:val="left" w:pos="2197"/>
            </w:tabs>
            <w:rPr>
              <w:rFonts w:cs="Arial"/>
              <w:b/>
              <w:bCs/>
              <w:color w:val="0070C0"/>
              <w:sz w:val="8"/>
              <w:szCs w:val="8"/>
              <w14:shadow w14:blurRad="50800" w14:dist="38100" w14:dir="2700000" w14:sx="100000" w14:sy="100000" w14:kx="0" w14:ky="0" w14:algn="tl">
                <w14:srgbClr w14:val="000000">
                  <w14:alpha w14:val="60000"/>
                </w14:srgbClr>
              </w14:shadow>
            </w:rPr>
          </w:pPr>
          <w:r w:rsidRPr="00CD021E">
            <w:rPr>
              <w:rFonts w:cs="Arial"/>
              <w:b/>
              <w:bCs/>
              <w:color w:val="0070C0"/>
              <w:sz w:val="28"/>
              <w:szCs w:val="28"/>
              <w14:shadow w14:blurRad="50800" w14:dist="38100" w14:dir="2700000" w14:sx="100000" w14:sy="100000" w14:kx="0" w14:ky="0" w14:algn="tl">
                <w14:srgbClr w14:val="000000">
                  <w14:alpha w14:val="60000"/>
                </w14:srgbClr>
              </w14:shadow>
            </w:rPr>
            <w:tab/>
          </w:r>
        </w:p>
      </w:tc>
    </w:tr>
    <w:tr w:rsidR="000D44DB" w:rsidRPr="00CD021E" w14:paraId="304DE26A" w14:textId="77777777" w:rsidTr="002772ED">
      <w:tc>
        <w:tcPr>
          <w:tcW w:w="10774" w:type="dxa"/>
          <w:tcBorders>
            <w:top w:val="nil"/>
            <w:left w:val="nil"/>
            <w:bottom w:val="nil"/>
            <w:right w:val="nil"/>
          </w:tcBorders>
          <w:shd w:val="clear" w:color="auto" w:fill="DAEEF3"/>
        </w:tcPr>
        <w:p w14:paraId="1030843D" w14:textId="77777777" w:rsidR="000D44DB" w:rsidRPr="00C315D6" w:rsidRDefault="00885CAE" w:rsidP="00CB6344">
          <w:pPr>
            <w:pStyle w:val="Header"/>
            <w:tabs>
              <w:tab w:val="clear" w:pos="4153"/>
              <w:tab w:val="clear" w:pos="8306"/>
              <w:tab w:val="left" w:pos="2197"/>
            </w:tabs>
            <w:spacing w:before="120" w:after="120"/>
            <w:rPr>
              <w:rFonts w:cs="Arial"/>
              <w:b/>
              <w:bCs/>
              <w:color w:val="0070C0"/>
              <w:sz w:val="18"/>
              <w:szCs w:val="18"/>
            </w:rPr>
          </w:pPr>
          <w:r w:rsidRPr="009B0BCE">
            <w:rPr>
              <w:rFonts w:cs="Arial"/>
              <w:b/>
              <w:bCs/>
              <w:color w:val="0070C0"/>
              <w:sz w:val="18"/>
              <w:szCs w:val="18"/>
            </w:rPr>
            <w:t xml:space="preserve">This newsletter is produced by </w:t>
          </w:r>
          <w:hyperlink r:id="rId3" w:history="1">
            <w:r w:rsidRPr="00551321">
              <w:rPr>
                <w:rStyle w:val="Hyperlink"/>
                <w:rFonts w:ascii="Arial" w:hAnsi="Arial" w:cs="Arial"/>
                <w:b/>
                <w:bCs/>
              </w:rPr>
              <w:t xml:space="preserve">SPS </w:t>
            </w:r>
            <w:r w:rsidR="003C4624">
              <w:rPr>
                <w:rStyle w:val="Hyperlink"/>
                <w:rFonts w:ascii="Arial" w:hAnsi="Arial" w:cs="Arial"/>
                <w:b/>
                <w:bCs/>
              </w:rPr>
              <w:t>H</w:t>
            </w:r>
            <w:r w:rsidRPr="00551321">
              <w:rPr>
                <w:rStyle w:val="Hyperlink"/>
                <w:rFonts w:ascii="Arial" w:hAnsi="Arial" w:cs="Arial"/>
                <w:b/>
                <w:bCs/>
              </w:rPr>
              <w:t xml:space="preserve">orizon </w:t>
            </w:r>
            <w:r w:rsidR="003C4624">
              <w:rPr>
                <w:rStyle w:val="Hyperlink"/>
                <w:rFonts w:ascii="Arial" w:hAnsi="Arial" w:cs="Arial"/>
                <w:b/>
                <w:bCs/>
              </w:rPr>
              <w:t>S</w:t>
            </w:r>
            <w:r w:rsidRPr="00551321">
              <w:rPr>
                <w:rStyle w:val="Hyperlink"/>
                <w:rFonts w:ascii="Arial" w:hAnsi="Arial" w:cs="Arial"/>
                <w:b/>
                <w:bCs/>
              </w:rPr>
              <w:t>canning</w:t>
            </w:r>
          </w:hyperlink>
          <w:r w:rsidRPr="009B0BCE">
            <w:rPr>
              <w:rFonts w:cs="Arial"/>
              <w:b/>
              <w:bCs/>
              <w:color w:val="0070C0"/>
              <w:sz w:val="18"/>
              <w:szCs w:val="18"/>
            </w:rPr>
            <w:t xml:space="preserve"> and highlights recent</w:t>
          </w:r>
          <w:r>
            <w:rPr>
              <w:rFonts w:cs="Arial"/>
              <w:b/>
              <w:bCs/>
              <w:color w:val="0070C0"/>
              <w:sz w:val="18"/>
              <w:szCs w:val="18"/>
            </w:rPr>
            <w:t xml:space="preserve"> new product launches and </w:t>
          </w:r>
          <w:r w:rsidRPr="009B0BCE">
            <w:rPr>
              <w:rFonts w:cs="Arial"/>
              <w:b/>
              <w:bCs/>
              <w:color w:val="0070C0"/>
              <w:sz w:val="18"/>
              <w:szCs w:val="18"/>
            </w:rPr>
            <w:t xml:space="preserve">medicines regulatory changes. More detailed information on medicines </w:t>
          </w:r>
          <w:r>
            <w:rPr>
              <w:rFonts w:cs="Arial"/>
              <w:b/>
              <w:bCs/>
              <w:color w:val="0070C0"/>
              <w:sz w:val="18"/>
              <w:szCs w:val="18"/>
            </w:rPr>
            <w:t>estimated</w:t>
          </w:r>
          <w:r w:rsidRPr="009B0BCE">
            <w:rPr>
              <w:rFonts w:cs="Arial"/>
              <w:b/>
              <w:bCs/>
              <w:color w:val="0070C0"/>
              <w:sz w:val="18"/>
              <w:szCs w:val="18"/>
            </w:rPr>
            <w:t xml:space="preserve"> to </w:t>
          </w:r>
          <w:r>
            <w:rPr>
              <w:rFonts w:cs="Arial"/>
              <w:b/>
              <w:bCs/>
              <w:color w:val="0070C0"/>
              <w:sz w:val="18"/>
              <w:szCs w:val="18"/>
            </w:rPr>
            <w:t>become available for use</w:t>
          </w:r>
          <w:r w:rsidRPr="009B0BCE">
            <w:rPr>
              <w:rFonts w:cs="Arial"/>
              <w:b/>
              <w:bCs/>
              <w:color w:val="0070C0"/>
              <w:sz w:val="18"/>
              <w:szCs w:val="18"/>
            </w:rPr>
            <w:t xml:space="preserve"> in the next 2</w:t>
          </w:r>
          <w:r>
            <w:rPr>
              <w:rFonts w:cs="Arial"/>
              <w:b/>
              <w:bCs/>
              <w:color w:val="0070C0"/>
              <w:sz w:val="18"/>
              <w:szCs w:val="18"/>
            </w:rPr>
            <w:t xml:space="preserve"> financial years</w:t>
          </w:r>
          <w:r w:rsidRPr="009B0BCE">
            <w:rPr>
              <w:rFonts w:cs="Arial"/>
              <w:b/>
              <w:bCs/>
              <w:color w:val="0070C0"/>
              <w:sz w:val="18"/>
              <w:szCs w:val="18"/>
            </w:rPr>
            <w:t xml:space="preserve"> and on marketed medicines expected to have major new indications approved</w:t>
          </w:r>
          <w:r>
            <w:rPr>
              <w:rFonts w:cs="Arial"/>
              <w:b/>
              <w:bCs/>
              <w:color w:val="0070C0"/>
              <w:sz w:val="18"/>
              <w:szCs w:val="18"/>
            </w:rPr>
            <w:t xml:space="preserve"> is</w:t>
          </w:r>
          <w:r w:rsidRPr="009B0BCE">
            <w:rPr>
              <w:rFonts w:cs="Arial"/>
              <w:b/>
              <w:bCs/>
              <w:color w:val="0070C0"/>
              <w:sz w:val="18"/>
              <w:szCs w:val="18"/>
            </w:rPr>
            <w:t xml:space="preserve"> in </w:t>
          </w:r>
          <w:hyperlink r:id="rId4" w:history="1">
            <w:r w:rsidRPr="009B0BCE">
              <w:rPr>
                <w:rStyle w:val="Hyperlink"/>
                <w:rFonts w:ascii="Arial" w:hAnsi="Arial" w:cs="Arial"/>
                <w:b/>
                <w:bCs/>
              </w:rPr>
              <w:t>Prescribing Outlook</w:t>
            </w:r>
          </w:hyperlink>
          <w:r w:rsidRPr="009B0BCE">
            <w:rPr>
              <w:rFonts w:cs="Arial"/>
              <w:b/>
              <w:bCs/>
              <w:color w:val="0070C0"/>
              <w:sz w:val="18"/>
              <w:szCs w:val="18"/>
            </w:rPr>
            <w:t>.</w:t>
          </w:r>
        </w:p>
      </w:tc>
    </w:tr>
  </w:tbl>
  <w:p w14:paraId="36F3D693" w14:textId="77777777" w:rsidR="000D44DB" w:rsidRPr="00CD021E" w:rsidRDefault="000D44DB" w:rsidP="00A56726">
    <w:pPr>
      <w:pStyle w:val="Header"/>
      <w:rPr>
        <w:rFonts w:cs="Arial"/>
        <w:b/>
        <w:bCs/>
        <w:color w:val="244061"/>
        <w:sz w:val="8"/>
        <w:szCs w:val="8"/>
        <w14:shadow w14:blurRad="50800" w14:dist="38100" w14:dir="2700000" w14:sx="100000" w14:sy="100000" w14:kx="0" w14:ky="0" w14:algn="tl">
          <w14:srgbClr w14:val="000000">
            <w14:alpha w14:val="60000"/>
          </w14:srgbClr>
        </w14:shad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E78D" w14:textId="06DDB20D" w:rsidR="0090527B" w:rsidRDefault="00905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04B5" w14:textId="12DF198A" w:rsidR="0090527B" w:rsidRDefault="009052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1B22" w14:textId="13E36FA5" w:rsidR="000D44DB" w:rsidRPr="00CD021E" w:rsidRDefault="00A75BCB" w:rsidP="000F1828">
    <w:pPr>
      <w:pStyle w:val="Header"/>
      <w:tabs>
        <w:tab w:val="clear" w:pos="8306"/>
        <w:tab w:val="left" w:pos="7830"/>
      </w:tabs>
      <w:spacing w:before="120"/>
      <w:rPr>
        <w:rFonts w:cs="Arial"/>
        <w:b/>
        <w:bCs/>
        <w:i/>
        <w:color w:val="31849B"/>
        <w:sz w:val="44"/>
        <w:szCs w:val="44"/>
        <w14:shadow w14:blurRad="50800" w14:dist="38100" w14:dir="2700000" w14:sx="100000" w14:sy="100000" w14:kx="0" w14:ky="0" w14:algn="tl">
          <w14:srgbClr w14:val="000000">
            <w14:alpha w14:val="60000"/>
          </w14:srgbClr>
        </w14:shadow>
      </w:rPr>
    </w:pPr>
    <w:r>
      <w:rPr>
        <w:rFonts w:cs="Arial"/>
        <w:noProof/>
        <w:color w:val="00A249"/>
        <w:sz w:val="40"/>
        <w:szCs w:val="40"/>
      </w:rPr>
      <w:drawing>
        <wp:anchor distT="0" distB="0" distL="114300" distR="114300" simplePos="0" relativeHeight="251658240" behindDoc="0" locked="0" layoutInCell="1" allowOverlap="1" wp14:anchorId="3717D543" wp14:editId="285D31B3">
          <wp:simplePos x="0" y="0"/>
          <wp:positionH relativeFrom="column">
            <wp:posOffset>6182360</wp:posOffset>
          </wp:positionH>
          <wp:positionV relativeFrom="paragraph">
            <wp:posOffset>93345</wp:posOffset>
          </wp:positionV>
          <wp:extent cx="469265" cy="192405"/>
          <wp:effectExtent l="0" t="0" r="6985" b="0"/>
          <wp:wrapNone/>
          <wp:docPr id="8" name="Picture 8"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HS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19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21E">
      <w:rPr>
        <w:noProof/>
      </w:rPr>
      <w:drawing>
        <wp:anchor distT="0" distB="0" distL="114300" distR="114300" simplePos="0" relativeHeight="251660288" behindDoc="0" locked="0" layoutInCell="1" allowOverlap="1" wp14:anchorId="66F1486B" wp14:editId="517410C7">
          <wp:simplePos x="0" y="0"/>
          <wp:positionH relativeFrom="column">
            <wp:posOffset>-286385</wp:posOffset>
          </wp:positionH>
          <wp:positionV relativeFrom="paragraph">
            <wp:posOffset>8890</wp:posOffset>
          </wp:positionV>
          <wp:extent cx="940435" cy="401955"/>
          <wp:effectExtent l="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0435" cy="401955"/>
                  </a:xfrm>
                  <a:prstGeom prst="rect">
                    <a:avLst/>
                  </a:prstGeom>
                  <a:noFill/>
                </pic:spPr>
              </pic:pic>
            </a:graphicData>
          </a:graphic>
          <wp14:sizeRelH relativeFrom="page">
            <wp14:pctWidth>0</wp14:pctWidth>
          </wp14:sizeRelH>
          <wp14:sizeRelV relativeFrom="page">
            <wp14:pctHeight>0</wp14:pctHeight>
          </wp14:sizeRelV>
        </wp:anchor>
      </w:drawing>
    </w:r>
    <w:r w:rsidR="000D44DB" w:rsidRPr="00CD021E">
      <w:rPr>
        <w:rFonts w:cs="Arial"/>
        <w:b/>
        <w:bCs/>
        <w:color w:val="00A249"/>
        <w:sz w:val="44"/>
        <w:szCs w:val="44"/>
        <w14:shadow w14:blurRad="50800" w14:dist="38100" w14:dir="2700000" w14:sx="100000" w14:sy="100000" w14:kx="0" w14:ky="0" w14:algn="tl">
          <w14:srgbClr w14:val="000000">
            <w14:alpha w14:val="60000"/>
          </w14:srgbClr>
        </w14:shadow>
      </w:rPr>
      <w:t>New Medicines</w:t>
    </w:r>
    <w:r w:rsidR="000D44DB" w:rsidRPr="00CD021E">
      <w:rPr>
        <w:rFonts w:cs="Arial"/>
        <w:b/>
        <w:bCs/>
        <w:i/>
        <w:color w:val="244061"/>
        <w:sz w:val="44"/>
        <w:szCs w:val="44"/>
        <w14:shadow w14:blurRad="50800" w14:dist="38100" w14:dir="2700000" w14:sx="100000" w14:sy="100000" w14:kx="0" w14:ky="0" w14:algn="tl">
          <w14:srgbClr w14:val="000000">
            <w14:alpha w14:val="60000"/>
          </w14:srgbClr>
        </w14:shadow>
      </w:rPr>
      <w:t xml:space="preserve"> </w:t>
    </w:r>
    <w:r w:rsidR="000D44DB" w:rsidRPr="00CD021E">
      <w:rPr>
        <w:rFonts w:cs="Arial"/>
        <w:b/>
        <w:bCs/>
        <w:i/>
        <w:color w:val="0070C0"/>
        <w:sz w:val="44"/>
        <w:szCs w:val="44"/>
        <w14:shadow w14:blurRad="50800" w14:dist="38100" w14:dir="2700000" w14:sx="100000" w14:sy="100000" w14:kx="0" w14:ky="0" w14:algn="tl">
          <w14:srgbClr w14:val="000000">
            <w14:alpha w14:val="60000"/>
          </w14:srgbClr>
        </w14:shadow>
      </w:rPr>
      <w:t>News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F69B" w14:textId="1144AE4A" w:rsidR="0090527B" w:rsidRDefault="00905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E6EF9"/>
    <w:multiLevelType w:val="multilevel"/>
    <w:tmpl w:val="29F4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55FA1"/>
    <w:multiLevelType w:val="hybridMultilevel"/>
    <w:tmpl w:val="BCF48EAE"/>
    <w:lvl w:ilvl="0" w:tplc="1AB04B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104711">
    <w:abstractNumId w:val="1"/>
  </w:num>
  <w:num w:numId="2" w16cid:durableId="42692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9D"/>
    <w:rsid w:val="0000035C"/>
    <w:rsid w:val="000005B6"/>
    <w:rsid w:val="000005EF"/>
    <w:rsid w:val="00000A0A"/>
    <w:rsid w:val="00000BE4"/>
    <w:rsid w:val="00000F87"/>
    <w:rsid w:val="0000199C"/>
    <w:rsid w:val="00001F19"/>
    <w:rsid w:val="0000290B"/>
    <w:rsid w:val="00002A08"/>
    <w:rsid w:val="00003329"/>
    <w:rsid w:val="00003421"/>
    <w:rsid w:val="000034B3"/>
    <w:rsid w:val="00003C95"/>
    <w:rsid w:val="00003D95"/>
    <w:rsid w:val="000042E9"/>
    <w:rsid w:val="00005014"/>
    <w:rsid w:val="00005119"/>
    <w:rsid w:val="00005271"/>
    <w:rsid w:val="000052F0"/>
    <w:rsid w:val="00005673"/>
    <w:rsid w:val="00005703"/>
    <w:rsid w:val="000057D2"/>
    <w:rsid w:val="00005CE9"/>
    <w:rsid w:val="00006527"/>
    <w:rsid w:val="000065F4"/>
    <w:rsid w:val="000072EC"/>
    <w:rsid w:val="0000751E"/>
    <w:rsid w:val="000075ED"/>
    <w:rsid w:val="0000769C"/>
    <w:rsid w:val="000102A1"/>
    <w:rsid w:val="000102E8"/>
    <w:rsid w:val="00010447"/>
    <w:rsid w:val="0001067C"/>
    <w:rsid w:val="00010B1D"/>
    <w:rsid w:val="00011176"/>
    <w:rsid w:val="000111C5"/>
    <w:rsid w:val="000114B1"/>
    <w:rsid w:val="00011D4B"/>
    <w:rsid w:val="00011E5B"/>
    <w:rsid w:val="00012B74"/>
    <w:rsid w:val="00012BA7"/>
    <w:rsid w:val="00012DCA"/>
    <w:rsid w:val="00012E19"/>
    <w:rsid w:val="00012E28"/>
    <w:rsid w:val="000132A0"/>
    <w:rsid w:val="00013575"/>
    <w:rsid w:val="000135BF"/>
    <w:rsid w:val="00013853"/>
    <w:rsid w:val="00013B16"/>
    <w:rsid w:val="00013CD9"/>
    <w:rsid w:val="00013E21"/>
    <w:rsid w:val="00014028"/>
    <w:rsid w:val="00014115"/>
    <w:rsid w:val="00014240"/>
    <w:rsid w:val="0001441B"/>
    <w:rsid w:val="00014631"/>
    <w:rsid w:val="00014657"/>
    <w:rsid w:val="000148ED"/>
    <w:rsid w:val="00014AFE"/>
    <w:rsid w:val="00015455"/>
    <w:rsid w:val="000158C2"/>
    <w:rsid w:val="00015915"/>
    <w:rsid w:val="000159C6"/>
    <w:rsid w:val="00015A48"/>
    <w:rsid w:val="00015B43"/>
    <w:rsid w:val="000165BE"/>
    <w:rsid w:val="000166D7"/>
    <w:rsid w:val="0001694F"/>
    <w:rsid w:val="00016C87"/>
    <w:rsid w:val="00016CDC"/>
    <w:rsid w:val="00016E17"/>
    <w:rsid w:val="000171BC"/>
    <w:rsid w:val="000173BA"/>
    <w:rsid w:val="0001791D"/>
    <w:rsid w:val="00017CA2"/>
    <w:rsid w:val="00017D66"/>
    <w:rsid w:val="00020261"/>
    <w:rsid w:val="000202B3"/>
    <w:rsid w:val="000202FE"/>
    <w:rsid w:val="000203F6"/>
    <w:rsid w:val="000207FB"/>
    <w:rsid w:val="00020C1D"/>
    <w:rsid w:val="00020D00"/>
    <w:rsid w:val="0002143C"/>
    <w:rsid w:val="0002181A"/>
    <w:rsid w:val="000225BB"/>
    <w:rsid w:val="000225EE"/>
    <w:rsid w:val="0002265E"/>
    <w:rsid w:val="0002269F"/>
    <w:rsid w:val="00022775"/>
    <w:rsid w:val="0002291B"/>
    <w:rsid w:val="000229C8"/>
    <w:rsid w:val="00022CCE"/>
    <w:rsid w:val="00022FB9"/>
    <w:rsid w:val="0002372C"/>
    <w:rsid w:val="00023B87"/>
    <w:rsid w:val="00023E2E"/>
    <w:rsid w:val="00023FBB"/>
    <w:rsid w:val="00025142"/>
    <w:rsid w:val="00025A1E"/>
    <w:rsid w:val="00025AD9"/>
    <w:rsid w:val="00025B8F"/>
    <w:rsid w:val="00026E35"/>
    <w:rsid w:val="00026FAE"/>
    <w:rsid w:val="0002715B"/>
    <w:rsid w:val="00027AC3"/>
    <w:rsid w:val="00027B21"/>
    <w:rsid w:val="00027C1C"/>
    <w:rsid w:val="00027D1D"/>
    <w:rsid w:val="00027E7C"/>
    <w:rsid w:val="00030002"/>
    <w:rsid w:val="0003000F"/>
    <w:rsid w:val="000305BA"/>
    <w:rsid w:val="00030663"/>
    <w:rsid w:val="0003082E"/>
    <w:rsid w:val="0003092A"/>
    <w:rsid w:val="00030ADE"/>
    <w:rsid w:val="00030B98"/>
    <w:rsid w:val="00030E87"/>
    <w:rsid w:val="00031218"/>
    <w:rsid w:val="00031336"/>
    <w:rsid w:val="00031909"/>
    <w:rsid w:val="00031E46"/>
    <w:rsid w:val="000320DC"/>
    <w:rsid w:val="000322AB"/>
    <w:rsid w:val="000327BA"/>
    <w:rsid w:val="00032BD9"/>
    <w:rsid w:val="0003313C"/>
    <w:rsid w:val="00033349"/>
    <w:rsid w:val="0003344C"/>
    <w:rsid w:val="000341CF"/>
    <w:rsid w:val="0003447E"/>
    <w:rsid w:val="0003499B"/>
    <w:rsid w:val="00034BCE"/>
    <w:rsid w:val="00034E8C"/>
    <w:rsid w:val="00035436"/>
    <w:rsid w:val="0003552B"/>
    <w:rsid w:val="00035B23"/>
    <w:rsid w:val="00035CA7"/>
    <w:rsid w:val="00035D82"/>
    <w:rsid w:val="00035DBD"/>
    <w:rsid w:val="00036A16"/>
    <w:rsid w:val="000373F3"/>
    <w:rsid w:val="0003742D"/>
    <w:rsid w:val="000374FF"/>
    <w:rsid w:val="000375C8"/>
    <w:rsid w:val="000378F6"/>
    <w:rsid w:val="000379EB"/>
    <w:rsid w:val="00037AE9"/>
    <w:rsid w:val="00037BAB"/>
    <w:rsid w:val="00037BE4"/>
    <w:rsid w:val="00040013"/>
    <w:rsid w:val="0004019A"/>
    <w:rsid w:val="000401A1"/>
    <w:rsid w:val="00040734"/>
    <w:rsid w:val="00040B83"/>
    <w:rsid w:val="00040CA3"/>
    <w:rsid w:val="000416FC"/>
    <w:rsid w:val="00041AC8"/>
    <w:rsid w:val="00041BDC"/>
    <w:rsid w:val="0004243E"/>
    <w:rsid w:val="000427D5"/>
    <w:rsid w:val="00042CCD"/>
    <w:rsid w:val="00043342"/>
    <w:rsid w:val="000435DE"/>
    <w:rsid w:val="00043A2D"/>
    <w:rsid w:val="00043ED2"/>
    <w:rsid w:val="00044148"/>
    <w:rsid w:val="00044204"/>
    <w:rsid w:val="00044475"/>
    <w:rsid w:val="00044C33"/>
    <w:rsid w:val="000452E2"/>
    <w:rsid w:val="00045745"/>
    <w:rsid w:val="0004575D"/>
    <w:rsid w:val="000457B4"/>
    <w:rsid w:val="00045D5B"/>
    <w:rsid w:val="00045DDF"/>
    <w:rsid w:val="0004601F"/>
    <w:rsid w:val="00046375"/>
    <w:rsid w:val="00046777"/>
    <w:rsid w:val="00046C42"/>
    <w:rsid w:val="00046CCE"/>
    <w:rsid w:val="0004702B"/>
    <w:rsid w:val="0004733A"/>
    <w:rsid w:val="00047608"/>
    <w:rsid w:val="00050249"/>
    <w:rsid w:val="000507C3"/>
    <w:rsid w:val="00050920"/>
    <w:rsid w:val="0005105D"/>
    <w:rsid w:val="000515F0"/>
    <w:rsid w:val="00051791"/>
    <w:rsid w:val="000518A6"/>
    <w:rsid w:val="000519EA"/>
    <w:rsid w:val="00051B61"/>
    <w:rsid w:val="00051F32"/>
    <w:rsid w:val="000523FE"/>
    <w:rsid w:val="00052436"/>
    <w:rsid w:val="000529B6"/>
    <w:rsid w:val="00052AD4"/>
    <w:rsid w:val="00052BA6"/>
    <w:rsid w:val="00053F21"/>
    <w:rsid w:val="00054462"/>
    <w:rsid w:val="0005460C"/>
    <w:rsid w:val="00056696"/>
    <w:rsid w:val="000566A1"/>
    <w:rsid w:val="00056809"/>
    <w:rsid w:val="00056DB0"/>
    <w:rsid w:val="00056F9B"/>
    <w:rsid w:val="000570FC"/>
    <w:rsid w:val="0005783A"/>
    <w:rsid w:val="00057C03"/>
    <w:rsid w:val="00057FA2"/>
    <w:rsid w:val="0006026C"/>
    <w:rsid w:val="0006036B"/>
    <w:rsid w:val="00060AC6"/>
    <w:rsid w:val="00060BB0"/>
    <w:rsid w:val="0006109A"/>
    <w:rsid w:val="0006141D"/>
    <w:rsid w:val="00061A5F"/>
    <w:rsid w:val="00061B9D"/>
    <w:rsid w:val="00061FEF"/>
    <w:rsid w:val="00062740"/>
    <w:rsid w:val="00062834"/>
    <w:rsid w:val="00062B47"/>
    <w:rsid w:val="00062F98"/>
    <w:rsid w:val="0006320B"/>
    <w:rsid w:val="00063C19"/>
    <w:rsid w:val="000646B3"/>
    <w:rsid w:val="00064C77"/>
    <w:rsid w:val="00064E8C"/>
    <w:rsid w:val="00064EB7"/>
    <w:rsid w:val="00064EF7"/>
    <w:rsid w:val="0006514E"/>
    <w:rsid w:val="000652C1"/>
    <w:rsid w:val="00065458"/>
    <w:rsid w:val="00066145"/>
    <w:rsid w:val="0006622F"/>
    <w:rsid w:val="00066787"/>
    <w:rsid w:val="00066A42"/>
    <w:rsid w:val="00066B48"/>
    <w:rsid w:val="00067279"/>
    <w:rsid w:val="000672F8"/>
    <w:rsid w:val="0006730B"/>
    <w:rsid w:val="00067942"/>
    <w:rsid w:val="00067D4E"/>
    <w:rsid w:val="00067D5B"/>
    <w:rsid w:val="000702DB"/>
    <w:rsid w:val="00070948"/>
    <w:rsid w:val="00070A7A"/>
    <w:rsid w:val="00071178"/>
    <w:rsid w:val="0007155B"/>
    <w:rsid w:val="000719B7"/>
    <w:rsid w:val="00071A86"/>
    <w:rsid w:val="00071BD9"/>
    <w:rsid w:val="00071DB1"/>
    <w:rsid w:val="0007203F"/>
    <w:rsid w:val="0007204B"/>
    <w:rsid w:val="00072499"/>
    <w:rsid w:val="00072F47"/>
    <w:rsid w:val="00073808"/>
    <w:rsid w:val="00074396"/>
    <w:rsid w:val="0007446E"/>
    <w:rsid w:val="00074745"/>
    <w:rsid w:val="00074951"/>
    <w:rsid w:val="00074F67"/>
    <w:rsid w:val="000752E8"/>
    <w:rsid w:val="000755B8"/>
    <w:rsid w:val="00075D05"/>
    <w:rsid w:val="00075D4B"/>
    <w:rsid w:val="0007679E"/>
    <w:rsid w:val="00077371"/>
    <w:rsid w:val="00077C0C"/>
    <w:rsid w:val="00080116"/>
    <w:rsid w:val="000808F9"/>
    <w:rsid w:val="00080A6B"/>
    <w:rsid w:val="00080EE8"/>
    <w:rsid w:val="0008125C"/>
    <w:rsid w:val="00081277"/>
    <w:rsid w:val="000813E4"/>
    <w:rsid w:val="00081417"/>
    <w:rsid w:val="0008159C"/>
    <w:rsid w:val="0008195B"/>
    <w:rsid w:val="00081CFF"/>
    <w:rsid w:val="0008258A"/>
    <w:rsid w:val="00082DF6"/>
    <w:rsid w:val="00082E64"/>
    <w:rsid w:val="0008303B"/>
    <w:rsid w:val="00083231"/>
    <w:rsid w:val="000834AE"/>
    <w:rsid w:val="00083FAC"/>
    <w:rsid w:val="0008405B"/>
    <w:rsid w:val="00084760"/>
    <w:rsid w:val="00085268"/>
    <w:rsid w:val="00085475"/>
    <w:rsid w:val="0008576B"/>
    <w:rsid w:val="000858D1"/>
    <w:rsid w:val="000859AA"/>
    <w:rsid w:val="00085A04"/>
    <w:rsid w:val="00085C5D"/>
    <w:rsid w:val="00085CCC"/>
    <w:rsid w:val="00085DA5"/>
    <w:rsid w:val="000863E2"/>
    <w:rsid w:val="000864A2"/>
    <w:rsid w:val="0008668D"/>
    <w:rsid w:val="00086F97"/>
    <w:rsid w:val="00087308"/>
    <w:rsid w:val="00087474"/>
    <w:rsid w:val="0008785C"/>
    <w:rsid w:val="00087A3E"/>
    <w:rsid w:val="00090233"/>
    <w:rsid w:val="000906FB"/>
    <w:rsid w:val="000907E5"/>
    <w:rsid w:val="00091245"/>
    <w:rsid w:val="00091EAA"/>
    <w:rsid w:val="00092238"/>
    <w:rsid w:val="0009266A"/>
    <w:rsid w:val="00092AEC"/>
    <w:rsid w:val="000933A6"/>
    <w:rsid w:val="00093CB7"/>
    <w:rsid w:val="0009414D"/>
    <w:rsid w:val="00094388"/>
    <w:rsid w:val="00094B31"/>
    <w:rsid w:val="00094FC6"/>
    <w:rsid w:val="0009514E"/>
    <w:rsid w:val="0009515F"/>
    <w:rsid w:val="000951E1"/>
    <w:rsid w:val="000954DD"/>
    <w:rsid w:val="000955AC"/>
    <w:rsid w:val="000957EA"/>
    <w:rsid w:val="00095818"/>
    <w:rsid w:val="00095974"/>
    <w:rsid w:val="00095B4D"/>
    <w:rsid w:val="00095EE7"/>
    <w:rsid w:val="000966BB"/>
    <w:rsid w:val="00096800"/>
    <w:rsid w:val="00096BBF"/>
    <w:rsid w:val="00096C4B"/>
    <w:rsid w:val="0009792A"/>
    <w:rsid w:val="00097B79"/>
    <w:rsid w:val="00097E17"/>
    <w:rsid w:val="000A0040"/>
    <w:rsid w:val="000A02AD"/>
    <w:rsid w:val="000A0B38"/>
    <w:rsid w:val="000A1199"/>
    <w:rsid w:val="000A11A9"/>
    <w:rsid w:val="000A203A"/>
    <w:rsid w:val="000A22E9"/>
    <w:rsid w:val="000A241E"/>
    <w:rsid w:val="000A2810"/>
    <w:rsid w:val="000A289B"/>
    <w:rsid w:val="000A2C52"/>
    <w:rsid w:val="000A2E37"/>
    <w:rsid w:val="000A36D0"/>
    <w:rsid w:val="000A3B1E"/>
    <w:rsid w:val="000A41D4"/>
    <w:rsid w:val="000A421F"/>
    <w:rsid w:val="000A4BCB"/>
    <w:rsid w:val="000A4BE4"/>
    <w:rsid w:val="000A5077"/>
    <w:rsid w:val="000A50F2"/>
    <w:rsid w:val="000A534D"/>
    <w:rsid w:val="000A5ABE"/>
    <w:rsid w:val="000A5B0D"/>
    <w:rsid w:val="000A60E1"/>
    <w:rsid w:val="000A60F4"/>
    <w:rsid w:val="000A61FB"/>
    <w:rsid w:val="000A7A40"/>
    <w:rsid w:val="000A7AD6"/>
    <w:rsid w:val="000A7C5A"/>
    <w:rsid w:val="000B001D"/>
    <w:rsid w:val="000B015F"/>
    <w:rsid w:val="000B0274"/>
    <w:rsid w:val="000B038E"/>
    <w:rsid w:val="000B08CB"/>
    <w:rsid w:val="000B08D1"/>
    <w:rsid w:val="000B0A95"/>
    <w:rsid w:val="000B0ADF"/>
    <w:rsid w:val="000B0C23"/>
    <w:rsid w:val="000B18C2"/>
    <w:rsid w:val="000B1AAB"/>
    <w:rsid w:val="000B1C18"/>
    <w:rsid w:val="000B1C59"/>
    <w:rsid w:val="000B2C16"/>
    <w:rsid w:val="000B2FC7"/>
    <w:rsid w:val="000B310F"/>
    <w:rsid w:val="000B38C0"/>
    <w:rsid w:val="000B3DAA"/>
    <w:rsid w:val="000B3EEB"/>
    <w:rsid w:val="000B466E"/>
    <w:rsid w:val="000B4681"/>
    <w:rsid w:val="000B4763"/>
    <w:rsid w:val="000B4E20"/>
    <w:rsid w:val="000B4EDC"/>
    <w:rsid w:val="000B5120"/>
    <w:rsid w:val="000B515F"/>
    <w:rsid w:val="000B5605"/>
    <w:rsid w:val="000B57AA"/>
    <w:rsid w:val="000B5AF8"/>
    <w:rsid w:val="000B5F2C"/>
    <w:rsid w:val="000B6184"/>
    <w:rsid w:val="000B6843"/>
    <w:rsid w:val="000B6EB2"/>
    <w:rsid w:val="000B706F"/>
    <w:rsid w:val="000B77F8"/>
    <w:rsid w:val="000B78CC"/>
    <w:rsid w:val="000B7AE2"/>
    <w:rsid w:val="000C0203"/>
    <w:rsid w:val="000C041C"/>
    <w:rsid w:val="000C091B"/>
    <w:rsid w:val="000C0F48"/>
    <w:rsid w:val="000C0F5C"/>
    <w:rsid w:val="000C1356"/>
    <w:rsid w:val="000C18D0"/>
    <w:rsid w:val="000C1FB5"/>
    <w:rsid w:val="000C20E9"/>
    <w:rsid w:val="000C2555"/>
    <w:rsid w:val="000C25C3"/>
    <w:rsid w:val="000C2719"/>
    <w:rsid w:val="000C2DF1"/>
    <w:rsid w:val="000C3692"/>
    <w:rsid w:val="000C37AC"/>
    <w:rsid w:val="000C3B1F"/>
    <w:rsid w:val="000C43D9"/>
    <w:rsid w:val="000C44B7"/>
    <w:rsid w:val="000C458C"/>
    <w:rsid w:val="000C4D1E"/>
    <w:rsid w:val="000C5329"/>
    <w:rsid w:val="000C5D43"/>
    <w:rsid w:val="000C5F42"/>
    <w:rsid w:val="000C60E6"/>
    <w:rsid w:val="000C6548"/>
    <w:rsid w:val="000C6591"/>
    <w:rsid w:val="000C6AB7"/>
    <w:rsid w:val="000C6D2E"/>
    <w:rsid w:val="000C709F"/>
    <w:rsid w:val="000C72CA"/>
    <w:rsid w:val="000C7872"/>
    <w:rsid w:val="000C7AFF"/>
    <w:rsid w:val="000C7BA9"/>
    <w:rsid w:val="000C7C7C"/>
    <w:rsid w:val="000C7CAA"/>
    <w:rsid w:val="000D0476"/>
    <w:rsid w:val="000D04C1"/>
    <w:rsid w:val="000D0624"/>
    <w:rsid w:val="000D0DF7"/>
    <w:rsid w:val="000D0E50"/>
    <w:rsid w:val="000D1171"/>
    <w:rsid w:val="000D13A6"/>
    <w:rsid w:val="000D2113"/>
    <w:rsid w:val="000D2266"/>
    <w:rsid w:val="000D2736"/>
    <w:rsid w:val="000D2C27"/>
    <w:rsid w:val="000D30E7"/>
    <w:rsid w:val="000D35F7"/>
    <w:rsid w:val="000D3646"/>
    <w:rsid w:val="000D3760"/>
    <w:rsid w:val="000D3BCC"/>
    <w:rsid w:val="000D43AC"/>
    <w:rsid w:val="000D44DB"/>
    <w:rsid w:val="000D4645"/>
    <w:rsid w:val="000D467B"/>
    <w:rsid w:val="000D58C9"/>
    <w:rsid w:val="000D5DA8"/>
    <w:rsid w:val="000D5F42"/>
    <w:rsid w:val="000D62F3"/>
    <w:rsid w:val="000D6630"/>
    <w:rsid w:val="000D682D"/>
    <w:rsid w:val="000D7E24"/>
    <w:rsid w:val="000D7EAD"/>
    <w:rsid w:val="000E06CA"/>
    <w:rsid w:val="000E07FC"/>
    <w:rsid w:val="000E0B79"/>
    <w:rsid w:val="000E0C92"/>
    <w:rsid w:val="000E0D69"/>
    <w:rsid w:val="000E0ECF"/>
    <w:rsid w:val="000E0F57"/>
    <w:rsid w:val="000E12A8"/>
    <w:rsid w:val="000E184E"/>
    <w:rsid w:val="000E1A44"/>
    <w:rsid w:val="000E1DE0"/>
    <w:rsid w:val="000E21D3"/>
    <w:rsid w:val="000E247B"/>
    <w:rsid w:val="000E247C"/>
    <w:rsid w:val="000E27E9"/>
    <w:rsid w:val="000E2A6C"/>
    <w:rsid w:val="000E2DC9"/>
    <w:rsid w:val="000E2E4B"/>
    <w:rsid w:val="000E2FF1"/>
    <w:rsid w:val="000E3AF0"/>
    <w:rsid w:val="000E3DFD"/>
    <w:rsid w:val="000E4477"/>
    <w:rsid w:val="000E45E9"/>
    <w:rsid w:val="000E4A24"/>
    <w:rsid w:val="000E5217"/>
    <w:rsid w:val="000E5C17"/>
    <w:rsid w:val="000E6471"/>
    <w:rsid w:val="000E69A5"/>
    <w:rsid w:val="000E721B"/>
    <w:rsid w:val="000E74D2"/>
    <w:rsid w:val="000E789D"/>
    <w:rsid w:val="000F0055"/>
    <w:rsid w:val="000F0481"/>
    <w:rsid w:val="000F04BF"/>
    <w:rsid w:val="000F0699"/>
    <w:rsid w:val="000F078E"/>
    <w:rsid w:val="000F0BA2"/>
    <w:rsid w:val="000F0F98"/>
    <w:rsid w:val="000F1485"/>
    <w:rsid w:val="000F1828"/>
    <w:rsid w:val="000F19E1"/>
    <w:rsid w:val="000F1B61"/>
    <w:rsid w:val="000F2032"/>
    <w:rsid w:val="000F22ED"/>
    <w:rsid w:val="000F2362"/>
    <w:rsid w:val="000F35A9"/>
    <w:rsid w:val="000F377A"/>
    <w:rsid w:val="000F3964"/>
    <w:rsid w:val="000F3BFE"/>
    <w:rsid w:val="000F3C1E"/>
    <w:rsid w:val="000F3DE4"/>
    <w:rsid w:val="000F3EC1"/>
    <w:rsid w:val="000F40FF"/>
    <w:rsid w:val="000F4C32"/>
    <w:rsid w:val="000F4C9B"/>
    <w:rsid w:val="000F52A7"/>
    <w:rsid w:val="000F58A1"/>
    <w:rsid w:val="000F5AA4"/>
    <w:rsid w:val="000F5AC6"/>
    <w:rsid w:val="000F5C5A"/>
    <w:rsid w:val="000F5D25"/>
    <w:rsid w:val="000F613C"/>
    <w:rsid w:val="000F6985"/>
    <w:rsid w:val="000F715A"/>
    <w:rsid w:val="000F72CB"/>
    <w:rsid w:val="000F7AE5"/>
    <w:rsid w:val="000F7B5F"/>
    <w:rsid w:val="001007E8"/>
    <w:rsid w:val="0010093F"/>
    <w:rsid w:val="00100AA8"/>
    <w:rsid w:val="00100B3E"/>
    <w:rsid w:val="0010109D"/>
    <w:rsid w:val="00101327"/>
    <w:rsid w:val="001017B0"/>
    <w:rsid w:val="0010229B"/>
    <w:rsid w:val="00102869"/>
    <w:rsid w:val="00102BB5"/>
    <w:rsid w:val="001036A5"/>
    <w:rsid w:val="001044CC"/>
    <w:rsid w:val="00104591"/>
    <w:rsid w:val="00104765"/>
    <w:rsid w:val="00104B62"/>
    <w:rsid w:val="00104CAF"/>
    <w:rsid w:val="00104F3E"/>
    <w:rsid w:val="00105230"/>
    <w:rsid w:val="001054D4"/>
    <w:rsid w:val="00105520"/>
    <w:rsid w:val="0010589B"/>
    <w:rsid w:val="00105BB1"/>
    <w:rsid w:val="00105C0B"/>
    <w:rsid w:val="00105CAF"/>
    <w:rsid w:val="0010629A"/>
    <w:rsid w:val="00106609"/>
    <w:rsid w:val="00106691"/>
    <w:rsid w:val="00107637"/>
    <w:rsid w:val="001079F5"/>
    <w:rsid w:val="00107BCE"/>
    <w:rsid w:val="00107E98"/>
    <w:rsid w:val="00110139"/>
    <w:rsid w:val="00110B0E"/>
    <w:rsid w:val="00110D86"/>
    <w:rsid w:val="00110E83"/>
    <w:rsid w:val="00110F6A"/>
    <w:rsid w:val="00111092"/>
    <w:rsid w:val="00111226"/>
    <w:rsid w:val="00111231"/>
    <w:rsid w:val="00111769"/>
    <w:rsid w:val="00111903"/>
    <w:rsid w:val="001119E0"/>
    <w:rsid w:val="001122A8"/>
    <w:rsid w:val="00112340"/>
    <w:rsid w:val="00112FE4"/>
    <w:rsid w:val="0011301C"/>
    <w:rsid w:val="0011309C"/>
    <w:rsid w:val="00113644"/>
    <w:rsid w:val="00113D17"/>
    <w:rsid w:val="00113E55"/>
    <w:rsid w:val="00113F26"/>
    <w:rsid w:val="0011452F"/>
    <w:rsid w:val="001146D7"/>
    <w:rsid w:val="00114791"/>
    <w:rsid w:val="001149FA"/>
    <w:rsid w:val="00114A1E"/>
    <w:rsid w:val="00114AB9"/>
    <w:rsid w:val="00114DA9"/>
    <w:rsid w:val="00114EBA"/>
    <w:rsid w:val="00114F6B"/>
    <w:rsid w:val="0011546D"/>
    <w:rsid w:val="001155CF"/>
    <w:rsid w:val="00115872"/>
    <w:rsid w:val="00116043"/>
    <w:rsid w:val="001160C4"/>
    <w:rsid w:val="00116463"/>
    <w:rsid w:val="00116637"/>
    <w:rsid w:val="001168CC"/>
    <w:rsid w:val="001169DD"/>
    <w:rsid w:val="0011771E"/>
    <w:rsid w:val="001200DD"/>
    <w:rsid w:val="0012045D"/>
    <w:rsid w:val="001209AC"/>
    <w:rsid w:val="00120B32"/>
    <w:rsid w:val="0012143F"/>
    <w:rsid w:val="00122124"/>
    <w:rsid w:val="001221E3"/>
    <w:rsid w:val="0012226D"/>
    <w:rsid w:val="0012281C"/>
    <w:rsid w:val="00122966"/>
    <w:rsid w:val="00122EC3"/>
    <w:rsid w:val="00123512"/>
    <w:rsid w:val="00123811"/>
    <w:rsid w:val="00123C6D"/>
    <w:rsid w:val="00123FBB"/>
    <w:rsid w:val="001241B1"/>
    <w:rsid w:val="00124603"/>
    <w:rsid w:val="0012477A"/>
    <w:rsid w:val="00124CBF"/>
    <w:rsid w:val="00124FE3"/>
    <w:rsid w:val="0012683D"/>
    <w:rsid w:val="00126CCD"/>
    <w:rsid w:val="00126E8C"/>
    <w:rsid w:val="00127081"/>
    <w:rsid w:val="001271F3"/>
    <w:rsid w:val="0012736E"/>
    <w:rsid w:val="00127A3E"/>
    <w:rsid w:val="00130301"/>
    <w:rsid w:val="001304D0"/>
    <w:rsid w:val="00130543"/>
    <w:rsid w:val="00130B6B"/>
    <w:rsid w:val="00130D1C"/>
    <w:rsid w:val="001314D3"/>
    <w:rsid w:val="001314E0"/>
    <w:rsid w:val="0013190B"/>
    <w:rsid w:val="00131942"/>
    <w:rsid w:val="00131B41"/>
    <w:rsid w:val="00131B76"/>
    <w:rsid w:val="00131CFA"/>
    <w:rsid w:val="00131D4C"/>
    <w:rsid w:val="001325E6"/>
    <w:rsid w:val="0013261A"/>
    <w:rsid w:val="00132D15"/>
    <w:rsid w:val="001338F8"/>
    <w:rsid w:val="00134027"/>
    <w:rsid w:val="0013460E"/>
    <w:rsid w:val="00134DB3"/>
    <w:rsid w:val="00134DB5"/>
    <w:rsid w:val="00135434"/>
    <w:rsid w:val="00135B8B"/>
    <w:rsid w:val="00135D8F"/>
    <w:rsid w:val="00136298"/>
    <w:rsid w:val="00136887"/>
    <w:rsid w:val="00136EE3"/>
    <w:rsid w:val="00136FC4"/>
    <w:rsid w:val="001370F3"/>
    <w:rsid w:val="001373C5"/>
    <w:rsid w:val="001375C8"/>
    <w:rsid w:val="00137605"/>
    <w:rsid w:val="00137C23"/>
    <w:rsid w:val="00137EA2"/>
    <w:rsid w:val="00140395"/>
    <w:rsid w:val="00140724"/>
    <w:rsid w:val="0014076F"/>
    <w:rsid w:val="00140EF1"/>
    <w:rsid w:val="0014109C"/>
    <w:rsid w:val="001410D6"/>
    <w:rsid w:val="00141635"/>
    <w:rsid w:val="00141796"/>
    <w:rsid w:val="001429B9"/>
    <w:rsid w:val="00142EAA"/>
    <w:rsid w:val="00144258"/>
    <w:rsid w:val="00144425"/>
    <w:rsid w:val="00144A8C"/>
    <w:rsid w:val="0014519F"/>
    <w:rsid w:val="00145426"/>
    <w:rsid w:val="001455B3"/>
    <w:rsid w:val="00145984"/>
    <w:rsid w:val="001459AF"/>
    <w:rsid w:val="00145A91"/>
    <w:rsid w:val="00145B63"/>
    <w:rsid w:val="00145CFD"/>
    <w:rsid w:val="00145DFA"/>
    <w:rsid w:val="00146059"/>
    <w:rsid w:val="001460E1"/>
    <w:rsid w:val="00146C32"/>
    <w:rsid w:val="00147177"/>
    <w:rsid w:val="001473E8"/>
    <w:rsid w:val="001474FC"/>
    <w:rsid w:val="00147874"/>
    <w:rsid w:val="00147DEE"/>
    <w:rsid w:val="00147E5F"/>
    <w:rsid w:val="00150038"/>
    <w:rsid w:val="00150095"/>
    <w:rsid w:val="00150374"/>
    <w:rsid w:val="00150648"/>
    <w:rsid w:val="001507BD"/>
    <w:rsid w:val="001508D4"/>
    <w:rsid w:val="001509A6"/>
    <w:rsid w:val="00150AB6"/>
    <w:rsid w:val="0015194F"/>
    <w:rsid w:val="0015213C"/>
    <w:rsid w:val="001521A6"/>
    <w:rsid w:val="00153126"/>
    <w:rsid w:val="00153942"/>
    <w:rsid w:val="00153ECC"/>
    <w:rsid w:val="00154281"/>
    <w:rsid w:val="0015493E"/>
    <w:rsid w:val="0015496C"/>
    <w:rsid w:val="00154F9D"/>
    <w:rsid w:val="00155081"/>
    <w:rsid w:val="001552E6"/>
    <w:rsid w:val="0015546F"/>
    <w:rsid w:val="00155BD9"/>
    <w:rsid w:val="00155D5A"/>
    <w:rsid w:val="00156078"/>
    <w:rsid w:val="00156870"/>
    <w:rsid w:val="00156AAF"/>
    <w:rsid w:val="00156CE9"/>
    <w:rsid w:val="00157445"/>
    <w:rsid w:val="001575AB"/>
    <w:rsid w:val="00157760"/>
    <w:rsid w:val="00157B8C"/>
    <w:rsid w:val="00157C96"/>
    <w:rsid w:val="00160A03"/>
    <w:rsid w:val="00160C3F"/>
    <w:rsid w:val="00160C4D"/>
    <w:rsid w:val="00160CE3"/>
    <w:rsid w:val="00161702"/>
    <w:rsid w:val="00161AC5"/>
    <w:rsid w:val="00162022"/>
    <w:rsid w:val="0016202E"/>
    <w:rsid w:val="001620E8"/>
    <w:rsid w:val="00162453"/>
    <w:rsid w:val="00162626"/>
    <w:rsid w:val="00162C56"/>
    <w:rsid w:val="0016413C"/>
    <w:rsid w:val="001642D5"/>
    <w:rsid w:val="00164CA0"/>
    <w:rsid w:val="00164FB6"/>
    <w:rsid w:val="001650FE"/>
    <w:rsid w:val="001655B0"/>
    <w:rsid w:val="001655B4"/>
    <w:rsid w:val="001655F0"/>
    <w:rsid w:val="00165695"/>
    <w:rsid w:val="0016571D"/>
    <w:rsid w:val="00165736"/>
    <w:rsid w:val="001659BD"/>
    <w:rsid w:val="001659E9"/>
    <w:rsid w:val="0016613D"/>
    <w:rsid w:val="00166961"/>
    <w:rsid w:val="00166A99"/>
    <w:rsid w:val="00166B54"/>
    <w:rsid w:val="00166B7F"/>
    <w:rsid w:val="00166E75"/>
    <w:rsid w:val="00166FC3"/>
    <w:rsid w:val="00167172"/>
    <w:rsid w:val="00167697"/>
    <w:rsid w:val="0016788F"/>
    <w:rsid w:val="001678DC"/>
    <w:rsid w:val="00167A77"/>
    <w:rsid w:val="00167B77"/>
    <w:rsid w:val="00167C18"/>
    <w:rsid w:val="001705BD"/>
    <w:rsid w:val="00170609"/>
    <w:rsid w:val="00170759"/>
    <w:rsid w:val="001709F6"/>
    <w:rsid w:val="00170A84"/>
    <w:rsid w:val="00170FE8"/>
    <w:rsid w:val="0017100D"/>
    <w:rsid w:val="001714C4"/>
    <w:rsid w:val="00171709"/>
    <w:rsid w:val="00171736"/>
    <w:rsid w:val="001719DC"/>
    <w:rsid w:val="00171B78"/>
    <w:rsid w:val="00171F52"/>
    <w:rsid w:val="0017278A"/>
    <w:rsid w:val="001731F8"/>
    <w:rsid w:val="00173504"/>
    <w:rsid w:val="001736EE"/>
    <w:rsid w:val="001738EB"/>
    <w:rsid w:val="00173AE7"/>
    <w:rsid w:val="00173BE6"/>
    <w:rsid w:val="00173F9E"/>
    <w:rsid w:val="00174031"/>
    <w:rsid w:val="00174144"/>
    <w:rsid w:val="001745D3"/>
    <w:rsid w:val="00174929"/>
    <w:rsid w:val="0017531D"/>
    <w:rsid w:val="00175832"/>
    <w:rsid w:val="00175908"/>
    <w:rsid w:val="00175B07"/>
    <w:rsid w:val="001760AF"/>
    <w:rsid w:val="0017623C"/>
    <w:rsid w:val="00176569"/>
    <w:rsid w:val="001765B1"/>
    <w:rsid w:val="001766A3"/>
    <w:rsid w:val="00176A18"/>
    <w:rsid w:val="00176C78"/>
    <w:rsid w:val="00176D60"/>
    <w:rsid w:val="00176FAB"/>
    <w:rsid w:val="00177544"/>
    <w:rsid w:val="0017769E"/>
    <w:rsid w:val="0017782F"/>
    <w:rsid w:val="00177EF9"/>
    <w:rsid w:val="0018042E"/>
    <w:rsid w:val="001804CD"/>
    <w:rsid w:val="00180B42"/>
    <w:rsid w:val="00180D2E"/>
    <w:rsid w:val="00180F31"/>
    <w:rsid w:val="00181004"/>
    <w:rsid w:val="001812E2"/>
    <w:rsid w:val="001817C8"/>
    <w:rsid w:val="00181854"/>
    <w:rsid w:val="001819C5"/>
    <w:rsid w:val="00181FA9"/>
    <w:rsid w:val="00182666"/>
    <w:rsid w:val="00182900"/>
    <w:rsid w:val="00183709"/>
    <w:rsid w:val="00183750"/>
    <w:rsid w:val="001842BB"/>
    <w:rsid w:val="001844DA"/>
    <w:rsid w:val="00184F1D"/>
    <w:rsid w:val="00185114"/>
    <w:rsid w:val="0018553B"/>
    <w:rsid w:val="00185C20"/>
    <w:rsid w:val="00185D40"/>
    <w:rsid w:val="0018631D"/>
    <w:rsid w:val="00186487"/>
    <w:rsid w:val="0018699B"/>
    <w:rsid w:val="00186F8A"/>
    <w:rsid w:val="001873D4"/>
    <w:rsid w:val="001877D8"/>
    <w:rsid w:val="0018793A"/>
    <w:rsid w:val="00187A70"/>
    <w:rsid w:val="00187BB1"/>
    <w:rsid w:val="00187C58"/>
    <w:rsid w:val="00187CDB"/>
    <w:rsid w:val="00190171"/>
    <w:rsid w:val="001905A1"/>
    <w:rsid w:val="00190606"/>
    <w:rsid w:val="00190876"/>
    <w:rsid w:val="00190C73"/>
    <w:rsid w:val="00190CC6"/>
    <w:rsid w:val="00190DD4"/>
    <w:rsid w:val="00191B7B"/>
    <w:rsid w:val="00191C5D"/>
    <w:rsid w:val="00192083"/>
    <w:rsid w:val="00192383"/>
    <w:rsid w:val="00192F26"/>
    <w:rsid w:val="00193B7B"/>
    <w:rsid w:val="00193CF3"/>
    <w:rsid w:val="00193F5C"/>
    <w:rsid w:val="00194127"/>
    <w:rsid w:val="00194410"/>
    <w:rsid w:val="00194557"/>
    <w:rsid w:val="001948CB"/>
    <w:rsid w:val="00194D95"/>
    <w:rsid w:val="00194D9C"/>
    <w:rsid w:val="00194F99"/>
    <w:rsid w:val="00195377"/>
    <w:rsid w:val="00195A3C"/>
    <w:rsid w:val="00195D18"/>
    <w:rsid w:val="00195E3A"/>
    <w:rsid w:val="0019676F"/>
    <w:rsid w:val="0019683F"/>
    <w:rsid w:val="00196A61"/>
    <w:rsid w:val="00196A8B"/>
    <w:rsid w:val="0019715F"/>
    <w:rsid w:val="001972B1"/>
    <w:rsid w:val="001974D4"/>
    <w:rsid w:val="001975FB"/>
    <w:rsid w:val="001977EC"/>
    <w:rsid w:val="001978AE"/>
    <w:rsid w:val="00197BE4"/>
    <w:rsid w:val="001A0763"/>
    <w:rsid w:val="001A1339"/>
    <w:rsid w:val="001A1527"/>
    <w:rsid w:val="001A1555"/>
    <w:rsid w:val="001A1661"/>
    <w:rsid w:val="001A175F"/>
    <w:rsid w:val="001A19B4"/>
    <w:rsid w:val="001A1B68"/>
    <w:rsid w:val="001A1BB2"/>
    <w:rsid w:val="001A27B9"/>
    <w:rsid w:val="001A2A37"/>
    <w:rsid w:val="001A2B11"/>
    <w:rsid w:val="001A2F36"/>
    <w:rsid w:val="001A2FFF"/>
    <w:rsid w:val="001A31FA"/>
    <w:rsid w:val="001A3496"/>
    <w:rsid w:val="001A381D"/>
    <w:rsid w:val="001A3DFA"/>
    <w:rsid w:val="001A3EF1"/>
    <w:rsid w:val="001A4093"/>
    <w:rsid w:val="001A42CE"/>
    <w:rsid w:val="001A43F6"/>
    <w:rsid w:val="001A453A"/>
    <w:rsid w:val="001A46DA"/>
    <w:rsid w:val="001A4757"/>
    <w:rsid w:val="001A4D97"/>
    <w:rsid w:val="001A4FB3"/>
    <w:rsid w:val="001A501A"/>
    <w:rsid w:val="001A52CF"/>
    <w:rsid w:val="001A5914"/>
    <w:rsid w:val="001A5BFF"/>
    <w:rsid w:val="001A5E41"/>
    <w:rsid w:val="001A6195"/>
    <w:rsid w:val="001A62CD"/>
    <w:rsid w:val="001A639A"/>
    <w:rsid w:val="001A6519"/>
    <w:rsid w:val="001A6715"/>
    <w:rsid w:val="001A6A70"/>
    <w:rsid w:val="001A6F06"/>
    <w:rsid w:val="001A719C"/>
    <w:rsid w:val="001A7C03"/>
    <w:rsid w:val="001A7CE0"/>
    <w:rsid w:val="001A7D50"/>
    <w:rsid w:val="001A7E97"/>
    <w:rsid w:val="001B0F05"/>
    <w:rsid w:val="001B10C5"/>
    <w:rsid w:val="001B12D9"/>
    <w:rsid w:val="001B12FB"/>
    <w:rsid w:val="001B16C8"/>
    <w:rsid w:val="001B1A60"/>
    <w:rsid w:val="001B1CF8"/>
    <w:rsid w:val="001B20B3"/>
    <w:rsid w:val="001B20EC"/>
    <w:rsid w:val="001B3187"/>
    <w:rsid w:val="001B322B"/>
    <w:rsid w:val="001B3587"/>
    <w:rsid w:val="001B364C"/>
    <w:rsid w:val="001B38ED"/>
    <w:rsid w:val="001B3B03"/>
    <w:rsid w:val="001B3C11"/>
    <w:rsid w:val="001B3C27"/>
    <w:rsid w:val="001B3C2A"/>
    <w:rsid w:val="001B4020"/>
    <w:rsid w:val="001B406D"/>
    <w:rsid w:val="001B40C8"/>
    <w:rsid w:val="001B42D3"/>
    <w:rsid w:val="001B5580"/>
    <w:rsid w:val="001B5808"/>
    <w:rsid w:val="001B5AEE"/>
    <w:rsid w:val="001B5E4E"/>
    <w:rsid w:val="001B5EBE"/>
    <w:rsid w:val="001B608F"/>
    <w:rsid w:val="001B6210"/>
    <w:rsid w:val="001B630E"/>
    <w:rsid w:val="001B6498"/>
    <w:rsid w:val="001B6EB6"/>
    <w:rsid w:val="001B700A"/>
    <w:rsid w:val="001B7294"/>
    <w:rsid w:val="001B7AC1"/>
    <w:rsid w:val="001B7C4F"/>
    <w:rsid w:val="001B7CFF"/>
    <w:rsid w:val="001C0985"/>
    <w:rsid w:val="001C0BB4"/>
    <w:rsid w:val="001C0CFC"/>
    <w:rsid w:val="001C0F6D"/>
    <w:rsid w:val="001C12DF"/>
    <w:rsid w:val="001C162D"/>
    <w:rsid w:val="001C19C1"/>
    <w:rsid w:val="001C21C3"/>
    <w:rsid w:val="001C2379"/>
    <w:rsid w:val="001C24D1"/>
    <w:rsid w:val="001C26D4"/>
    <w:rsid w:val="001C29D1"/>
    <w:rsid w:val="001C304B"/>
    <w:rsid w:val="001C3113"/>
    <w:rsid w:val="001C3616"/>
    <w:rsid w:val="001C372A"/>
    <w:rsid w:val="001C38E9"/>
    <w:rsid w:val="001C3A55"/>
    <w:rsid w:val="001C3A64"/>
    <w:rsid w:val="001C3A6B"/>
    <w:rsid w:val="001C42F0"/>
    <w:rsid w:val="001C44CF"/>
    <w:rsid w:val="001C4891"/>
    <w:rsid w:val="001C491E"/>
    <w:rsid w:val="001C51D6"/>
    <w:rsid w:val="001C52EB"/>
    <w:rsid w:val="001C53CD"/>
    <w:rsid w:val="001C5587"/>
    <w:rsid w:val="001C5C58"/>
    <w:rsid w:val="001C5F2F"/>
    <w:rsid w:val="001C6350"/>
    <w:rsid w:val="001C6762"/>
    <w:rsid w:val="001C6A94"/>
    <w:rsid w:val="001C6F75"/>
    <w:rsid w:val="001C7BB7"/>
    <w:rsid w:val="001C7F0D"/>
    <w:rsid w:val="001D00BE"/>
    <w:rsid w:val="001D0510"/>
    <w:rsid w:val="001D059B"/>
    <w:rsid w:val="001D0BAA"/>
    <w:rsid w:val="001D194C"/>
    <w:rsid w:val="001D19F8"/>
    <w:rsid w:val="001D1AC6"/>
    <w:rsid w:val="001D1BE1"/>
    <w:rsid w:val="001D1C22"/>
    <w:rsid w:val="001D1CB8"/>
    <w:rsid w:val="001D1EE8"/>
    <w:rsid w:val="001D25F7"/>
    <w:rsid w:val="001D2869"/>
    <w:rsid w:val="001D3504"/>
    <w:rsid w:val="001D3E33"/>
    <w:rsid w:val="001D44A9"/>
    <w:rsid w:val="001D477C"/>
    <w:rsid w:val="001D48C2"/>
    <w:rsid w:val="001D4F72"/>
    <w:rsid w:val="001D5156"/>
    <w:rsid w:val="001D51EE"/>
    <w:rsid w:val="001D553A"/>
    <w:rsid w:val="001D56D8"/>
    <w:rsid w:val="001D5D63"/>
    <w:rsid w:val="001D5E32"/>
    <w:rsid w:val="001D662A"/>
    <w:rsid w:val="001D6674"/>
    <w:rsid w:val="001D68A9"/>
    <w:rsid w:val="001D69F6"/>
    <w:rsid w:val="001D6ED1"/>
    <w:rsid w:val="001D73E9"/>
    <w:rsid w:val="001D7529"/>
    <w:rsid w:val="001D7622"/>
    <w:rsid w:val="001D7849"/>
    <w:rsid w:val="001E0988"/>
    <w:rsid w:val="001E0B4B"/>
    <w:rsid w:val="001E1104"/>
    <w:rsid w:val="001E17EE"/>
    <w:rsid w:val="001E2057"/>
    <w:rsid w:val="001E3126"/>
    <w:rsid w:val="001E342F"/>
    <w:rsid w:val="001E3641"/>
    <w:rsid w:val="001E3BB7"/>
    <w:rsid w:val="001E4075"/>
    <w:rsid w:val="001E4458"/>
    <w:rsid w:val="001E4A4E"/>
    <w:rsid w:val="001E4EC8"/>
    <w:rsid w:val="001E5296"/>
    <w:rsid w:val="001E52D0"/>
    <w:rsid w:val="001E5898"/>
    <w:rsid w:val="001E679C"/>
    <w:rsid w:val="001E6E9B"/>
    <w:rsid w:val="001E74A2"/>
    <w:rsid w:val="001E7571"/>
    <w:rsid w:val="001E79EC"/>
    <w:rsid w:val="001E7C9C"/>
    <w:rsid w:val="001E7D80"/>
    <w:rsid w:val="001F0064"/>
    <w:rsid w:val="001F019D"/>
    <w:rsid w:val="001F02C9"/>
    <w:rsid w:val="001F04C1"/>
    <w:rsid w:val="001F066B"/>
    <w:rsid w:val="001F06CB"/>
    <w:rsid w:val="001F0917"/>
    <w:rsid w:val="001F0E07"/>
    <w:rsid w:val="001F10BF"/>
    <w:rsid w:val="001F1264"/>
    <w:rsid w:val="001F265E"/>
    <w:rsid w:val="001F27EF"/>
    <w:rsid w:val="001F2A08"/>
    <w:rsid w:val="001F2AF4"/>
    <w:rsid w:val="001F2BDD"/>
    <w:rsid w:val="001F2EC3"/>
    <w:rsid w:val="001F3A14"/>
    <w:rsid w:val="001F3F6B"/>
    <w:rsid w:val="001F4031"/>
    <w:rsid w:val="001F4041"/>
    <w:rsid w:val="001F4283"/>
    <w:rsid w:val="001F4BC4"/>
    <w:rsid w:val="001F4FE5"/>
    <w:rsid w:val="001F51FB"/>
    <w:rsid w:val="001F526D"/>
    <w:rsid w:val="001F6640"/>
    <w:rsid w:val="001F668A"/>
    <w:rsid w:val="001F692A"/>
    <w:rsid w:val="001F6A76"/>
    <w:rsid w:val="001F6B79"/>
    <w:rsid w:val="001F70B0"/>
    <w:rsid w:val="001F7219"/>
    <w:rsid w:val="001F7299"/>
    <w:rsid w:val="001F739B"/>
    <w:rsid w:val="001F74EC"/>
    <w:rsid w:val="001F7675"/>
    <w:rsid w:val="001F78C4"/>
    <w:rsid w:val="001F7A57"/>
    <w:rsid w:val="001F7BE1"/>
    <w:rsid w:val="001F7FE3"/>
    <w:rsid w:val="0020001D"/>
    <w:rsid w:val="00200066"/>
    <w:rsid w:val="0020021E"/>
    <w:rsid w:val="00200846"/>
    <w:rsid w:val="002008F6"/>
    <w:rsid w:val="00200ACA"/>
    <w:rsid w:val="00200FAF"/>
    <w:rsid w:val="0020101A"/>
    <w:rsid w:val="002012D2"/>
    <w:rsid w:val="002014B8"/>
    <w:rsid w:val="002014D6"/>
    <w:rsid w:val="00201CE7"/>
    <w:rsid w:val="0020209C"/>
    <w:rsid w:val="00202205"/>
    <w:rsid w:val="002025B5"/>
    <w:rsid w:val="00202618"/>
    <w:rsid w:val="0020266D"/>
    <w:rsid w:val="00202F0E"/>
    <w:rsid w:val="002032D7"/>
    <w:rsid w:val="002035D3"/>
    <w:rsid w:val="00203771"/>
    <w:rsid w:val="00203EAB"/>
    <w:rsid w:val="00203EED"/>
    <w:rsid w:val="0020407D"/>
    <w:rsid w:val="002048E5"/>
    <w:rsid w:val="00205930"/>
    <w:rsid w:val="00206439"/>
    <w:rsid w:val="00206457"/>
    <w:rsid w:val="00206A85"/>
    <w:rsid w:val="00206B8C"/>
    <w:rsid w:val="00206B91"/>
    <w:rsid w:val="00206F96"/>
    <w:rsid w:val="00207716"/>
    <w:rsid w:val="00210012"/>
    <w:rsid w:val="002103DD"/>
    <w:rsid w:val="00210665"/>
    <w:rsid w:val="00210E29"/>
    <w:rsid w:val="002116E1"/>
    <w:rsid w:val="00211AEA"/>
    <w:rsid w:val="00211DBE"/>
    <w:rsid w:val="00211E03"/>
    <w:rsid w:val="00211E9E"/>
    <w:rsid w:val="002122ED"/>
    <w:rsid w:val="002129BF"/>
    <w:rsid w:val="00212C2D"/>
    <w:rsid w:val="002136A6"/>
    <w:rsid w:val="00213AAA"/>
    <w:rsid w:val="0021490D"/>
    <w:rsid w:val="00214A82"/>
    <w:rsid w:val="00214C79"/>
    <w:rsid w:val="00214D19"/>
    <w:rsid w:val="00214DE3"/>
    <w:rsid w:val="00215003"/>
    <w:rsid w:val="002152D9"/>
    <w:rsid w:val="00215812"/>
    <w:rsid w:val="00215CD2"/>
    <w:rsid w:val="00215D95"/>
    <w:rsid w:val="002164C7"/>
    <w:rsid w:val="0021683B"/>
    <w:rsid w:val="00216A24"/>
    <w:rsid w:val="00216A67"/>
    <w:rsid w:val="00216AC5"/>
    <w:rsid w:val="002170B5"/>
    <w:rsid w:val="00217308"/>
    <w:rsid w:val="002173B6"/>
    <w:rsid w:val="00217568"/>
    <w:rsid w:val="00217608"/>
    <w:rsid w:val="002176E7"/>
    <w:rsid w:val="00217885"/>
    <w:rsid w:val="002178E0"/>
    <w:rsid w:val="00217AF0"/>
    <w:rsid w:val="00217B22"/>
    <w:rsid w:val="00217C37"/>
    <w:rsid w:val="00217D57"/>
    <w:rsid w:val="00217E5F"/>
    <w:rsid w:val="00220199"/>
    <w:rsid w:val="00221008"/>
    <w:rsid w:val="00221168"/>
    <w:rsid w:val="00221460"/>
    <w:rsid w:val="00221936"/>
    <w:rsid w:val="002222EC"/>
    <w:rsid w:val="00222562"/>
    <w:rsid w:val="00222611"/>
    <w:rsid w:val="0022269C"/>
    <w:rsid w:val="00223048"/>
    <w:rsid w:val="002230B3"/>
    <w:rsid w:val="00223499"/>
    <w:rsid w:val="00223525"/>
    <w:rsid w:val="00223AD2"/>
    <w:rsid w:val="00223BD2"/>
    <w:rsid w:val="002243B2"/>
    <w:rsid w:val="00224558"/>
    <w:rsid w:val="002250B5"/>
    <w:rsid w:val="00225968"/>
    <w:rsid w:val="00226AC8"/>
    <w:rsid w:val="00226B8B"/>
    <w:rsid w:val="00227007"/>
    <w:rsid w:val="00227831"/>
    <w:rsid w:val="00227D77"/>
    <w:rsid w:val="00227D9A"/>
    <w:rsid w:val="00227EE4"/>
    <w:rsid w:val="0023026E"/>
    <w:rsid w:val="002306DA"/>
    <w:rsid w:val="002308E6"/>
    <w:rsid w:val="00230AC9"/>
    <w:rsid w:val="00230ADF"/>
    <w:rsid w:val="00230D85"/>
    <w:rsid w:val="00230ED9"/>
    <w:rsid w:val="002313E1"/>
    <w:rsid w:val="0023181D"/>
    <w:rsid w:val="0023182B"/>
    <w:rsid w:val="00231D41"/>
    <w:rsid w:val="00232009"/>
    <w:rsid w:val="00232690"/>
    <w:rsid w:val="00232775"/>
    <w:rsid w:val="002328B4"/>
    <w:rsid w:val="00232CE9"/>
    <w:rsid w:val="00233281"/>
    <w:rsid w:val="00233467"/>
    <w:rsid w:val="002337E3"/>
    <w:rsid w:val="00233F46"/>
    <w:rsid w:val="002344C2"/>
    <w:rsid w:val="00234984"/>
    <w:rsid w:val="00234F01"/>
    <w:rsid w:val="002351A0"/>
    <w:rsid w:val="00235925"/>
    <w:rsid w:val="00235CCC"/>
    <w:rsid w:val="00236081"/>
    <w:rsid w:val="00236831"/>
    <w:rsid w:val="00236B8C"/>
    <w:rsid w:val="00236D6E"/>
    <w:rsid w:val="00236DF8"/>
    <w:rsid w:val="00236F7D"/>
    <w:rsid w:val="00237301"/>
    <w:rsid w:val="00237491"/>
    <w:rsid w:val="002375C3"/>
    <w:rsid w:val="00237742"/>
    <w:rsid w:val="002377CA"/>
    <w:rsid w:val="00237E30"/>
    <w:rsid w:val="002401AA"/>
    <w:rsid w:val="002403AB"/>
    <w:rsid w:val="00240540"/>
    <w:rsid w:val="002406C1"/>
    <w:rsid w:val="00240970"/>
    <w:rsid w:val="002413F9"/>
    <w:rsid w:val="002418C5"/>
    <w:rsid w:val="00241952"/>
    <w:rsid w:val="00241CE5"/>
    <w:rsid w:val="00242508"/>
    <w:rsid w:val="002428CD"/>
    <w:rsid w:val="00242E99"/>
    <w:rsid w:val="0024358F"/>
    <w:rsid w:val="002436C3"/>
    <w:rsid w:val="0024378C"/>
    <w:rsid w:val="00243B48"/>
    <w:rsid w:val="002442D2"/>
    <w:rsid w:val="002446F5"/>
    <w:rsid w:val="0024513B"/>
    <w:rsid w:val="002452CD"/>
    <w:rsid w:val="00245778"/>
    <w:rsid w:val="002459A7"/>
    <w:rsid w:val="00245CD4"/>
    <w:rsid w:val="002461A0"/>
    <w:rsid w:val="00246381"/>
    <w:rsid w:val="0024647E"/>
    <w:rsid w:val="00246488"/>
    <w:rsid w:val="002464D6"/>
    <w:rsid w:val="00246D42"/>
    <w:rsid w:val="002474BB"/>
    <w:rsid w:val="00247547"/>
    <w:rsid w:val="0024757C"/>
    <w:rsid w:val="0024791E"/>
    <w:rsid w:val="00247DA9"/>
    <w:rsid w:val="00247EEF"/>
    <w:rsid w:val="00250008"/>
    <w:rsid w:val="00250197"/>
    <w:rsid w:val="00250199"/>
    <w:rsid w:val="00250BBC"/>
    <w:rsid w:val="0025166D"/>
    <w:rsid w:val="002517D6"/>
    <w:rsid w:val="00251857"/>
    <w:rsid w:val="00251CAD"/>
    <w:rsid w:val="00251CDB"/>
    <w:rsid w:val="00251F27"/>
    <w:rsid w:val="0025288D"/>
    <w:rsid w:val="0025295F"/>
    <w:rsid w:val="00252CAC"/>
    <w:rsid w:val="00252F03"/>
    <w:rsid w:val="00254068"/>
    <w:rsid w:val="00254132"/>
    <w:rsid w:val="0025437F"/>
    <w:rsid w:val="002543B7"/>
    <w:rsid w:val="002543E4"/>
    <w:rsid w:val="0025491D"/>
    <w:rsid w:val="00254C66"/>
    <w:rsid w:val="00254F01"/>
    <w:rsid w:val="00255EE8"/>
    <w:rsid w:val="00255FCE"/>
    <w:rsid w:val="00256194"/>
    <w:rsid w:val="002561EB"/>
    <w:rsid w:val="002562FC"/>
    <w:rsid w:val="0025655B"/>
    <w:rsid w:val="00256DF7"/>
    <w:rsid w:val="0025779A"/>
    <w:rsid w:val="0025779D"/>
    <w:rsid w:val="0026029A"/>
    <w:rsid w:val="00260D15"/>
    <w:rsid w:val="00260E67"/>
    <w:rsid w:val="00260F20"/>
    <w:rsid w:val="00261176"/>
    <w:rsid w:val="00261393"/>
    <w:rsid w:val="002613DB"/>
    <w:rsid w:val="002618A3"/>
    <w:rsid w:val="00262123"/>
    <w:rsid w:val="00262646"/>
    <w:rsid w:val="00262D2B"/>
    <w:rsid w:val="002636FF"/>
    <w:rsid w:val="002645DA"/>
    <w:rsid w:val="00264E7D"/>
    <w:rsid w:val="002657DE"/>
    <w:rsid w:val="002664C8"/>
    <w:rsid w:val="00266664"/>
    <w:rsid w:val="00266C14"/>
    <w:rsid w:val="00266FD1"/>
    <w:rsid w:val="00267219"/>
    <w:rsid w:val="002676F0"/>
    <w:rsid w:val="002678EF"/>
    <w:rsid w:val="00270446"/>
    <w:rsid w:val="002709C0"/>
    <w:rsid w:val="00270D16"/>
    <w:rsid w:val="00270ED1"/>
    <w:rsid w:val="0027103B"/>
    <w:rsid w:val="0027108A"/>
    <w:rsid w:val="0027121E"/>
    <w:rsid w:val="00271908"/>
    <w:rsid w:val="002719B4"/>
    <w:rsid w:val="00271DA3"/>
    <w:rsid w:val="00272180"/>
    <w:rsid w:val="00272224"/>
    <w:rsid w:val="0027239D"/>
    <w:rsid w:val="00272821"/>
    <w:rsid w:val="00272AB6"/>
    <w:rsid w:val="00272F4D"/>
    <w:rsid w:val="0027343A"/>
    <w:rsid w:val="0027364E"/>
    <w:rsid w:val="00273CD5"/>
    <w:rsid w:val="00274631"/>
    <w:rsid w:val="00274945"/>
    <w:rsid w:val="00274BBF"/>
    <w:rsid w:val="0027520A"/>
    <w:rsid w:val="00275496"/>
    <w:rsid w:val="0027561D"/>
    <w:rsid w:val="0027585D"/>
    <w:rsid w:val="00275FB4"/>
    <w:rsid w:val="00276E24"/>
    <w:rsid w:val="002772ED"/>
    <w:rsid w:val="00277358"/>
    <w:rsid w:val="00277383"/>
    <w:rsid w:val="0027787A"/>
    <w:rsid w:val="00277E59"/>
    <w:rsid w:val="00277F37"/>
    <w:rsid w:val="00277FA6"/>
    <w:rsid w:val="002803B0"/>
    <w:rsid w:val="0028083E"/>
    <w:rsid w:val="002808C0"/>
    <w:rsid w:val="00280A17"/>
    <w:rsid w:val="002810C1"/>
    <w:rsid w:val="0028153E"/>
    <w:rsid w:val="00281667"/>
    <w:rsid w:val="00281697"/>
    <w:rsid w:val="00281FAA"/>
    <w:rsid w:val="00281FDB"/>
    <w:rsid w:val="0028231C"/>
    <w:rsid w:val="002823E7"/>
    <w:rsid w:val="002824CF"/>
    <w:rsid w:val="002832D4"/>
    <w:rsid w:val="00283478"/>
    <w:rsid w:val="0028387F"/>
    <w:rsid w:val="00283911"/>
    <w:rsid w:val="00283CB0"/>
    <w:rsid w:val="00283F18"/>
    <w:rsid w:val="00283F7A"/>
    <w:rsid w:val="00283F89"/>
    <w:rsid w:val="00284054"/>
    <w:rsid w:val="00284309"/>
    <w:rsid w:val="0028484C"/>
    <w:rsid w:val="00284A2D"/>
    <w:rsid w:val="00284AC3"/>
    <w:rsid w:val="00284BAB"/>
    <w:rsid w:val="00284BEB"/>
    <w:rsid w:val="00285217"/>
    <w:rsid w:val="00285391"/>
    <w:rsid w:val="00285468"/>
    <w:rsid w:val="00285C95"/>
    <w:rsid w:val="00285DB7"/>
    <w:rsid w:val="0028600C"/>
    <w:rsid w:val="00286614"/>
    <w:rsid w:val="0028663B"/>
    <w:rsid w:val="002872FD"/>
    <w:rsid w:val="002873A1"/>
    <w:rsid w:val="00287719"/>
    <w:rsid w:val="00287779"/>
    <w:rsid w:val="002879F7"/>
    <w:rsid w:val="00287DB0"/>
    <w:rsid w:val="00287E8A"/>
    <w:rsid w:val="00290279"/>
    <w:rsid w:val="00290C6C"/>
    <w:rsid w:val="002910D9"/>
    <w:rsid w:val="00291C64"/>
    <w:rsid w:val="00291ECE"/>
    <w:rsid w:val="00292281"/>
    <w:rsid w:val="002922FD"/>
    <w:rsid w:val="002928CE"/>
    <w:rsid w:val="00292D97"/>
    <w:rsid w:val="00293126"/>
    <w:rsid w:val="002931D4"/>
    <w:rsid w:val="00293C95"/>
    <w:rsid w:val="00293CD8"/>
    <w:rsid w:val="002941AC"/>
    <w:rsid w:val="00294DEF"/>
    <w:rsid w:val="00295028"/>
    <w:rsid w:val="00295262"/>
    <w:rsid w:val="002955A7"/>
    <w:rsid w:val="002958D3"/>
    <w:rsid w:val="00295902"/>
    <w:rsid w:val="00295BB7"/>
    <w:rsid w:val="00295F1E"/>
    <w:rsid w:val="00295FEA"/>
    <w:rsid w:val="00296333"/>
    <w:rsid w:val="00296462"/>
    <w:rsid w:val="0029646F"/>
    <w:rsid w:val="00296630"/>
    <w:rsid w:val="00296802"/>
    <w:rsid w:val="002968A9"/>
    <w:rsid w:val="00296B5F"/>
    <w:rsid w:val="00296BAF"/>
    <w:rsid w:val="00296FDD"/>
    <w:rsid w:val="0029703E"/>
    <w:rsid w:val="002970D6"/>
    <w:rsid w:val="002970ED"/>
    <w:rsid w:val="00297669"/>
    <w:rsid w:val="00297711"/>
    <w:rsid w:val="00297BDD"/>
    <w:rsid w:val="00297D57"/>
    <w:rsid w:val="002A005D"/>
    <w:rsid w:val="002A0275"/>
    <w:rsid w:val="002A0C6D"/>
    <w:rsid w:val="002A0DC3"/>
    <w:rsid w:val="002A113E"/>
    <w:rsid w:val="002A13AA"/>
    <w:rsid w:val="002A1658"/>
    <w:rsid w:val="002A1691"/>
    <w:rsid w:val="002A1C66"/>
    <w:rsid w:val="002A1C73"/>
    <w:rsid w:val="002A2277"/>
    <w:rsid w:val="002A27A0"/>
    <w:rsid w:val="002A3751"/>
    <w:rsid w:val="002A38A0"/>
    <w:rsid w:val="002A3F2C"/>
    <w:rsid w:val="002A4093"/>
    <w:rsid w:val="002A4128"/>
    <w:rsid w:val="002A4668"/>
    <w:rsid w:val="002A48F7"/>
    <w:rsid w:val="002A4A88"/>
    <w:rsid w:val="002A5138"/>
    <w:rsid w:val="002A5147"/>
    <w:rsid w:val="002A552B"/>
    <w:rsid w:val="002A55E2"/>
    <w:rsid w:val="002A56EA"/>
    <w:rsid w:val="002A57FC"/>
    <w:rsid w:val="002A5875"/>
    <w:rsid w:val="002A59D9"/>
    <w:rsid w:val="002A6072"/>
    <w:rsid w:val="002A64C7"/>
    <w:rsid w:val="002A6761"/>
    <w:rsid w:val="002A6BC4"/>
    <w:rsid w:val="002A6BD3"/>
    <w:rsid w:val="002A6DA7"/>
    <w:rsid w:val="002A72AF"/>
    <w:rsid w:val="002A72DE"/>
    <w:rsid w:val="002A75FA"/>
    <w:rsid w:val="002A7722"/>
    <w:rsid w:val="002A7C62"/>
    <w:rsid w:val="002A7FD3"/>
    <w:rsid w:val="002B0125"/>
    <w:rsid w:val="002B0601"/>
    <w:rsid w:val="002B0C0C"/>
    <w:rsid w:val="002B0D66"/>
    <w:rsid w:val="002B10C1"/>
    <w:rsid w:val="002B10D7"/>
    <w:rsid w:val="002B1B71"/>
    <w:rsid w:val="002B1C28"/>
    <w:rsid w:val="002B1D1D"/>
    <w:rsid w:val="002B2009"/>
    <w:rsid w:val="002B20ED"/>
    <w:rsid w:val="002B23C6"/>
    <w:rsid w:val="002B2526"/>
    <w:rsid w:val="002B28AE"/>
    <w:rsid w:val="002B2EDF"/>
    <w:rsid w:val="002B2FC0"/>
    <w:rsid w:val="002B2FD5"/>
    <w:rsid w:val="002B30EB"/>
    <w:rsid w:val="002B31A3"/>
    <w:rsid w:val="002B336E"/>
    <w:rsid w:val="002B34B2"/>
    <w:rsid w:val="002B38F1"/>
    <w:rsid w:val="002B3C01"/>
    <w:rsid w:val="002B3D58"/>
    <w:rsid w:val="002B435F"/>
    <w:rsid w:val="002B43A2"/>
    <w:rsid w:val="002B43C9"/>
    <w:rsid w:val="002B5110"/>
    <w:rsid w:val="002B51FD"/>
    <w:rsid w:val="002B5479"/>
    <w:rsid w:val="002B5C09"/>
    <w:rsid w:val="002B5ED1"/>
    <w:rsid w:val="002B602B"/>
    <w:rsid w:val="002B64DB"/>
    <w:rsid w:val="002B6B56"/>
    <w:rsid w:val="002B6C12"/>
    <w:rsid w:val="002B72BD"/>
    <w:rsid w:val="002B7E68"/>
    <w:rsid w:val="002B7FAB"/>
    <w:rsid w:val="002C002D"/>
    <w:rsid w:val="002C029E"/>
    <w:rsid w:val="002C02C7"/>
    <w:rsid w:val="002C0380"/>
    <w:rsid w:val="002C077D"/>
    <w:rsid w:val="002C0931"/>
    <w:rsid w:val="002C10CE"/>
    <w:rsid w:val="002C1246"/>
    <w:rsid w:val="002C1393"/>
    <w:rsid w:val="002C179E"/>
    <w:rsid w:val="002C1B55"/>
    <w:rsid w:val="002C1C98"/>
    <w:rsid w:val="002C1ED9"/>
    <w:rsid w:val="002C2AC0"/>
    <w:rsid w:val="002C362D"/>
    <w:rsid w:val="002C3BCC"/>
    <w:rsid w:val="002C420F"/>
    <w:rsid w:val="002C426A"/>
    <w:rsid w:val="002C47BE"/>
    <w:rsid w:val="002C48CD"/>
    <w:rsid w:val="002C4ACD"/>
    <w:rsid w:val="002C51FF"/>
    <w:rsid w:val="002C5267"/>
    <w:rsid w:val="002C5815"/>
    <w:rsid w:val="002C5863"/>
    <w:rsid w:val="002C5BCB"/>
    <w:rsid w:val="002C5C27"/>
    <w:rsid w:val="002C5EC5"/>
    <w:rsid w:val="002C6327"/>
    <w:rsid w:val="002C656E"/>
    <w:rsid w:val="002C686F"/>
    <w:rsid w:val="002C6B91"/>
    <w:rsid w:val="002C6BA2"/>
    <w:rsid w:val="002C6CA2"/>
    <w:rsid w:val="002C6F2A"/>
    <w:rsid w:val="002C70B9"/>
    <w:rsid w:val="002C716C"/>
    <w:rsid w:val="002C78F7"/>
    <w:rsid w:val="002C7C1C"/>
    <w:rsid w:val="002D02AE"/>
    <w:rsid w:val="002D06D3"/>
    <w:rsid w:val="002D074A"/>
    <w:rsid w:val="002D0A34"/>
    <w:rsid w:val="002D13A2"/>
    <w:rsid w:val="002D1513"/>
    <w:rsid w:val="002D1592"/>
    <w:rsid w:val="002D1932"/>
    <w:rsid w:val="002D194C"/>
    <w:rsid w:val="002D1A4A"/>
    <w:rsid w:val="002D202D"/>
    <w:rsid w:val="002D219F"/>
    <w:rsid w:val="002D2442"/>
    <w:rsid w:val="002D26ED"/>
    <w:rsid w:val="002D2901"/>
    <w:rsid w:val="002D2BDD"/>
    <w:rsid w:val="002D2D26"/>
    <w:rsid w:val="002D2F9B"/>
    <w:rsid w:val="002D3267"/>
    <w:rsid w:val="002D33E0"/>
    <w:rsid w:val="002D3400"/>
    <w:rsid w:val="002D3674"/>
    <w:rsid w:val="002D4119"/>
    <w:rsid w:val="002D424E"/>
    <w:rsid w:val="002D432D"/>
    <w:rsid w:val="002D4FCA"/>
    <w:rsid w:val="002D53FA"/>
    <w:rsid w:val="002D5439"/>
    <w:rsid w:val="002D5710"/>
    <w:rsid w:val="002D57DD"/>
    <w:rsid w:val="002D582F"/>
    <w:rsid w:val="002D5B8B"/>
    <w:rsid w:val="002D5BE6"/>
    <w:rsid w:val="002D655C"/>
    <w:rsid w:val="002D69C3"/>
    <w:rsid w:val="002D6EB1"/>
    <w:rsid w:val="002D7226"/>
    <w:rsid w:val="002D779F"/>
    <w:rsid w:val="002D77A7"/>
    <w:rsid w:val="002D7C5E"/>
    <w:rsid w:val="002E070D"/>
    <w:rsid w:val="002E073E"/>
    <w:rsid w:val="002E0DCF"/>
    <w:rsid w:val="002E1352"/>
    <w:rsid w:val="002E1417"/>
    <w:rsid w:val="002E1873"/>
    <w:rsid w:val="002E2774"/>
    <w:rsid w:val="002E27E7"/>
    <w:rsid w:val="002E29CE"/>
    <w:rsid w:val="002E2B15"/>
    <w:rsid w:val="002E30EE"/>
    <w:rsid w:val="002E3651"/>
    <w:rsid w:val="002E367B"/>
    <w:rsid w:val="002E43EB"/>
    <w:rsid w:val="002E44A8"/>
    <w:rsid w:val="002E4627"/>
    <w:rsid w:val="002E4B6E"/>
    <w:rsid w:val="002E4E4E"/>
    <w:rsid w:val="002E5146"/>
    <w:rsid w:val="002E5748"/>
    <w:rsid w:val="002E57CF"/>
    <w:rsid w:val="002E595A"/>
    <w:rsid w:val="002E5991"/>
    <w:rsid w:val="002E5CE7"/>
    <w:rsid w:val="002E64B4"/>
    <w:rsid w:val="002E64FC"/>
    <w:rsid w:val="002E69D5"/>
    <w:rsid w:val="002E701E"/>
    <w:rsid w:val="002E7020"/>
    <w:rsid w:val="002E73C6"/>
    <w:rsid w:val="002E7CC8"/>
    <w:rsid w:val="002F0135"/>
    <w:rsid w:val="002F0446"/>
    <w:rsid w:val="002F0A87"/>
    <w:rsid w:val="002F0EA1"/>
    <w:rsid w:val="002F2242"/>
    <w:rsid w:val="002F244C"/>
    <w:rsid w:val="002F24CE"/>
    <w:rsid w:val="002F24D8"/>
    <w:rsid w:val="002F27FC"/>
    <w:rsid w:val="002F299B"/>
    <w:rsid w:val="002F2A3F"/>
    <w:rsid w:val="002F2C51"/>
    <w:rsid w:val="002F2F5A"/>
    <w:rsid w:val="002F3890"/>
    <w:rsid w:val="002F3B20"/>
    <w:rsid w:val="002F4ABE"/>
    <w:rsid w:val="002F4AE9"/>
    <w:rsid w:val="002F51E1"/>
    <w:rsid w:val="002F561B"/>
    <w:rsid w:val="002F5B3D"/>
    <w:rsid w:val="002F697E"/>
    <w:rsid w:val="002F6A2E"/>
    <w:rsid w:val="002F6B4E"/>
    <w:rsid w:val="002F73AB"/>
    <w:rsid w:val="002F73AD"/>
    <w:rsid w:val="00300059"/>
    <w:rsid w:val="00300393"/>
    <w:rsid w:val="00300520"/>
    <w:rsid w:val="00300AE4"/>
    <w:rsid w:val="00300C62"/>
    <w:rsid w:val="00301756"/>
    <w:rsid w:val="0030185F"/>
    <w:rsid w:val="00302229"/>
    <w:rsid w:val="00302636"/>
    <w:rsid w:val="0030267A"/>
    <w:rsid w:val="00302715"/>
    <w:rsid w:val="00302957"/>
    <w:rsid w:val="00302C9E"/>
    <w:rsid w:val="003034DA"/>
    <w:rsid w:val="0030355A"/>
    <w:rsid w:val="00303866"/>
    <w:rsid w:val="00303CC6"/>
    <w:rsid w:val="00303CF1"/>
    <w:rsid w:val="0030453B"/>
    <w:rsid w:val="00304577"/>
    <w:rsid w:val="00304656"/>
    <w:rsid w:val="003048BD"/>
    <w:rsid w:val="00304ABA"/>
    <w:rsid w:val="00304D42"/>
    <w:rsid w:val="0030564B"/>
    <w:rsid w:val="00305A04"/>
    <w:rsid w:val="00305AD9"/>
    <w:rsid w:val="00305F70"/>
    <w:rsid w:val="00306641"/>
    <w:rsid w:val="003069A8"/>
    <w:rsid w:val="0030711A"/>
    <w:rsid w:val="003073A2"/>
    <w:rsid w:val="003078C4"/>
    <w:rsid w:val="00307E91"/>
    <w:rsid w:val="003102EC"/>
    <w:rsid w:val="00310786"/>
    <w:rsid w:val="003111E6"/>
    <w:rsid w:val="00311634"/>
    <w:rsid w:val="003117DF"/>
    <w:rsid w:val="00311D65"/>
    <w:rsid w:val="0031223E"/>
    <w:rsid w:val="00312D78"/>
    <w:rsid w:val="00312ECF"/>
    <w:rsid w:val="00313BDB"/>
    <w:rsid w:val="00314148"/>
    <w:rsid w:val="00314648"/>
    <w:rsid w:val="0031470E"/>
    <w:rsid w:val="00314B94"/>
    <w:rsid w:val="0031590F"/>
    <w:rsid w:val="00315B98"/>
    <w:rsid w:val="00315BBF"/>
    <w:rsid w:val="00316376"/>
    <w:rsid w:val="003163DD"/>
    <w:rsid w:val="00316455"/>
    <w:rsid w:val="003168F4"/>
    <w:rsid w:val="00316FBB"/>
    <w:rsid w:val="00317A0A"/>
    <w:rsid w:val="00317AE6"/>
    <w:rsid w:val="00317CEC"/>
    <w:rsid w:val="0032048A"/>
    <w:rsid w:val="003206E0"/>
    <w:rsid w:val="003209CB"/>
    <w:rsid w:val="00320BAD"/>
    <w:rsid w:val="00320D0B"/>
    <w:rsid w:val="00320FE8"/>
    <w:rsid w:val="0032121F"/>
    <w:rsid w:val="00321788"/>
    <w:rsid w:val="00321BE4"/>
    <w:rsid w:val="00322892"/>
    <w:rsid w:val="0032292D"/>
    <w:rsid w:val="0032298C"/>
    <w:rsid w:val="003237A6"/>
    <w:rsid w:val="0032395B"/>
    <w:rsid w:val="00323C16"/>
    <w:rsid w:val="00323C42"/>
    <w:rsid w:val="00323E89"/>
    <w:rsid w:val="00324107"/>
    <w:rsid w:val="00324521"/>
    <w:rsid w:val="003247C9"/>
    <w:rsid w:val="00324E8B"/>
    <w:rsid w:val="00325027"/>
    <w:rsid w:val="0032527A"/>
    <w:rsid w:val="00325376"/>
    <w:rsid w:val="003253C8"/>
    <w:rsid w:val="00325C4E"/>
    <w:rsid w:val="00325D50"/>
    <w:rsid w:val="00325E0B"/>
    <w:rsid w:val="00325E3B"/>
    <w:rsid w:val="00326A49"/>
    <w:rsid w:val="00326D45"/>
    <w:rsid w:val="0032718E"/>
    <w:rsid w:val="003271F0"/>
    <w:rsid w:val="00327D5E"/>
    <w:rsid w:val="003304C7"/>
    <w:rsid w:val="00330516"/>
    <w:rsid w:val="00330519"/>
    <w:rsid w:val="003309C5"/>
    <w:rsid w:val="00330CB0"/>
    <w:rsid w:val="003316AF"/>
    <w:rsid w:val="00331E19"/>
    <w:rsid w:val="00332332"/>
    <w:rsid w:val="0033241E"/>
    <w:rsid w:val="003324DE"/>
    <w:rsid w:val="003326CC"/>
    <w:rsid w:val="003327C5"/>
    <w:rsid w:val="003328E3"/>
    <w:rsid w:val="00332D03"/>
    <w:rsid w:val="0033305D"/>
    <w:rsid w:val="003339B9"/>
    <w:rsid w:val="00333F11"/>
    <w:rsid w:val="0033402E"/>
    <w:rsid w:val="0033461F"/>
    <w:rsid w:val="003349B3"/>
    <w:rsid w:val="00334CFD"/>
    <w:rsid w:val="00334E1E"/>
    <w:rsid w:val="00335004"/>
    <w:rsid w:val="0033521F"/>
    <w:rsid w:val="00335FB8"/>
    <w:rsid w:val="00336166"/>
    <w:rsid w:val="003361B1"/>
    <w:rsid w:val="00336E33"/>
    <w:rsid w:val="00336EBB"/>
    <w:rsid w:val="0033762D"/>
    <w:rsid w:val="003379BA"/>
    <w:rsid w:val="00340303"/>
    <w:rsid w:val="0034038D"/>
    <w:rsid w:val="0034089C"/>
    <w:rsid w:val="00340BEA"/>
    <w:rsid w:val="00340F89"/>
    <w:rsid w:val="00341B3D"/>
    <w:rsid w:val="00341B8F"/>
    <w:rsid w:val="00341CA3"/>
    <w:rsid w:val="00341E5D"/>
    <w:rsid w:val="003420C4"/>
    <w:rsid w:val="00342233"/>
    <w:rsid w:val="00342728"/>
    <w:rsid w:val="00342C76"/>
    <w:rsid w:val="00342D6B"/>
    <w:rsid w:val="00343340"/>
    <w:rsid w:val="00343361"/>
    <w:rsid w:val="00343912"/>
    <w:rsid w:val="00343C82"/>
    <w:rsid w:val="0034409F"/>
    <w:rsid w:val="00344407"/>
    <w:rsid w:val="00344B74"/>
    <w:rsid w:val="00344C48"/>
    <w:rsid w:val="00344F44"/>
    <w:rsid w:val="00344FE7"/>
    <w:rsid w:val="00345955"/>
    <w:rsid w:val="00345C33"/>
    <w:rsid w:val="00345FAA"/>
    <w:rsid w:val="00346459"/>
    <w:rsid w:val="0034649F"/>
    <w:rsid w:val="003468F1"/>
    <w:rsid w:val="00346C32"/>
    <w:rsid w:val="00347072"/>
    <w:rsid w:val="00347414"/>
    <w:rsid w:val="003475C1"/>
    <w:rsid w:val="00347782"/>
    <w:rsid w:val="003479AF"/>
    <w:rsid w:val="00350390"/>
    <w:rsid w:val="003508FF"/>
    <w:rsid w:val="00350B83"/>
    <w:rsid w:val="00350E61"/>
    <w:rsid w:val="003512E5"/>
    <w:rsid w:val="0035147C"/>
    <w:rsid w:val="00351B63"/>
    <w:rsid w:val="00352144"/>
    <w:rsid w:val="003523AB"/>
    <w:rsid w:val="00352581"/>
    <w:rsid w:val="00352EA7"/>
    <w:rsid w:val="00353DAF"/>
    <w:rsid w:val="0035474A"/>
    <w:rsid w:val="00354CC4"/>
    <w:rsid w:val="00354D0C"/>
    <w:rsid w:val="00354DAE"/>
    <w:rsid w:val="00355241"/>
    <w:rsid w:val="0035528E"/>
    <w:rsid w:val="0035578E"/>
    <w:rsid w:val="00355825"/>
    <w:rsid w:val="00355A16"/>
    <w:rsid w:val="00355B51"/>
    <w:rsid w:val="00356626"/>
    <w:rsid w:val="00357023"/>
    <w:rsid w:val="003574E3"/>
    <w:rsid w:val="003575E6"/>
    <w:rsid w:val="00357E81"/>
    <w:rsid w:val="0036014A"/>
    <w:rsid w:val="00360153"/>
    <w:rsid w:val="00360316"/>
    <w:rsid w:val="00360AE9"/>
    <w:rsid w:val="00360F70"/>
    <w:rsid w:val="003610ED"/>
    <w:rsid w:val="00361DC0"/>
    <w:rsid w:val="00361F12"/>
    <w:rsid w:val="00362096"/>
    <w:rsid w:val="003620D8"/>
    <w:rsid w:val="00362421"/>
    <w:rsid w:val="00362C25"/>
    <w:rsid w:val="003630CC"/>
    <w:rsid w:val="0036312D"/>
    <w:rsid w:val="003634C1"/>
    <w:rsid w:val="00363BA7"/>
    <w:rsid w:val="0036427D"/>
    <w:rsid w:val="00364875"/>
    <w:rsid w:val="00364C1A"/>
    <w:rsid w:val="00365813"/>
    <w:rsid w:val="00365B22"/>
    <w:rsid w:val="00365B95"/>
    <w:rsid w:val="003661C5"/>
    <w:rsid w:val="003662E5"/>
    <w:rsid w:val="003666DC"/>
    <w:rsid w:val="00366B6A"/>
    <w:rsid w:val="00366D64"/>
    <w:rsid w:val="00367233"/>
    <w:rsid w:val="0036771C"/>
    <w:rsid w:val="0036792E"/>
    <w:rsid w:val="00367A5E"/>
    <w:rsid w:val="00367B65"/>
    <w:rsid w:val="00367BB1"/>
    <w:rsid w:val="00367D24"/>
    <w:rsid w:val="0037050D"/>
    <w:rsid w:val="003709D5"/>
    <w:rsid w:val="00370AA8"/>
    <w:rsid w:val="00370AE9"/>
    <w:rsid w:val="00370C38"/>
    <w:rsid w:val="00371254"/>
    <w:rsid w:val="003713AE"/>
    <w:rsid w:val="0037198B"/>
    <w:rsid w:val="003719D1"/>
    <w:rsid w:val="0037277E"/>
    <w:rsid w:val="0037294B"/>
    <w:rsid w:val="003729AD"/>
    <w:rsid w:val="00372E11"/>
    <w:rsid w:val="00372FAB"/>
    <w:rsid w:val="0037308D"/>
    <w:rsid w:val="003730B9"/>
    <w:rsid w:val="00373885"/>
    <w:rsid w:val="00373EB0"/>
    <w:rsid w:val="00374017"/>
    <w:rsid w:val="003745F4"/>
    <w:rsid w:val="00374661"/>
    <w:rsid w:val="00374992"/>
    <w:rsid w:val="00374E6B"/>
    <w:rsid w:val="00375D55"/>
    <w:rsid w:val="00375FF5"/>
    <w:rsid w:val="0037627E"/>
    <w:rsid w:val="003762D9"/>
    <w:rsid w:val="003765F0"/>
    <w:rsid w:val="00376A21"/>
    <w:rsid w:val="00376DA8"/>
    <w:rsid w:val="003770B5"/>
    <w:rsid w:val="003771CB"/>
    <w:rsid w:val="0037766D"/>
    <w:rsid w:val="00377B1E"/>
    <w:rsid w:val="00377BFB"/>
    <w:rsid w:val="00377DA9"/>
    <w:rsid w:val="0038016B"/>
    <w:rsid w:val="0038022C"/>
    <w:rsid w:val="00380683"/>
    <w:rsid w:val="003809C8"/>
    <w:rsid w:val="00380F9F"/>
    <w:rsid w:val="00381607"/>
    <w:rsid w:val="00381643"/>
    <w:rsid w:val="003818C6"/>
    <w:rsid w:val="0038195D"/>
    <w:rsid w:val="00382698"/>
    <w:rsid w:val="003826DB"/>
    <w:rsid w:val="00382762"/>
    <w:rsid w:val="00382D32"/>
    <w:rsid w:val="00382E6A"/>
    <w:rsid w:val="00382F7E"/>
    <w:rsid w:val="00383059"/>
    <w:rsid w:val="003834DF"/>
    <w:rsid w:val="00383A8F"/>
    <w:rsid w:val="00383C0F"/>
    <w:rsid w:val="00383CAB"/>
    <w:rsid w:val="00383D55"/>
    <w:rsid w:val="00383E25"/>
    <w:rsid w:val="00384120"/>
    <w:rsid w:val="0038419E"/>
    <w:rsid w:val="00384865"/>
    <w:rsid w:val="00384C56"/>
    <w:rsid w:val="00384CE5"/>
    <w:rsid w:val="003857F4"/>
    <w:rsid w:val="00385BC6"/>
    <w:rsid w:val="00385EF9"/>
    <w:rsid w:val="00386415"/>
    <w:rsid w:val="003865C8"/>
    <w:rsid w:val="00386C60"/>
    <w:rsid w:val="00386D01"/>
    <w:rsid w:val="00387529"/>
    <w:rsid w:val="0039035E"/>
    <w:rsid w:val="003903F6"/>
    <w:rsid w:val="00390620"/>
    <w:rsid w:val="0039065B"/>
    <w:rsid w:val="00390732"/>
    <w:rsid w:val="00390AEA"/>
    <w:rsid w:val="0039104A"/>
    <w:rsid w:val="0039143C"/>
    <w:rsid w:val="0039174F"/>
    <w:rsid w:val="0039199B"/>
    <w:rsid w:val="003921FB"/>
    <w:rsid w:val="00392300"/>
    <w:rsid w:val="0039255E"/>
    <w:rsid w:val="00392796"/>
    <w:rsid w:val="00392C21"/>
    <w:rsid w:val="00393210"/>
    <w:rsid w:val="0039331E"/>
    <w:rsid w:val="00393882"/>
    <w:rsid w:val="003946D6"/>
    <w:rsid w:val="0039479A"/>
    <w:rsid w:val="00394B90"/>
    <w:rsid w:val="0039578A"/>
    <w:rsid w:val="00395D20"/>
    <w:rsid w:val="00395D28"/>
    <w:rsid w:val="003962B1"/>
    <w:rsid w:val="003962EA"/>
    <w:rsid w:val="00396F81"/>
    <w:rsid w:val="003972DA"/>
    <w:rsid w:val="0039753D"/>
    <w:rsid w:val="003976A2"/>
    <w:rsid w:val="003978EB"/>
    <w:rsid w:val="00397951"/>
    <w:rsid w:val="00397BEA"/>
    <w:rsid w:val="003A073D"/>
    <w:rsid w:val="003A0CDC"/>
    <w:rsid w:val="003A0D57"/>
    <w:rsid w:val="003A0E08"/>
    <w:rsid w:val="003A1183"/>
    <w:rsid w:val="003A120F"/>
    <w:rsid w:val="003A1A56"/>
    <w:rsid w:val="003A25AD"/>
    <w:rsid w:val="003A26E3"/>
    <w:rsid w:val="003A2CE5"/>
    <w:rsid w:val="003A2F62"/>
    <w:rsid w:val="003A2F68"/>
    <w:rsid w:val="003A33D8"/>
    <w:rsid w:val="003A3782"/>
    <w:rsid w:val="003A37C9"/>
    <w:rsid w:val="003A39AA"/>
    <w:rsid w:val="003A3C8A"/>
    <w:rsid w:val="003A3F32"/>
    <w:rsid w:val="003A40BC"/>
    <w:rsid w:val="003A4BD5"/>
    <w:rsid w:val="003A4BE5"/>
    <w:rsid w:val="003A4F03"/>
    <w:rsid w:val="003A4FAF"/>
    <w:rsid w:val="003A4FDF"/>
    <w:rsid w:val="003A5141"/>
    <w:rsid w:val="003A5689"/>
    <w:rsid w:val="003A56A2"/>
    <w:rsid w:val="003A6049"/>
    <w:rsid w:val="003A6B12"/>
    <w:rsid w:val="003A6D26"/>
    <w:rsid w:val="003A6E2C"/>
    <w:rsid w:val="003A715A"/>
    <w:rsid w:val="003A7594"/>
    <w:rsid w:val="003A7659"/>
    <w:rsid w:val="003A7B3A"/>
    <w:rsid w:val="003A7D64"/>
    <w:rsid w:val="003B0061"/>
    <w:rsid w:val="003B014D"/>
    <w:rsid w:val="003B0537"/>
    <w:rsid w:val="003B0D57"/>
    <w:rsid w:val="003B0E1F"/>
    <w:rsid w:val="003B169B"/>
    <w:rsid w:val="003B1A50"/>
    <w:rsid w:val="003B23DC"/>
    <w:rsid w:val="003B2A0B"/>
    <w:rsid w:val="003B2C6B"/>
    <w:rsid w:val="003B2E04"/>
    <w:rsid w:val="003B2FCA"/>
    <w:rsid w:val="003B36CB"/>
    <w:rsid w:val="003B37EE"/>
    <w:rsid w:val="003B3A4F"/>
    <w:rsid w:val="003B3C7C"/>
    <w:rsid w:val="003B3DE4"/>
    <w:rsid w:val="003B3F00"/>
    <w:rsid w:val="003B442D"/>
    <w:rsid w:val="003B4BAE"/>
    <w:rsid w:val="003B4DE1"/>
    <w:rsid w:val="003B4F0F"/>
    <w:rsid w:val="003B4F75"/>
    <w:rsid w:val="003B5210"/>
    <w:rsid w:val="003B5364"/>
    <w:rsid w:val="003B5410"/>
    <w:rsid w:val="003B55B3"/>
    <w:rsid w:val="003B56ED"/>
    <w:rsid w:val="003B5A9C"/>
    <w:rsid w:val="003B5BC4"/>
    <w:rsid w:val="003B5E5E"/>
    <w:rsid w:val="003B5F5B"/>
    <w:rsid w:val="003B60A5"/>
    <w:rsid w:val="003B61F9"/>
    <w:rsid w:val="003B6275"/>
    <w:rsid w:val="003B6519"/>
    <w:rsid w:val="003B6568"/>
    <w:rsid w:val="003B6AC6"/>
    <w:rsid w:val="003B755C"/>
    <w:rsid w:val="003B7E25"/>
    <w:rsid w:val="003B7ECB"/>
    <w:rsid w:val="003C010A"/>
    <w:rsid w:val="003C0C11"/>
    <w:rsid w:val="003C12D1"/>
    <w:rsid w:val="003C12E3"/>
    <w:rsid w:val="003C1324"/>
    <w:rsid w:val="003C2148"/>
    <w:rsid w:val="003C2320"/>
    <w:rsid w:val="003C236F"/>
    <w:rsid w:val="003C27A5"/>
    <w:rsid w:val="003C2BDF"/>
    <w:rsid w:val="003C2DC1"/>
    <w:rsid w:val="003C2E43"/>
    <w:rsid w:val="003C2F9E"/>
    <w:rsid w:val="003C32C5"/>
    <w:rsid w:val="003C3604"/>
    <w:rsid w:val="003C3631"/>
    <w:rsid w:val="003C39C7"/>
    <w:rsid w:val="003C3AAC"/>
    <w:rsid w:val="003C404C"/>
    <w:rsid w:val="003C41CE"/>
    <w:rsid w:val="003C44AD"/>
    <w:rsid w:val="003C4624"/>
    <w:rsid w:val="003C49A2"/>
    <w:rsid w:val="003C4C7E"/>
    <w:rsid w:val="003C4FFE"/>
    <w:rsid w:val="003C5049"/>
    <w:rsid w:val="003C558A"/>
    <w:rsid w:val="003C55C6"/>
    <w:rsid w:val="003C55E3"/>
    <w:rsid w:val="003C5C3F"/>
    <w:rsid w:val="003C5E38"/>
    <w:rsid w:val="003C6397"/>
    <w:rsid w:val="003C6399"/>
    <w:rsid w:val="003C63C2"/>
    <w:rsid w:val="003C652A"/>
    <w:rsid w:val="003C665E"/>
    <w:rsid w:val="003C69FB"/>
    <w:rsid w:val="003C71DE"/>
    <w:rsid w:val="003C7209"/>
    <w:rsid w:val="003C730A"/>
    <w:rsid w:val="003C7384"/>
    <w:rsid w:val="003C767E"/>
    <w:rsid w:val="003C78AA"/>
    <w:rsid w:val="003C79C7"/>
    <w:rsid w:val="003C7B15"/>
    <w:rsid w:val="003C7DAE"/>
    <w:rsid w:val="003C7F87"/>
    <w:rsid w:val="003C7FC2"/>
    <w:rsid w:val="003D000D"/>
    <w:rsid w:val="003D006D"/>
    <w:rsid w:val="003D033A"/>
    <w:rsid w:val="003D051B"/>
    <w:rsid w:val="003D06FC"/>
    <w:rsid w:val="003D0A61"/>
    <w:rsid w:val="003D0FB8"/>
    <w:rsid w:val="003D1616"/>
    <w:rsid w:val="003D16EF"/>
    <w:rsid w:val="003D2023"/>
    <w:rsid w:val="003D21E7"/>
    <w:rsid w:val="003D23FD"/>
    <w:rsid w:val="003D2477"/>
    <w:rsid w:val="003D2826"/>
    <w:rsid w:val="003D2915"/>
    <w:rsid w:val="003D298E"/>
    <w:rsid w:val="003D2E40"/>
    <w:rsid w:val="003D2ECA"/>
    <w:rsid w:val="003D3467"/>
    <w:rsid w:val="003D3668"/>
    <w:rsid w:val="003D3A89"/>
    <w:rsid w:val="003D3AF3"/>
    <w:rsid w:val="003D42F1"/>
    <w:rsid w:val="003D4486"/>
    <w:rsid w:val="003D4D1D"/>
    <w:rsid w:val="003D4EDC"/>
    <w:rsid w:val="003D4FF9"/>
    <w:rsid w:val="003D507F"/>
    <w:rsid w:val="003D5530"/>
    <w:rsid w:val="003D560C"/>
    <w:rsid w:val="003D5961"/>
    <w:rsid w:val="003D5A56"/>
    <w:rsid w:val="003D5CE8"/>
    <w:rsid w:val="003D5E09"/>
    <w:rsid w:val="003D64A6"/>
    <w:rsid w:val="003D6C63"/>
    <w:rsid w:val="003D6D36"/>
    <w:rsid w:val="003D6ED6"/>
    <w:rsid w:val="003D751B"/>
    <w:rsid w:val="003D76E5"/>
    <w:rsid w:val="003D781E"/>
    <w:rsid w:val="003D7A02"/>
    <w:rsid w:val="003D7C32"/>
    <w:rsid w:val="003D7C90"/>
    <w:rsid w:val="003E06F6"/>
    <w:rsid w:val="003E079F"/>
    <w:rsid w:val="003E097D"/>
    <w:rsid w:val="003E0FBF"/>
    <w:rsid w:val="003E10D0"/>
    <w:rsid w:val="003E1131"/>
    <w:rsid w:val="003E137F"/>
    <w:rsid w:val="003E14C9"/>
    <w:rsid w:val="003E18C3"/>
    <w:rsid w:val="003E26ED"/>
    <w:rsid w:val="003E2A10"/>
    <w:rsid w:val="003E2D28"/>
    <w:rsid w:val="003E2FF0"/>
    <w:rsid w:val="003E337B"/>
    <w:rsid w:val="003E3AB7"/>
    <w:rsid w:val="003E4923"/>
    <w:rsid w:val="003E4D74"/>
    <w:rsid w:val="003E51A4"/>
    <w:rsid w:val="003E5319"/>
    <w:rsid w:val="003E58C2"/>
    <w:rsid w:val="003E5916"/>
    <w:rsid w:val="003E5A76"/>
    <w:rsid w:val="003E6376"/>
    <w:rsid w:val="003E6687"/>
    <w:rsid w:val="003E6B27"/>
    <w:rsid w:val="003E6B9D"/>
    <w:rsid w:val="003E72B1"/>
    <w:rsid w:val="003E764F"/>
    <w:rsid w:val="003E7A12"/>
    <w:rsid w:val="003E7DC6"/>
    <w:rsid w:val="003F00DF"/>
    <w:rsid w:val="003F02CB"/>
    <w:rsid w:val="003F0522"/>
    <w:rsid w:val="003F0FD9"/>
    <w:rsid w:val="003F12EC"/>
    <w:rsid w:val="003F14FD"/>
    <w:rsid w:val="003F172A"/>
    <w:rsid w:val="003F1C3D"/>
    <w:rsid w:val="003F1FDA"/>
    <w:rsid w:val="003F23D3"/>
    <w:rsid w:val="003F25E9"/>
    <w:rsid w:val="003F2602"/>
    <w:rsid w:val="003F2678"/>
    <w:rsid w:val="003F2797"/>
    <w:rsid w:val="003F2FAE"/>
    <w:rsid w:val="003F33C3"/>
    <w:rsid w:val="003F37AB"/>
    <w:rsid w:val="003F387F"/>
    <w:rsid w:val="003F3ABA"/>
    <w:rsid w:val="003F3E96"/>
    <w:rsid w:val="003F452D"/>
    <w:rsid w:val="003F45D6"/>
    <w:rsid w:val="003F4BFE"/>
    <w:rsid w:val="003F4F25"/>
    <w:rsid w:val="003F524C"/>
    <w:rsid w:val="003F5BE6"/>
    <w:rsid w:val="003F60FD"/>
    <w:rsid w:val="003F6D16"/>
    <w:rsid w:val="003F6D25"/>
    <w:rsid w:val="003F6F5A"/>
    <w:rsid w:val="003F7603"/>
    <w:rsid w:val="003F788F"/>
    <w:rsid w:val="003F797D"/>
    <w:rsid w:val="003F7A45"/>
    <w:rsid w:val="0040000C"/>
    <w:rsid w:val="004001E8"/>
    <w:rsid w:val="00400302"/>
    <w:rsid w:val="004009D9"/>
    <w:rsid w:val="00400F52"/>
    <w:rsid w:val="00401764"/>
    <w:rsid w:val="0040189C"/>
    <w:rsid w:val="00401C21"/>
    <w:rsid w:val="0040278E"/>
    <w:rsid w:val="00402A89"/>
    <w:rsid w:val="00403293"/>
    <w:rsid w:val="0040338B"/>
    <w:rsid w:val="004035DD"/>
    <w:rsid w:val="004038B3"/>
    <w:rsid w:val="0040398A"/>
    <w:rsid w:val="00403CA0"/>
    <w:rsid w:val="00403E2F"/>
    <w:rsid w:val="00404BDC"/>
    <w:rsid w:val="00404D7B"/>
    <w:rsid w:val="00404E4D"/>
    <w:rsid w:val="00405871"/>
    <w:rsid w:val="00405CD9"/>
    <w:rsid w:val="0040653F"/>
    <w:rsid w:val="00406651"/>
    <w:rsid w:val="00406703"/>
    <w:rsid w:val="00406B25"/>
    <w:rsid w:val="00406BCD"/>
    <w:rsid w:val="0040736D"/>
    <w:rsid w:val="00407382"/>
    <w:rsid w:val="0040745B"/>
    <w:rsid w:val="0040758D"/>
    <w:rsid w:val="00407E97"/>
    <w:rsid w:val="00410065"/>
    <w:rsid w:val="00411FC4"/>
    <w:rsid w:val="0041234E"/>
    <w:rsid w:val="0041253D"/>
    <w:rsid w:val="00412813"/>
    <w:rsid w:val="004129C0"/>
    <w:rsid w:val="00412EE0"/>
    <w:rsid w:val="0041338E"/>
    <w:rsid w:val="004133C3"/>
    <w:rsid w:val="00413660"/>
    <w:rsid w:val="004137F1"/>
    <w:rsid w:val="0041384B"/>
    <w:rsid w:val="004138A4"/>
    <w:rsid w:val="00414055"/>
    <w:rsid w:val="004143E8"/>
    <w:rsid w:val="004144CF"/>
    <w:rsid w:val="0041463A"/>
    <w:rsid w:val="0041476E"/>
    <w:rsid w:val="00414823"/>
    <w:rsid w:val="004152CD"/>
    <w:rsid w:val="0041555C"/>
    <w:rsid w:val="00415A63"/>
    <w:rsid w:val="00415AC4"/>
    <w:rsid w:val="00415ED1"/>
    <w:rsid w:val="0041620C"/>
    <w:rsid w:val="00416BBD"/>
    <w:rsid w:val="00416C06"/>
    <w:rsid w:val="00416C36"/>
    <w:rsid w:val="004172A8"/>
    <w:rsid w:val="0041733C"/>
    <w:rsid w:val="0041772B"/>
    <w:rsid w:val="004179DB"/>
    <w:rsid w:val="004179EA"/>
    <w:rsid w:val="00417D4E"/>
    <w:rsid w:val="004200C3"/>
    <w:rsid w:val="00420212"/>
    <w:rsid w:val="00420865"/>
    <w:rsid w:val="00420A55"/>
    <w:rsid w:val="00420A5C"/>
    <w:rsid w:val="00420E60"/>
    <w:rsid w:val="0042178F"/>
    <w:rsid w:val="0042190C"/>
    <w:rsid w:val="004219A7"/>
    <w:rsid w:val="00422049"/>
    <w:rsid w:val="00422232"/>
    <w:rsid w:val="0042226E"/>
    <w:rsid w:val="004222F3"/>
    <w:rsid w:val="00423192"/>
    <w:rsid w:val="00423816"/>
    <w:rsid w:val="00423B70"/>
    <w:rsid w:val="00423BE9"/>
    <w:rsid w:val="00423D75"/>
    <w:rsid w:val="0042453A"/>
    <w:rsid w:val="0042465E"/>
    <w:rsid w:val="00424683"/>
    <w:rsid w:val="004246C9"/>
    <w:rsid w:val="00424B98"/>
    <w:rsid w:val="00424B9C"/>
    <w:rsid w:val="00424FFD"/>
    <w:rsid w:val="00425006"/>
    <w:rsid w:val="004255E5"/>
    <w:rsid w:val="00425DEC"/>
    <w:rsid w:val="004263BC"/>
    <w:rsid w:val="004270FE"/>
    <w:rsid w:val="0042793F"/>
    <w:rsid w:val="00427D7C"/>
    <w:rsid w:val="00430378"/>
    <w:rsid w:val="00430858"/>
    <w:rsid w:val="00430BD9"/>
    <w:rsid w:val="0043106B"/>
    <w:rsid w:val="0043119A"/>
    <w:rsid w:val="004312B6"/>
    <w:rsid w:val="0043178A"/>
    <w:rsid w:val="004317C7"/>
    <w:rsid w:val="00431A22"/>
    <w:rsid w:val="0043230A"/>
    <w:rsid w:val="0043233C"/>
    <w:rsid w:val="00432422"/>
    <w:rsid w:val="004324FB"/>
    <w:rsid w:val="00432B97"/>
    <w:rsid w:val="004336E6"/>
    <w:rsid w:val="004337C6"/>
    <w:rsid w:val="0043393D"/>
    <w:rsid w:val="00433D25"/>
    <w:rsid w:val="00433D3E"/>
    <w:rsid w:val="00433F16"/>
    <w:rsid w:val="00434140"/>
    <w:rsid w:val="00434275"/>
    <w:rsid w:val="004346A9"/>
    <w:rsid w:val="00434904"/>
    <w:rsid w:val="00434B5B"/>
    <w:rsid w:val="00434B6E"/>
    <w:rsid w:val="00434EAB"/>
    <w:rsid w:val="00435761"/>
    <w:rsid w:val="00435AD6"/>
    <w:rsid w:val="004362B0"/>
    <w:rsid w:val="00436464"/>
    <w:rsid w:val="0043651B"/>
    <w:rsid w:val="004367C1"/>
    <w:rsid w:val="00436EBA"/>
    <w:rsid w:val="00436F1D"/>
    <w:rsid w:val="00436F32"/>
    <w:rsid w:val="00436F50"/>
    <w:rsid w:val="004373A2"/>
    <w:rsid w:val="0043769C"/>
    <w:rsid w:val="004376DB"/>
    <w:rsid w:val="004376EE"/>
    <w:rsid w:val="00437764"/>
    <w:rsid w:val="00437925"/>
    <w:rsid w:val="00437AA7"/>
    <w:rsid w:val="00437ABF"/>
    <w:rsid w:val="00437E05"/>
    <w:rsid w:val="00440608"/>
    <w:rsid w:val="004406EE"/>
    <w:rsid w:val="00440855"/>
    <w:rsid w:val="00440F2E"/>
    <w:rsid w:val="00441251"/>
    <w:rsid w:val="00441324"/>
    <w:rsid w:val="004413AD"/>
    <w:rsid w:val="004414B8"/>
    <w:rsid w:val="0044178A"/>
    <w:rsid w:val="004418A6"/>
    <w:rsid w:val="00441A2F"/>
    <w:rsid w:val="00441F70"/>
    <w:rsid w:val="004426B8"/>
    <w:rsid w:val="004428CE"/>
    <w:rsid w:val="00442EC7"/>
    <w:rsid w:val="00442F62"/>
    <w:rsid w:val="00443120"/>
    <w:rsid w:val="00443D7E"/>
    <w:rsid w:val="00443E53"/>
    <w:rsid w:val="00443E6D"/>
    <w:rsid w:val="0044411D"/>
    <w:rsid w:val="004442B5"/>
    <w:rsid w:val="00444A3B"/>
    <w:rsid w:val="00444C15"/>
    <w:rsid w:val="00444DE6"/>
    <w:rsid w:val="00444FE2"/>
    <w:rsid w:val="00445828"/>
    <w:rsid w:val="00445954"/>
    <w:rsid w:val="00445DC2"/>
    <w:rsid w:val="00445F43"/>
    <w:rsid w:val="004467D3"/>
    <w:rsid w:val="00446B0F"/>
    <w:rsid w:val="00446DC5"/>
    <w:rsid w:val="00446E09"/>
    <w:rsid w:val="00446EBD"/>
    <w:rsid w:val="00447030"/>
    <w:rsid w:val="00447884"/>
    <w:rsid w:val="00447B74"/>
    <w:rsid w:val="00447E6B"/>
    <w:rsid w:val="00447EB2"/>
    <w:rsid w:val="00447F8E"/>
    <w:rsid w:val="00450AEA"/>
    <w:rsid w:val="00450FDD"/>
    <w:rsid w:val="0045175C"/>
    <w:rsid w:val="00451C3D"/>
    <w:rsid w:val="00452298"/>
    <w:rsid w:val="004526DA"/>
    <w:rsid w:val="00452C33"/>
    <w:rsid w:val="00452C7B"/>
    <w:rsid w:val="00452CD6"/>
    <w:rsid w:val="0045334B"/>
    <w:rsid w:val="0045456C"/>
    <w:rsid w:val="004545B7"/>
    <w:rsid w:val="00454FF5"/>
    <w:rsid w:val="004551A9"/>
    <w:rsid w:val="0045595B"/>
    <w:rsid w:val="004559AE"/>
    <w:rsid w:val="00455D79"/>
    <w:rsid w:val="00455F0E"/>
    <w:rsid w:val="00456453"/>
    <w:rsid w:val="00456B6B"/>
    <w:rsid w:val="00456BE5"/>
    <w:rsid w:val="00456DFE"/>
    <w:rsid w:val="004573E5"/>
    <w:rsid w:val="00457544"/>
    <w:rsid w:val="00457999"/>
    <w:rsid w:val="00457A73"/>
    <w:rsid w:val="00457E4A"/>
    <w:rsid w:val="00457F43"/>
    <w:rsid w:val="00460642"/>
    <w:rsid w:val="00460A31"/>
    <w:rsid w:val="00460B3B"/>
    <w:rsid w:val="00460B68"/>
    <w:rsid w:val="00461CC8"/>
    <w:rsid w:val="00462038"/>
    <w:rsid w:val="0046286D"/>
    <w:rsid w:val="004629AB"/>
    <w:rsid w:val="00463171"/>
    <w:rsid w:val="004633E0"/>
    <w:rsid w:val="0046387D"/>
    <w:rsid w:val="004638DB"/>
    <w:rsid w:val="004642B4"/>
    <w:rsid w:val="0046486E"/>
    <w:rsid w:val="00464A42"/>
    <w:rsid w:val="00464CAE"/>
    <w:rsid w:val="00464E42"/>
    <w:rsid w:val="0046502C"/>
    <w:rsid w:val="004650E4"/>
    <w:rsid w:val="004655C6"/>
    <w:rsid w:val="00465634"/>
    <w:rsid w:val="004656BF"/>
    <w:rsid w:val="00465D17"/>
    <w:rsid w:val="004664DB"/>
    <w:rsid w:val="0046658D"/>
    <w:rsid w:val="00466FB5"/>
    <w:rsid w:val="00466FF6"/>
    <w:rsid w:val="004703E1"/>
    <w:rsid w:val="004709B2"/>
    <w:rsid w:val="00470BAF"/>
    <w:rsid w:val="00470C96"/>
    <w:rsid w:val="00470D00"/>
    <w:rsid w:val="00471B00"/>
    <w:rsid w:val="00472AE1"/>
    <w:rsid w:val="00472EA9"/>
    <w:rsid w:val="00473157"/>
    <w:rsid w:val="00473176"/>
    <w:rsid w:val="004734B6"/>
    <w:rsid w:val="004734C5"/>
    <w:rsid w:val="0047364B"/>
    <w:rsid w:val="0047374E"/>
    <w:rsid w:val="00473B3D"/>
    <w:rsid w:val="00473E7E"/>
    <w:rsid w:val="00473E90"/>
    <w:rsid w:val="00473EBB"/>
    <w:rsid w:val="004741F7"/>
    <w:rsid w:val="004742BB"/>
    <w:rsid w:val="004744DB"/>
    <w:rsid w:val="0047477B"/>
    <w:rsid w:val="0047497B"/>
    <w:rsid w:val="00474C6B"/>
    <w:rsid w:val="00475321"/>
    <w:rsid w:val="0047565B"/>
    <w:rsid w:val="0047634F"/>
    <w:rsid w:val="00476358"/>
    <w:rsid w:val="00476B07"/>
    <w:rsid w:val="00476C35"/>
    <w:rsid w:val="00476FD3"/>
    <w:rsid w:val="00477808"/>
    <w:rsid w:val="004779D0"/>
    <w:rsid w:val="00477C19"/>
    <w:rsid w:val="00477DBB"/>
    <w:rsid w:val="004801E0"/>
    <w:rsid w:val="00480BB7"/>
    <w:rsid w:val="00480EE3"/>
    <w:rsid w:val="004812FB"/>
    <w:rsid w:val="004816CA"/>
    <w:rsid w:val="004817BE"/>
    <w:rsid w:val="00481E5F"/>
    <w:rsid w:val="00481E92"/>
    <w:rsid w:val="004826AF"/>
    <w:rsid w:val="0048272F"/>
    <w:rsid w:val="00482D54"/>
    <w:rsid w:val="00483271"/>
    <w:rsid w:val="004835C2"/>
    <w:rsid w:val="00483859"/>
    <w:rsid w:val="00483B46"/>
    <w:rsid w:val="00483D3B"/>
    <w:rsid w:val="004845F1"/>
    <w:rsid w:val="004850B3"/>
    <w:rsid w:val="004857E7"/>
    <w:rsid w:val="00486130"/>
    <w:rsid w:val="004865A8"/>
    <w:rsid w:val="00486ADC"/>
    <w:rsid w:val="00486B96"/>
    <w:rsid w:val="00486C58"/>
    <w:rsid w:val="0048777D"/>
    <w:rsid w:val="004879AF"/>
    <w:rsid w:val="00487D18"/>
    <w:rsid w:val="00490038"/>
    <w:rsid w:val="00490059"/>
    <w:rsid w:val="00490162"/>
    <w:rsid w:val="004904F7"/>
    <w:rsid w:val="00490A5D"/>
    <w:rsid w:val="00491030"/>
    <w:rsid w:val="004910AC"/>
    <w:rsid w:val="004914D8"/>
    <w:rsid w:val="004919E8"/>
    <w:rsid w:val="00491E18"/>
    <w:rsid w:val="00491F91"/>
    <w:rsid w:val="00491FF6"/>
    <w:rsid w:val="00492145"/>
    <w:rsid w:val="004928CE"/>
    <w:rsid w:val="00492A2F"/>
    <w:rsid w:val="00492BA1"/>
    <w:rsid w:val="00492D7E"/>
    <w:rsid w:val="00493540"/>
    <w:rsid w:val="00493607"/>
    <w:rsid w:val="004939E4"/>
    <w:rsid w:val="00493D36"/>
    <w:rsid w:val="00493E35"/>
    <w:rsid w:val="00494AD6"/>
    <w:rsid w:val="00495120"/>
    <w:rsid w:val="00495E67"/>
    <w:rsid w:val="004963F9"/>
    <w:rsid w:val="0049698A"/>
    <w:rsid w:val="00496B4E"/>
    <w:rsid w:val="00496DE2"/>
    <w:rsid w:val="00497448"/>
    <w:rsid w:val="004975AA"/>
    <w:rsid w:val="00497935"/>
    <w:rsid w:val="004A034A"/>
    <w:rsid w:val="004A0476"/>
    <w:rsid w:val="004A07D7"/>
    <w:rsid w:val="004A0A69"/>
    <w:rsid w:val="004A0F9E"/>
    <w:rsid w:val="004A10D4"/>
    <w:rsid w:val="004A1130"/>
    <w:rsid w:val="004A1219"/>
    <w:rsid w:val="004A1A77"/>
    <w:rsid w:val="004A1DAA"/>
    <w:rsid w:val="004A23D2"/>
    <w:rsid w:val="004A25A0"/>
    <w:rsid w:val="004A285D"/>
    <w:rsid w:val="004A2D1D"/>
    <w:rsid w:val="004A302B"/>
    <w:rsid w:val="004A3242"/>
    <w:rsid w:val="004A3456"/>
    <w:rsid w:val="004A3838"/>
    <w:rsid w:val="004A429A"/>
    <w:rsid w:val="004A4467"/>
    <w:rsid w:val="004A4957"/>
    <w:rsid w:val="004A5258"/>
    <w:rsid w:val="004A5467"/>
    <w:rsid w:val="004A5AE2"/>
    <w:rsid w:val="004A5BB1"/>
    <w:rsid w:val="004A5CB1"/>
    <w:rsid w:val="004A5E3E"/>
    <w:rsid w:val="004A5EAA"/>
    <w:rsid w:val="004A638D"/>
    <w:rsid w:val="004A64EC"/>
    <w:rsid w:val="004A695F"/>
    <w:rsid w:val="004A697B"/>
    <w:rsid w:val="004A6A35"/>
    <w:rsid w:val="004A6EA6"/>
    <w:rsid w:val="004A7550"/>
    <w:rsid w:val="004A7966"/>
    <w:rsid w:val="004A7A54"/>
    <w:rsid w:val="004B0239"/>
    <w:rsid w:val="004B0379"/>
    <w:rsid w:val="004B0A69"/>
    <w:rsid w:val="004B0D1E"/>
    <w:rsid w:val="004B0E2E"/>
    <w:rsid w:val="004B1604"/>
    <w:rsid w:val="004B1701"/>
    <w:rsid w:val="004B1804"/>
    <w:rsid w:val="004B18CC"/>
    <w:rsid w:val="004B2609"/>
    <w:rsid w:val="004B2722"/>
    <w:rsid w:val="004B2F3D"/>
    <w:rsid w:val="004B32A0"/>
    <w:rsid w:val="004B36C1"/>
    <w:rsid w:val="004B3A60"/>
    <w:rsid w:val="004B3FCD"/>
    <w:rsid w:val="004B4C62"/>
    <w:rsid w:val="004B4D15"/>
    <w:rsid w:val="004B5064"/>
    <w:rsid w:val="004B5078"/>
    <w:rsid w:val="004B5096"/>
    <w:rsid w:val="004B51DA"/>
    <w:rsid w:val="004B54EF"/>
    <w:rsid w:val="004B592E"/>
    <w:rsid w:val="004B5CE2"/>
    <w:rsid w:val="004B5DAC"/>
    <w:rsid w:val="004B6147"/>
    <w:rsid w:val="004B6184"/>
    <w:rsid w:val="004B6634"/>
    <w:rsid w:val="004B67BB"/>
    <w:rsid w:val="004B67F1"/>
    <w:rsid w:val="004B6812"/>
    <w:rsid w:val="004B7293"/>
    <w:rsid w:val="004B7DD1"/>
    <w:rsid w:val="004C0096"/>
    <w:rsid w:val="004C00A3"/>
    <w:rsid w:val="004C00F4"/>
    <w:rsid w:val="004C037B"/>
    <w:rsid w:val="004C082A"/>
    <w:rsid w:val="004C0830"/>
    <w:rsid w:val="004C085B"/>
    <w:rsid w:val="004C0BDA"/>
    <w:rsid w:val="004C1258"/>
    <w:rsid w:val="004C1472"/>
    <w:rsid w:val="004C165E"/>
    <w:rsid w:val="004C1BF9"/>
    <w:rsid w:val="004C1C3E"/>
    <w:rsid w:val="004C23BD"/>
    <w:rsid w:val="004C2498"/>
    <w:rsid w:val="004C331E"/>
    <w:rsid w:val="004C333F"/>
    <w:rsid w:val="004C33BC"/>
    <w:rsid w:val="004C3D19"/>
    <w:rsid w:val="004C3FC0"/>
    <w:rsid w:val="004C42C9"/>
    <w:rsid w:val="004C4D54"/>
    <w:rsid w:val="004C5B42"/>
    <w:rsid w:val="004C5ECB"/>
    <w:rsid w:val="004C6672"/>
    <w:rsid w:val="004C68B6"/>
    <w:rsid w:val="004C74F1"/>
    <w:rsid w:val="004D039F"/>
    <w:rsid w:val="004D04F6"/>
    <w:rsid w:val="004D0ED5"/>
    <w:rsid w:val="004D12A8"/>
    <w:rsid w:val="004D1906"/>
    <w:rsid w:val="004D1C16"/>
    <w:rsid w:val="004D203B"/>
    <w:rsid w:val="004D240F"/>
    <w:rsid w:val="004D2434"/>
    <w:rsid w:val="004D2710"/>
    <w:rsid w:val="004D29CC"/>
    <w:rsid w:val="004D2AB8"/>
    <w:rsid w:val="004D2D7A"/>
    <w:rsid w:val="004D37B3"/>
    <w:rsid w:val="004D391B"/>
    <w:rsid w:val="004D3E11"/>
    <w:rsid w:val="004D4043"/>
    <w:rsid w:val="004D4304"/>
    <w:rsid w:val="004D470B"/>
    <w:rsid w:val="004D4CD1"/>
    <w:rsid w:val="004D4E73"/>
    <w:rsid w:val="004D503B"/>
    <w:rsid w:val="004D50AB"/>
    <w:rsid w:val="004D514C"/>
    <w:rsid w:val="004D524E"/>
    <w:rsid w:val="004D5266"/>
    <w:rsid w:val="004D54B7"/>
    <w:rsid w:val="004D60DF"/>
    <w:rsid w:val="004D6786"/>
    <w:rsid w:val="004D69E1"/>
    <w:rsid w:val="004D7869"/>
    <w:rsid w:val="004D7EE4"/>
    <w:rsid w:val="004E0137"/>
    <w:rsid w:val="004E11CF"/>
    <w:rsid w:val="004E121B"/>
    <w:rsid w:val="004E18E7"/>
    <w:rsid w:val="004E1E29"/>
    <w:rsid w:val="004E1ECE"/>
    <w:rsid w:val="004E1EF5"/>
    <w:rsid w:val="004E23F7"/>
    <w:rsid w:val="004E24D1"/>
    <w:rsid w:val="004E2A73"/>
    <w:rsid w:val="004E2B5D"/>
    <w:rsid w:val="004E3268"/>
    <w:rsid w:val="004E33F8"/>
    <w:rsid w:val="004E368A"/>
    <w:rsid w:val="004E3801"/>
    <w:rsid w:val="004E39C9"/>
    <w:rsid w:val="004E417F"/>
    <w:rsid w:val="004E41A1"/>
    <w:rsid w:val="004E4391"/>
    <w:rsid w:val="004E46F5"/>
    <w:rsid w:val="004E4CA8"/>
    <w:rsid w:val="004E4D78"/>
    <w:rsid w:val="004E4E20"/>
    <w:rsid w:val="004E500B"/>
    <w:rsid w:val="004E5153"/>
    <w:rsid w:val="004E5C65"/>
    <w:rsid w:val="004E687B"/>
    <w:rsid w:val="004E70F3"/>
    <w:rsid w:val="004E713A"/>
    <w:rsid w:val="004E7649"/>
    <w:rsid w:val="004E79EC"/>
    <w:rsid w:val="004E7AD7"/>
    <w:rsid w:val="004E7B2E"/>
    <w:rsid w:val="004E7BDD"/>
    <w:rsid w:val="004F01D5"/>
    <w:rsid w:val="004F0439"/>
    <w:rsid w:val="004F0738"/>
    <w:rsid w:val="004F0A17"/>
    <w:rsid w:val="004F115C"/>
    <w:rsid w:val="004F13A0"/>
    <w:rsid w:val="004F17D0"/>
    <w:rsid w:val="004F1BB6"/>
    <w:rsid w:val="004F2044"/>
    <w:rsid w:val="004F20DC"/>
    <w:rsid w:val="004F23BA"/>
    <w:rsid w:val="004F33A6"/>
    <w:rsid w:val="004F35B2"/>
    <w:rsid w:val="004F35D6"/>
    <w:rsid w:val="004F3982"/>
    <w:rsid w:val="004F3A47"/>
    <w:rsid w:val="004F3AE1"/>
    <w:rsid w:val="004F3C71"/>
    <w:rsid w:val="004F3CDC"/>
    <w:rsid w:val="004F4537"/>
    <w:rsid w:val="004F4797"/>
    <w:rsid w:val="004F5068"/>
    <w:rsid w:val="004F51E9"/>
    <w:rsid w:val="004F54F5"/>
    <w:rsid w:val="004F551A"/>
    <w:rsid w:val="004F5C06"/>
    <w:rsid w:val="004F5FCC"/>
    <w:rsid w:val="004F63CD"/>
    <w:rsid w:val="004F63D5"/>
    <w:rsid w:val="004F64E4"/>
    <w:rsid w:val="004F662E"/>
    <w:rsid w:val="004F6A3A"/>
    <w:rsid w:val="004F6D13"/>
    <w:rsid w:val="004F6D20"/>
    <w:rsid w:val="004F6E61"/>
    <w:rsid w:val="004F71AC"/>
    <w:rsid w:val="004F75B7"/>
    <w:rsid w:val="004F783D"/>
    <w:rsid w:val="004F798E"/>
    <w:rsid w:val="005004E2"/>
    <w:rsid w:val="005009D1"/>
    <w:rsid w:val="005012E6"/>
    <w:rsid w:val="00501B88"/>
    <w:rsid w:val="0050246A"/>
    <w:rsid w:val="005025AD"/>
    <w:rsid w:val="005029B4"/>
    <w:rsid w:val="005033B1"/>
    <w:rsid w:val="0050348C"/>
    <w:rsid w:val="005039C8"/>
    <w:rsid w:val="00503A7E"/>
    <w:rsid w:val="00503ADE"/>
    <w:rsid w:val="00503BA8"/>
    <w:rsid w:val="00504660"/>
    <w:rsid w:val="00504D6A"/>
    <w:rsid w:val="00505BCC"/>
    <w:rsid w:val="00505CD4"/>
    <w:rsid w:val="00506869"/>
    <w:rsid w:val="00506974"/>
    <w:rsid w:val="00506E52"/>
    <w:rsid w:val="005072C5"/>
    <w:rsid w:val="005078D1"/>
    <w:rsid w:val="00510003"/>
    <w:rsid w:val="00510174"/>
    <w:rsid w:val="005104D5"/>
    <w:rsid w:val="0051091F"/>
    <w:rsid w:val="00510AC0"/>
    <w:rsid w:val="00511028"/>
    <w:rsid w:val="0051115B"/>
    <w:rsid w:val="00511482"/>
    <w:rsid w:val="00511611"/>
    <w:rsid w:val="005117FB"/>
    <w:rsid w:val="00511A63"/>
    <w:rsid w:val="00511A77"/>
    <w:rsid w:val="00511AC5"/>
    <w:rsid w:val="00512305"/>
    <w:rsid w:val="00512844"/>
    <w:rsid w:val="00512B6C"/>
    <w:rsid w:val="00512C52"/>
    <w:rsid w:val="00512FFF"/>
    <w:rsid w:val="00513075"/>
    <w:rsid w:val="0051350B"/>
    <w:rsid w:val="00513592"/>
    <w:rsid w:val="00513851"/>
    <w:rsid w:val="00513D9B"/>
    <w:rsid w:val="00514152"/>
    <w:rsid w:val="0051436F"/>
    <w:rsid w:val="0051498D"/>
    <w:rsid w:val="00514D56"/>
    <w:rsid w:val="00514F71"/>
    <w:rsid w:val="005158B6"/>
    <w:rsid w:val="005158C0"/>
    <w:rsid w:val="005159D9"/>
    <w:rsid w:val="00515A24"/>
    <w:rsid w:val="00515DD3"/>
    <w:rsid w:val="00515E0B"/>
    <w:rsid w:val="00515ED5"/>
    <w:rsid w:val="00516523"/>
    <w:rsid w:val="005166CD"/>
    <w:rsid w:val="00516705"/>
    <w:rsid w:val="005169BC"/>
    <w:rsid w:val="00516B0E"/>
    <w:rsid w:val="00517A06"/>
    <w:rsid w:val="00517BD2"/>
    <w:rsid w:val="00517CD1"/>
    <w:rsid w:val="00517FA7"/>
    <w:rsid w:val="0052026F"/>
    <w:rsid w:val="005203C5"/>
    <w:rsid w:val="0052042A"/>
    <w:rsid w:val="00520AA1"/>
    <w:rsid w:val="005213EA"/>
    <w:rsid w:val="00521578"/>
    <w:rsid w:val="00521BA2"/>
    <w:rsid w:val="0052217F"/>
    <w:rsid w:val="00522204"/>
    <w:rsid w:val="0052237E"/>
    <w:rsid w:val="0052269D"/>
    <w:rsid w:val="00522E94"/>
    <w:rsid w:val="00522EEE"/>
    <w:rsid w:val="005231EC"/>
    <w:rsid w:val="005233DC"/>
    <w:rsid w:val="00523E4B"/>
    <w:rsid w:val="005241BC"/>
    <w:rsid w:val="00524468"/>
    <w:rsid w:val="00524EDE"/>
    <w:rsid w:val="0052534A"/>
    <w:rsid w:val="005255A6"/>
    <w:rsid w:val="005255B4"/>
    <w:rsid w:val="00526648"/>
    <w:rsid w:val="005266F3"/>
    <w:rsid w:val="0052770D"/>
    <w:rsid w:val="00527EBA"/>
    <w:rsid w:val="00527FDA"/>
    <w:rsid w:val="00530135"/>
    <w:rsid w:val="005302FC"/>
    <w:rsid w:val="00530B8F"/>
    <w:rsid w:val="005315C8"/>
    <w:rsid w:val="005315E4"/>
    <w:rsid w:val="005316DB"/>
    <w:rsid w:val="00531966"/>
    <w:rsid w:val="00532066"/>
    <w:rsid w:val="005321A2"/>
    <w:rsid w:val="0053222A"/>
    <w:rsid w:val="00532396"/>
    <w:rsid w:val="00532417"/>
    <w:rsid w:val="00532418"/>
    <w:rsid w:val="0053254C"/>
    <w:rsid w:val="00532933"/>
    <w:rsid w:val="00532A29"/>
    <w:rsid w:val="00532BC4"/>
    <w:rsid w:val="00533380"/>
    <w:rsid w:val="005337F7"/>
    <w:rsid w:val="00533A0B"/>
    <w:rsid w:val="00533C23"/>
    <w:rsid w:val="00533C90"/>
    <w:rsid w:val="00534950"/>
    <w:rsid w:val="00534A0C"/>
    <w:rsid w:val="00534B75"/>
    <w:rsid w:val="00534E2E"/>
    <w:rsid w:val="005351E4"/>
    <w:rsid w:val="00535465"/>
    <w:rsid w:val="005355A6"/>
    <w:rsid w:val="0053561B"/>
    <w:rsid w:val="00535AC6"/>
    <w:rsid w:val="00535BD2"/>
    <w:rsid w:val="00535FD3"/>
    <w:rsid w:val="005360FC"/>
    <w:rsid w:val="005363F4"/>
    <w:rsid w:val="00536F72"/>
    <w:rsid w:val="00537690"/>
    <w:rsid w:val="00537A6F"/>
    <w:rsid w:val="00537B0E"/>
    <w:rsid w:val="00537EFF"/>
    <w:rsid w:val="00540565"/>
    <w:rsid w:val="00540AA0"/>
    <w:rsid w:val="0054113C"/>
    <w:rsid w:val="0054195C"/>
    <w:rsid w:val="00541BCD"/>
    <w:rsid w:val="00541CAA"/>
    <w:rsid w:val="00542522"/>
    <w:rsid w:val="00542AA2"/>
    <w:rsid w:val="00542B06"/>
    <w:rsid w:val="00542B7D"/>
    <w:rsid w:val="00542BCC"/>
    <w:rsid w:val="00542E14"/>
    <w:rsid w:val="00542FA8"/>
    <w:rsid w:val="00543058"/>
    <w:rsid w:val="00543BA1"/>
    <w:rsid w:val="00543FFA"/>
    <w:rsid w:val="00544148"/>
    <w:rsid w:val="00544398"/>
    <w:rsid w:val="0054463A"/>
    <w:rsid w:val="00544845"/>
    <w:rsid w:val="005448C9"/>
    <w:rsid w:val="00544B14"/>
    <w:rsid w:val="0054518F"/>
    <w:rsid w:val="00545300"/>
    <w:rsid w:val="0054571A"/>
    <w:rsid w:val="005457D4"/>
    <w:rsid w:val="0054591C"/>
    <w:rsid w:val="00545B9B"/>
    <w:rsid w:val="00545CBC"/>
    <w:rsid w:val="00545DF4"/>
    <w:rsid w:val="00545FB6"/>
    <w:rsid w:val="005463A2"/>
    <w:rsid w:val="0054677C"/>
    <w:rsid w:val="005469A6"/>
    <w:rsid w:val="00546B77"/>
    <w:rsid w:val="00547AA9"/>
    <w:rsid w:val="00550112"/>
    <w:rsid w:val="0055100A"/>
    <w:rsid w:val="005516B3"/>
    <w:rsid w:val="00551800"/>
    <w:rsid w:val="00551AE2"/>
    <w:rsid w:val="00551B81"/>
    <w:rsid w:val="00551C21"/>
    <w:rsid w:val="0055250F"/>
    <w:rsid w:val="00552BF6"/>
    <w:rsid w:val="005534FA"/>
    <w:rsid w:val="00553CA4"/>
    <w:rsid w:val="00554897"/>
    <w:rsid w:val="005550CA"/>
    <w:rsid w:val="0055522B"/>
    <w:rsid w:val="00555785"/>
    <w:rsid w:val="00555BDF"/>
    <w:rsid w:val="00555D4A"/>
    <w:rsid w:val="00555FBA"/>
    <w:rsid w:val="00556368"/>
    <w:rsid w:val="0055742C"/>
    <w:rsid w:val="00557471"/>
    <w:rsid w:val="005578D0"/>
    <w:rsid w:val="00557AA6"/>
    <w:rsid w:val="00560BA8"/>
    <w:rsid w:val="005610E1"/>
    <w:rsid w:val="005618E0"/>
    <w:rsid w:val="005619AA"/>
    <w:rsid w:val="00561B6E"/>
    <w:rsid w:val="00562394"/>
    <w:rsid w:val="00562BE1"/>
    <w:rsid w:val="00563106"/>
    <w:rsid w:val="00563255"/>
    <w:rsid w:val="00563563"/>
    <w:rsid w:val="005635AA"/>
    <w:rsid w:val="00563762"/>
    <w:rsid w:val="00563C9E"/>
    <w:rsid w:val="005640B5"/>
    <w:rsid w:val="005644F1"/>
    <w:rsid w:val="0056462D"/>
    <w:rsid w:val="00564A38"/>
    <w:rsid w:val="00564B47"/>
    <w:rsid w:val="00564B73"/>
    <w:rsid w:val="00564E65"/>
    <w:rsid w:val="00564E90"/>
    <w:rsid w:val="00564F88"/>
    <w:rsid w:val="00565212"/>
    <w:rsid w:val="005652AF"/>
    <w:rsid w:val="005652C6"/>
    <w:rsid w:val="00565929"/>
    <w:rsid w:val="00565AF7"/>
    <w:rsid w:val="00565E5B"/>
    <w:rsid w:val="00565E87"/>
    <w:rsid w:val="00566273"/>
    <w:rsid w:val="005662BC"/>
    <w:rsid w:val="005665DB"/>
    <w:rsid w:val="00566A09"/>
    <w:rsid w:val="00566A47"/>
    <w:rsid w:val="00566ACF"/>
    <w:rsid w:val="00566AE8"/>
    <w:rsid w:val="00566DA7"/>
    <w:rsid w:val="0057069F"/>
    <w:rsid w:val="00570776"/>
    <w:rsid w:val="00570FAD"/>
    <w:rsid w:val="00570FE4"/>
    <w:rsid w:val="00571B29"/>
    <w:rsid w:val="00571E28"/>
    <w:rsid w:val="0057277D"/>
    <w:rsid w:val="00572ACB"/>
    <w:rsid w:val="00572CEF"/>
    <w:rsid w:val="00572E2C"/>
    <w:rsid w:val="00573117"/>
    <w:rsid w:val="0057350C"/>
    <w:rsid w:val="00573BD3"/>
    <w:rsid w:val="00573D00"/>
    <w:rsid w:val="00573E67"/>
    <w:rsid w:val="00573F30"/>
    <w:rsid w:val="00574AA0"/>
    <w:rsid w:val="00574FCC"/>
    <w:rsid w:val="00575587"/>
    <w:rsid w:val="00575AAB"/>
    <w:rsid w:val="005769B5"/>
    <w:rsid w:val="00576CC9"/>
    <w:rsid w:val="00577116"/>
    <w:rsid w:val="00577515"/>
    <w:rsid w:val="005775E2"/>
    <w:rsid w:val="00577816"/>
    <w:rsid w:val="00577A1C"/>
    <w:rsid w:val="00577B64"/>
    <w:rsid w:val="005800B7"/>
    <w:rsid w:val="005802D0"/>
    <w:rsid w:val="005804DF"/>
    <w:rsid w:val="005807D8"/>
    <w:rsid w:val="00580CE8"/>
    <w:rsid w:val="00580D6B"/>
    <w:rsid w:val="00581383"/>
    <w:rsid w:val="00581737"/>
    <w:rsid w:val="00581C48"/>
    <w:rsid w:val="00581FC5"/>
    <w:rsid w:val="005820A6"/>
    <w:rsid w:val="0058212D"/>
    <w:rsid w:val="00582229"/>
    <w:rsid w:val="005822C5"/>
    <w:rsid w:val="00582516"/>
    <w:rsid w:val="00582C63"/>
    <w:rsid w:val="0058361C"/>
    <w:rsid w:val="00583778"/>
    <w:rsid w:val="0058383C"/>
    <w:rsid w:val="005838B8"/>
    <w:rsid w:val="0058391D"/>
    <w:rsid w:val="0058398E"/>
    <w:rsid w:val="00583C90"/>
    <w:rsid w:val="00583E85"/>
    <w:rsid w:val="00584505"/>
    <w:rsid w:val="00584604"/>
    <w:rsid w:val="005846A8"/>
    <w:rsid w:val="005847E6"/>
    <w:rsid w:val="00584806"/>
    <w:rsid w:val="00584831"/>
    <w:rsid w:val="00584A09"/>
    <w:rsid w:val="00584A21"/>
    <w:rsid w:val="00584AB8"/>
    <w:rsid w:val="00584D83"/>
    <w:rsid w:val="005852EB"/>
    <w:rsid w:val="00585768"/>
    <w:rsid w:val="00585A42"/>
    <w:rsid w:val="00585F27"/>
    <w:rsid w:val="00586120"/>
    <w:rsid w:val="00586531"/>
    <w:rsid w:val="00586A0A"/>
    <w:rsid w:val="00586E21"/>
    <w:rsid w:val="00586EA5"/>
    <w:rsid w:val="00586F35"/>
    <w:rsid w:val="0058704D"/>
    <w:rsid w:val="00587430"/>
    <w:rsid w:val="0058746A"/>
    <w:rsid w:val="005874A3"/>
    <w:rsid w:val="00587C9D"/>
    <w:rsid w:val="00587D7C"/>
    <w:rsid w:val="00587DC2"/>
    <w:rsid w:val="00590176"/>
    <w:rsid w:val="00590567"/>
    <w:rsid w:val="00590750"/>
    <w:rsid w:val="00590BDF"/>
    <w:rsid w:val="00590F26"/>
    <w:rsid w:val="005913B3"/>
    <w:rsid w:val="00591656"/>
    <w:rsid w:val="00592157"/>
    <w:rsid w:val="005922A2"/>
    <w:rsid w:val="005929EA"/>
    <w:rsid w:val="005929EC"/>
    <w:rsid w:val="00592CF7"/>
    <w:rsid w:val="00592EB2"/>
    <w:rsid w:val="00592F94"/>
    <w:rsid w:val="005934AC"/>
    <w:rsid w:val="0059365F"/>
    <w:rsid w:val="00593788"/>
    <w:rsid w:val="0059391A"/>
    <w:rsid w:val="00593A5A"/>
    <w:rsid w:val="00593C45"/>
    <w:rsid w:val="0059453A"/>
    <w:rsid w:val="00594AE8"/>
    <w:rsid w:val="00594B4B"/>
    <w:rsid w:val="00594BDC"/>
    <w:rsid w:val="005953E3"/>
    <w:rsid w:val="0059564B"/>
    <w:rsid w:val="005956AF"/>
    <w:rsid w:val="00595C9E"/>
    <w:rsid w:val="005960EF"/>
    <w:rsid w:val="005961D5"/>
    <w:rsid w:val="005962B7"/>
    <w:rsid w:val="00596420"/>
    <w:rsid w:val="005969C4"/>
    <w:rsid w:val="005969EC"/>
    <w:rsid w:val="005972A7"/>
    <w:rsid w:val="00597639"/>
    <w:rsid w:val="0059772F"/>
    <w:rsid w:val="00597DBA"/>
    <w:rsid w:val="005A02B1"/>
    <w:rsid w:val="005A057F"/>
    <w:rsid w:val="005A059E"/>
    <w:rsid w:val="005A05B4"/>
    <w:rsid w:val="005A06B0"/>
    <w:rsid w:val="005A0A58"/>
    <w:rsid w:val="005A0C38"/>
    <w:rsid w:val="005A0F4F"/>
    <w:rsid w:val="005A0FCF"/>
    <w:rsid w:val="005A183D"/>
    <w:rsid w:val="005A1A1F"/>
    <w:rsid w:val="005A1AF5"/>
    <w:rsid w:val="005A1D6F"/>
    <w:rsid w:val="005A242A"/>
    <w:rsid w:val="005A26CC"/>
    <w:rsid w:val="005A2B28"/>
    <w:rsid w:val="005A31F6"/>
    <w:rsid w:val="005A39B7"/>
    <w:rsid w:val="005A3AAC"/>
    <w:rsid w:val="005A4ACE"/>
    <w:rsid w:val="005A4E51"/>
    <w:rsid w:val="005A4FD2"/>
    <w:rsid w:val="005A5104"/>
    <w:rsid w:val="005A52C4"/>
    <w:rsid w:val="005A5975"/>
    <w:rsid w:val="005A59E3"/>
    <w:rsid w:val="005A663A"/>
    <w:rsid w:val="005A69B8"/>
    <w:rsid w:val="005A6B60"/>
    <w:rsid w:val="005A6DB1"/>
    <w:rsid w:val="005A729F"/>
    <w:rsid w:val="005A7396"/>
    <w:rsid w:val="005A73F3"/>
    <w:rsid w:val="005A7824"/>
    <w:rsid w:val="005A7E09"/>
    <w:rsid w:val="005A7F44"/>
    <w:rsid w:val="005B08FF"/>
    <w:rsid w:val="005B0F65"/>
    <w:rsid w:val="005B1334"/>
    <w:rsid w:val="005B19CD"/>
    <w:rsid w:val="005B2C14"/>
    <w:rsid w:val="005B2C54"/>
    <w:rsid w:val="005B3B48"/>
    <w:rsid w:val="005B4580"/>
    <w:rsid w:val="005B489D"/>
    <w:rsid w:val="005B4A6E"/>
    <w:rsid w:val="005B4C2D"/>
    <w:rsid w:val="005B5739"/>
    <w:rsid w:val="005B5791"/>
    <w:rsid w:val="005B6005"/>
    <w:rsid w:val="005B6213"/>
    <w:rsid w:val="005B62F3"/>
    <w:rsid w:val="005B7047"/>
    <w:rsid w:val="005B711D"/>
    <w:rsid w:val="005B7276"/>
    <w:rsid w:val="005B785B"/>
    <w:rsid w:val="005B7BD0"/>
    <w:rsid w:val="005B7BEE"/>
    <w:rsid w:val="005B7D6D"/>
    <w:rsid w:val="005C0072"/>
    <w:rsid w:val="005C009B"/>
    <w:rsid w:val="005C01D9"/>
    <w:rsid w:val="005C0ACF"/>
    <w:rsid w:val="005C0C7B"/>
    <w:rsid w:val="005C0D5D"/>
    <w:rsid w:val="005C118D"/>
    <w:rsid w:val="005C126B"/>
    <w:rsid w:val="005C18B8"/>
    <w:rsid w:val="005C1B14"/>
    <w:rsid w:val="005C1F09"/>
    <w:rsid w:val="005C216F"/>
    <w:rsid w:val="005C244F"/>
    <w:rsid w:val="005C2625"/>
    <w:rsid w:val="005C26BE"/>
    <w:rsid w:val="005C29F5"/>
    <w:rsid w:val="005C2E8B"/>
    <w:rsid w:val="005C3959"/>
    <w:rsid w:val="005C3ADC"/>
    <w:rsid w:val="005C4A8B"/>
    <w:rsid w:val="005C4D91"/>
    <w:rsid w:val="005C6369"/>
    <w:rsid w:val="005C7170"/>
    <w:rsid w:val="005C743D"/>
    <w:rsid w:val="005D05B7"/>
    <w:rsid w:val="005D17FB"/>
    <w:rsid w:val="005D1956"/>
    <w:rsid w:val="005D1973"/>
    <w:rsid w:val="005D1E51"/>
    <w:rsid w:val="005D24BC"/>
    <w:rsid w:val="005D26BD"/>
    <w:rsid w:val="005D28C6"/>
    <w:rsid w:val="005D2D22"/>
    <w:rsid w:val="005D34C9"/>
    <w:rsid w:val="005D34D5"/>
    <w:rsid w:val="005D37C7"/>
    <w:rsid w:val="005D41AA"/>
    <w:rsid w:val="005D4771"/>
    <w:rsid w:val="005D47AD"/>
    <w:rsid w:val="005D47E4"/>
    <w:rsid w:val="005D485D"/>
    <w:rsid w:val="005D4955"/>
    <w:rsid w:val="005D4DAC"/>
    <w:rsid w:val="005D51CD"/>
    <w:rsid w:val="005D5337"/>
    <w:rsid w:val="005D53B1"/>
    <w:rsid w:val="005D53BB"/>
    <w:rsid w:val="005D562A"/>
    <w:rsid w:val="005D5685"/>
    <w:rsid w:val="005D5831"/>
    <w:rsid w:val="005D589A"/>
    <w:rsid w:val="005D5ADE"/>
    <w:rsid w:val="005D5DC7"/>
    <w:rsid w:val="005D60F5"/>
    <w:rsid w:val="005D6411"/>
    <w:rsid w:val="005D6595"/>
    <w:rsid w:val="005D68E0"/>
    <w:rsid w:val="005D6C85"/>
    <w:rsid w:val="005D6D4E"/>
    <w:rsid w:val="005D707A"/>
    <w:rsid w:val="005D7268"/>
    <w:rsid w:val="005D7480"/>
    <w:rsid w:val="005D7556"/>
    <w:rsid w:val="005D78D0"/>
    <w:rsid w:val="005D7CCD"/>
    <w:rsid w:val="005D7D5E"/>
    <w:rsid w:val="005E0545"/>
    <w:rsid w:val="005E0829"/>
    <w:rsid w:val="005E08C6"/>
    <w:rsid w:val="005E08F5"/>
    <w:rsid w:val="005E0CA4"/>
    <w:rsid w:val="005E10A1"/>
    <w:rsid w:val="005E1164"/>
    <w:rsid w:val="005E11A1"/>
    <w:rsid w:val="005E12A3"/>
    <w:rsid w:val="005E1625"/>
    <w:rsid w:val="005E18E3"/>
    <w:rsid w:val="005E20EE"/>
    <w:rsid w:val="005E29DC"/>
    <w:rsid w:val="005E2C13"/>
    <w:rsid w:val="005E2DA3"/>
    <w:rsid w:val="005E3316"/>
    <w:rsid w:val="005E33FF"/>
    <w:rsid w:val="005E3455"/>
    <w:rsid w:val="005E365F"/>
    <w:rsid w:val="005E3A8B"/>
    <w:rsid w:val="005E3D47"/>
    <w:rsid w:val="005E3D69"/>
    <w:rsid w:val="005E413B"/>
    <w:rsid w:val="005E4150"/>
    <w:rsid w:val="005E4453"/>
    <w:rsid w:val="005E473D"/>
    <w:rsid w:val="005E4916"/>
    <w:rsid w:val="005E50A7"/>
    <w:rsid w:val="005E50F0"/>
    <w:rsid w:val="005E653B"/>
    <w:rsid w:val="005E6D07"/>
    <w:rsid w:val="005E6F38"/>
    <w:rsid w:val="005E6F3B"/>
    <w:rsid w:val="005E7606"/>
    <w:rsid w:val="005E7E61"/>
    <w:rsid w:val="005E7F69"/>
    <w:rsid w:val="005F00AF"/>
    <w:rsid w:val="005F00B0"/>
    <w:rsid w:val="005F0960"/>
    <w:rsid w:val="005F0CB7"/>
    <w:rsid w:val="005F0EF2"/>
    <w:rsid w:val="005F1083"/>
    <w:rsid w:val="005F1784"/>
    <w:rsid w:val="005F17B1"/>
    <w:rsid w:val="005F2955"/>
    <w:rsid w:val="005F3115"/>
    <w:rsid w:val="005F31C7"/>
    <w:rsid w:val="005F3411"/>
    <w:rsid w:val="005F3517"/>
    <w:rsid w:val="005F3752"/>
    <w:rsid w:val="005F380F"/>
    <w:rsid w:val="005F40C3"/>
    <w:rsid w:val="005F4128"/>
    <w:rsid w:val="005F42F9"/>
    <w:rsid w:val="005F4347"/>
    <w:rsid w:val="005F435C"/>
    <w:rsid w:val="005F49A9"/>
    <w:rsid w:val="005F4ABE"/>
    <w:rsid w:val="005F4C78"/>
    <w:rsid w:val="005F4F1D"/>
    <w:rsid w:val="005F5735"/>
    <w:rsid w:val="005F5899"/>
    <w:rsid w:val="005F5A1F"/>
    <w:rsid w:val="005F65BC"/>
    <w:rsid w:val="005F6645"/>
    <w:rsid w:val="005F67A3"/>
    <w:rsid w:val="005F6C8C"/>
    <w:rsid w:val="005F6CE5"/>
    <w:rsid w:val="005F6D92"/>
    <w:rsid w:val="005F7012"/>
    <w:rsid w:val="005F7017"/>
    <w:rsid w:val="005F7A87"/>
    <w:rsid w:val="005F7AD7"/>
    <w:rsid w:val="005F7DD2"/>
    <w:rsid w:val="006004F3"/>
    <w:rsid w:val="00600653"/>
    <w:rsid w:val="00600996"/>
    <w:rsid w:val="0060184C"/>
    <w:rsid w:val="00601E0D"/>
    <w:rsid w:val="006020F1"/>
    <w:rsid w:val="006022C7"/>
    <w:rsid w:val="00602778"/>
    <w:rsid w:val="00602D87"/>
    <w:rsid w:val="00602F91"/>
    <w:rsid w:val="00603232"/>
    <w:rsid w:val="006036B2"/>
    <w:rsid w:val="00603754"/>
    <w:rsid w:val="00603E5C"/>
    <w:rsid w:val="00603F06"/>
    <w:rsid w:val="0060439D"/>
    <w:rsid w:val="006043A8"/>
    <w:rsid w:val="00604BBE"/>
    <w:rsid w:val="0060605D"/>
    <w:rsid w:val="00606236"/>
    <w:rsid w:val="00606886"/>
    <w:rsid w:val="00606B99"/>
    <w:rsid w:val="00606CB7"/>
    <w:rsid w:val="00607705"/>
    <w:rsid w:val="00607B52"/>
    <w:rsid w:val="00607F14"/>
    <w:rsid w:val="006109BB"/>
    <w:rsid w:val="0061106D"/>
    <w:rsid w:val="0061109B"/>
    <w:rsid w:val="0061134E"/>
    <w:rsid w:val="006113BD"/>
    <w:rsid w:val="006113CC"/>
    <w:rsid w:val="006117B4"/>
    <w:rsid w:val="00611953"/>
    <w:rsid w:val="00611C90"/>
    <w:rsid w:val="00611F6C"/>
    <w:rsid w:val="00612578"/>
    <w:rsid w:val="0061258B"/>
    <w:rsid w:val="006127BF"/>
    <w:rsid w:val="006128F8"/>
    <w:rsid w:val="00612A80"/>
    <w:rsid w:val="00612F0B"/>
    <w:rsid w:val="006130A6"/>
    <w:rsid w:val="0061356B"/>
    <w:rsid w:val="006137F8"/>
    <w:rsid w:val="006137FE"/>
    <w:rsid w:val="0061394D"/>
    <w:rsid w:val="00613C48"/>
    <w:rsid w:val="00613E3B"/>
    <w:rsid w:val="00613F1E"/>
    <w:rsid w:val="00614695"/>
    <w:rsid w:val="00614A56"/>
    <w:rsid w:val="00614CC2"/>
    <w:rsid w:val="00615085"/>
    <w:rsid w:val="0061540E"/>
    <w:rsid w:val="00615C24"/>
    <w:rsid w:val="00615D1F"/>
    <w:rsid w:val="00616442"/>
    <w:rsid w:val="006164D9"/>
    <w:rsid w:val="006164F3"/>
    <w:rsid w:val="00616661"/>
    <w:rsid w:val="00616747"/>
    <w:rsid w:val="00616BDB"/>
    <w:rsid w:val="00616C25"/>
    <w:rsid w:val="00616CE0"/>
    <w:rsid w:val="00616D73"/>
    <w:rsid w:val="00617728"/>
    <w:rsid w:val="006177F6"/>
    <w:rsid w:val="00617B24"/>
    <w:rsid w:val="00617D7E"/>
    <w:rsid w:val="00617F8D"/>
    <w:rsid w:val="0062124C"/>
    <w:rsid w:val="0062157E"/>
    <w:rsid w:val="006218CE"/>
    <w:rsid w:val="006219C5"/>
    <w:rsid w:val="00621AEC"/>
    <w:rsid w:val="00622144"/>
    <w:rsid w:val="006231ED"/>
    <w:rsid w:val="0062388A"/>
    <w:rsid w:val="006238CC"/>
    <w:rsid w:val="006243E7"/>
    <w:rsid w:val="006245CA"/>
    <w:rsid w:val="00624EEE"/>
    <w:rsid w:val="00624F7C"/>
    <w:rsid w:val="00625077"/>
    <w:rsid w:val="00625DC4"/>
    <w:rsid w:val="00626112"/>
    <w:rsid w:val="006262C6"/>
    <w:rsid w:val="0062643E"/>
    <w:rsid w:val="00626D56"/>
    <w:rsid w:val="00627100"/>
    <w:rsid w:val="00627384"/>
    <w:rsid w:val="006276AF"/>
    <w:rsid w:val="00627745"/>
    <w:rsid w:val="0062791F"/>
    <w:rsid w:val="00627B83"/>
    <w:rsid w:val="00627E57"/>
    <w:rsid w:val="00631C65"/>
    <w:rsid w:val="00631E20"/>
    <w:rsid w:val="00632A22"/>
    <w:rsid w:val="00632C95"/>
    <w:rsid w:val="006332A7"/>
    <w:rsid w:val="006336AF"/>
    <w:rsid w:val="00633874"/>
    <w:rsid w:val="00633889"/>
    <w:rsid w:val="006339D0"/>
    <w:rsid w:val="00633EAA"/>
    <w:rsid w:val="006340C6"/>
    <w:rsid w:val="006341ED"/>
    <w:rsid w:val="00634454"/>
    <w:rsid w:val="0063447D"/>
    <w:rsid w:val="00634937"/>
    <w:rsid w:val="00634D37"/>
    <w:rsid w:val="00635016"/>
    <w:rsid w:val="0063506E"/>
    <w:rsid w:val="0063573E"/>
    <w:rsid w:val="00636005"/>
    <w:rsid w:val="006360B8"/>
    <w:rsid w:val="006360F9"/>
    <w:rsid w:val="00636168"/>
    <w:rsid w:val="00636241"/>
    <w:rsid w:val="006362D3"/>
    <w:rsid w:val="00636812"/>
    <w:rsid w:val="00636BBD"/>
    <w:rsid w:val="0063767F"/>
    <w:rsid w:val="00637827"/>
    <w:rsid w:val="00637D54"/>
    <w:rsid w:val="00640005"/>
    <w:rsid w:val="00640498"/>
    <w:rsid w:val="006405D7"/>
    <w:rsid w:val="00640834"/>
    <w:rsid w:val="006416F0"/>
    <w:rsid w:val="00641707"/>
    <w:rsid w:val="00641B8D"/>
    <w:rsid w:val="00641BA2"/>
    <w:rsid w:val="00642092"/>
    <w:rsid w:val="006421AD"/>
    <w:rsid w:val="0064283F"/>
    <w:rsid w:val="00642A9B"/>
    <w:rsid w:val="00642D02"/>
    <w:rsid w:val="00642EB6"/>
    <w:rsid w:val="0064301A"/>
    <w:rsid w:val="006435FD"/>
    <w:rsid w:val="00643AA2"/>
    <w:rsid w:val="00643BDB"/>
    <w:rsid w:val="00643DE7"/>
    <w:rsid w:val="00644900"/>
    <w:rsid w:val="006449E0"/>
    <w:rsid w:val="00644DFE"/>
    <w:rsid w:val="00644ED1"/>
    <w:rsid w:val="00645360"/>
    <w:rsid w:val="006455AE"/>
    <w:rsid w:val="006457D8"/>
    <w:rsid w:val="00645B7E"/>
    <w:rsid w:val="00645D75"/>
    <w:rsid w:val="00645DBA"/>
    <w:rsid w:val="006461EB"/>
    <w:rsid w:val="006467A3"/>
    <w:rsid w:val="00646CCB"/>
    <w:rsid w:val="006471E1"/>
    <w:rsid w:val="0064734F"/>
    <w:rsid w:val="006475B9"/>
    <w:rsid w:val="00647C50"/>
    <w:rsid w:val="00647D2A"/>
    <w:rsid w:val="00647D74"/>
    <w:rsid w:val="006500A7"/>
    <w:rsid w:val="00650265"/>
    <w:rsid w:val="006503F5"/>
    <w:rsid w:val="006504E2"/>
    <w:rsid w:val="00650FEF"/>
    <w:rsid w:val="006511C7"/>
    <w:rsid w:val="006512F6"/>
    <w:rsid w:val="0065169A"/>
    <w:rsid w:val="006517D6"/>
    <w:rsid w:val="0065193C"/>
    <w:rsid w:val="00652167"/>
    <w:rsid w:val="00652396"/>
    <w:rsid w:val="00652DEF"/>
    <w:rsid w:val="00653332"/>
    <w:rsid w:val="00653422"/>
    <w:rsid w:val="00653476"/>
    <w:rsid w:val="006534CF"/>
    <w:rsid w:val="0065370B"/>
    <w:rsid w:val="00653EA6"/>
    <w:rsid w:val="0065404E"/>
    <w:rsid w:val="006540D0"/>
    <w:rsid w:val="006540FC"/>
    <w:rsid w:val="006544F2"/>
    <w:rsid w:val="00654D04"/>
    <w:rsid w:val="00655518"/>
    <w:rsid w:val="00655BCB"/>
    <w:rsid w:val="00655F5B"/>
    <w:rsid w:val="0065646A"/>
    <w:rsid w:val="006565CD"/>
    <w:rsid w:val="00656770"/>
    <w:rsid w:val="00656B4A"/>
    <w:rsid w:val="00656B78"/>
    <w:rsid w:val="00657024"/>
    <w:rsid w:val="006575CD"/>
    <w:rsid w:val="006578EA"/>
    <w:rsid w:val="00657AA5"/>
    <w:rsid w:val="00657B78"/>
    <w:rsid w:val="00657C90"/>
    <w:rsid w:val="0066003A"/>
    <w:rsid w:val="00660633"/>
    <w:rsid w:val="0066082F"/>
    <w:rsid w:val="006609D4"/>
    <w:rsid w:val="00660B05"/>
    <w:rsid w:val="00660E90"/>
    <w:rsid w:val="006611BE"/>
    <w:rsid w:val="00661248"/>
    <w:rsid w:val="00661277"/>
    <w:rsid w:val="00661D96"/>
    <w:rsid w:val="00661E48"/>
    <w:rsid w:val="00662122"/>
    <w:rsid w:val="006621A9"/>
    <w:rsid w:val="006628A0"/>
    <w:rsid w:val="00662E06"/>
    <w:rsid w:val="0066382F"/>
    <w:rsid w:val="006638A6"/>
    <w:rsid w:val="00663988"/>
    <w:rsid w:val="0066433A"/>
    <w:rsid w:val="00664451"/>
    <w:rsid w:val="006645CA"/>
    <w:rsid w:val="00664AEE"/>
    <w:rsid w:val="00664B59"/>
    <w:rsid w:val="00664BEE"/>
    <w:rsid w:val="00664CBC"/>
    <w:rsid w:val="00664D95"/>
    <w:rsid w:val="0066517F"/>
    <w:rsid w:val="00665353"/>
    <w:rsid w:val="00666221"/>
    <w:rsid w:val="006665C4"/>
    <w:rsid w:val="006666CE"/>
    <w:rsid w:val="006669DB"/>
    <w:rsid w:val="00666DA4"/>
    <w:rsid w:val="006671C9"/>
    <w:rsid w:val="0066761D"/>
    <w:rsid w:val="0066762D"/>
    <w:rsid w:val="00667634"/>
    <w:rsid w:val="00667C8A"/>
    <w:rsid w:val="00667ED5"/>
    <w:rsid w:val="00670501"/>
    <w:rsid w:val="00670855"/>
    <w:rsid w:val="00670B9E"/>
    <w:rsid w:val="00670BBD"/>
    <w:rsid w:val="00670BEE"/>
    <w:rsid w:val="00670D0F"/>
    <w:rsid w:val="00670DCE"/>
    <w:rsid w:val="00670F29"/>
    <w:rsid w:val="00670F9D"/>
    <w:rsid w:val="00671601"/>
    <w:rsid w:val="006716EC"/>
    <w:rsid w:val="00672825"/>
    <w:rsid w:val="0067295B"/>
    <w:rsid w:val="00672A42"/>
    <w:rsid w:val="00672B92"/>
    <w:rsid w:val="00672DD7"/>
    <w:rsid w:val="00673041"/>
    <w:rsid w:val="00673092"/>
    <w:rsid w:val="0067398F"/>
    <w:rsid w:val="00673C4F"/>
    <w:rsid w:val="0067423D"/>
    <w:rsid w:val="00674B54"/>
    <w:rsid w:val="006751ED"/>
    <w:rsid w:val="006751F0"/>
    <w:rsid w:val="00675A29"/>
    <w:rsid w:val="00675E7A"/>
    <w:rsid w:val="00675EF9"/>
    <w:rsid w:val="00676167"/>
    <w:rsid w:val="006762C1"/>
    <w:rsid w:val="006768A0"/>
    <w:rsid w:val="00676D1E"/>
    <w:rsid w:val="00676F7A"/>
    <w:rsid w:val="0067702C"/>
    <w:rsid w:val="00677172"/>
    <w:rsid w:val="00677637"/>
    <w:rsid w:val="00677F91"/>
    <w:rsid w:val="0068009E"/>
    <w:rsid w:val="0068014B"/>
    <w:rsid w:val="006807EC"/>
    <w:rsid w:val="00680991"/>
    <w:rsid w:val="00680E0A"/>
    <w:rsid w:val="00681108"/>
    <w:rsid w:val="00681688"/>
    <w:rsid w:val="00681D9D"/>
    <w:rsid w:val="0068227D"/>
    <w:rsid w:val="006822C1"/>
    <w:rsid w:val="00682346"/>
    <w:rsid w:val="006825BB"/>
    <w:rsid w:val="00682A3E"/>
    <w:rsid w:val="00682F54"/>
    <w:rsid w:val="00683084"/>
    <w:rsid w:val="0068336A"/>
    <w:rsid w:val="00683988"/>
    <w:rsid w:val="006839C4"/>
    <w:rsid w:val="0068426D"/>
    <w:rsid w:val="0068481E"/>
    <w:rsid w:val="00684AA5"/>
    <w:rsid w:val="00684DA6"/>
    <w:rsid w:val="00684FBB"/>
    <w:rsid w:val="00685310"/>
    <w:rsid w:val="0068569E"/>
    <w:rsid w:val="00685B0A"/>
    <w:rsid w:val="00686A94"/>
    <w:rsid w:val="00686F3B"/>
    <w:rsid w:val="00687341"/>
    <w:rsid w:val="00687611"/>
    <w:rsid w:val="00687FB5"/>
    <w:rsid w:val="006902BA"/>
    <w:rsid w:val="006902EB"/>
    <w:rsid w:val="0069037C"/>
    <w:rsid w:val="00690EB0"/>
    <w:rsid w:val="006910C3"/>
    <w:rsid w:val="00691133"/>
    <w:rsid w:val="00691AD0"/>
    <w:rsid w:val="00691BCD"/>
    <w:rsid w:val="00691D8B"/>
    <w:rsid w:val="0069207C"/>
    <w:rsid w:val="00692305"/>
    <w:rsid w:val="006928BA"/>
    <w:rsid w:val="006929A8"/>
    <w:rsid w:val="00692C58"/>
    <w:rsid w:val="0069313E"/>
    <w:rsid w:val="00693C16"/>
    <w:rsid w:val="006941C5"/>
    <w:rsid w:val="006943A3"/>
    <w:rsid w:val="0069492A"/>
    <w:rsid w:val="0069495B"/>
    <w:rsid w:val="00694A7C"/>
    <w:rsid w:val="00694A90"/>
    <w:rsid w:val="00694C07"/>
    <w:rsid w:val="00694CA9"/>
    <w:rsid w:val="006951A5"/>
    <w:rsid w:val="006954B0"/>
    <w:rsid w:val="0069567D"/>
    <w:rsid w:val="00695E0E"/>
    <w:rsid w:val="00696680"/>
    <w:rsid w:val="006967E0"/>
    <w:rsid w:val="00696C25"/>
    <w:rsid w:val="00696FCD"/>
    <w:rsid w:val="0069764B"/>
    <w:rsid w:val="00697D72"/>
    <w:rsid w:val="00697DDD"/>
    <w:rsid w:val="00697F54"/>
    <w:rsid w:val="006A06A3"/>
    <w:rsid w:val="006A0A11"/>
    <w:rsid w:val="006A0C5B"/>
    <w:rsid w:val="006A0EEF"/>
    <w:rsid w:val="006A11A6"/>
    <w:rsid w:val="006A11E4"/>
    <w:rsid w:val="006A121F"/>
    <w:rsid w:val="006A1BC4"/>
    <w:rsid w:val="006A1C9C"/>
    <w:rsid w:val="006A21E5"/>
    <w:rsid w:val="006A21F4"/>
    <w:rsid w:val="006A22C1"/>
    <w:rsid w:val="006A28B6"/>
    <w:rsid w:val="006A2D65"/>
    <w:rsid w:val="006A300A"/>
    <w:rsid w:val="006A359D"/>
    <w:rsid w:val="006A36AE"/>
    <w:rsid w:val="006A38CF"/>
    <w:rsid w:val="006A3B7B"/>
    <w:rsid w:val="006A3DD4"/>
    <w:rsid w:val="006A4A8C"/>
    <w:rsid w:val="006A4F9B"/>
    <w:rsid w:val="006A5031"/>
    <w:rsid w:val="006A5658"/>
    <w:rsid w:val="006A579F"/>
    <w:rsid w:val="006A57FB"/>
    <w:rsid w:val="006A61AA"/>
    <w:rsid w:val="006A6377"/>
    <w:rsid w:val="006A6C5B"/>
    <w:rsid w:val="006A7950"/>
    <w:rsid w:val="006A7D15"/>
    <w:rsid w:val="006B03DF"/>
    <w:rsid w:val="006B0587"/>
    <w:rsid w:val="006B061A"/>
    <w:rsid w:val="006B0F57"/>
    <w:rsid w:val="006B1017"/>
    <w:rsid w:val="006B12A7"/>
    <w:rsid w:val="006B1390"/>
    <w:rsid w:val="006B1499"/>
    <w:rsid w:val="006B157C"/>
    <w:rsid w:val="006B162E"/>
    <w:rsid w:val="006B17AD"/>
    <w:rsid w:val="006B1847"/>
    <w:rsid w:val="006B19C4"/>
    <w:rsid w:val="006B1C99"/>
    <w:rsid w:val="006B1CAE"/>
    <w:rsid w:val="006B204A"/>
    <w:rsid w:val="006B2954"/>
    <w:rsid w:val="006B2A89"/>
    <w:rsid w:val="006B2EE1"/>
    <w:rsid w:val="006B3C78"/>
    <w:rsid w:val="006B40F4"/>
    <w:rsid w:val="006B4337"/>
    <w:rsid w:val="006B4774"/>
    <w:rsid w:val="006B47BE"/>
    <w:rsid w:val="006B4829"/>
    <w:rsid w:val="006B53A4"/>
    <w:rsid w:val="006B5481"/>
    <w:rsid w:val="006B59E3"/>
    <w:rsid w:val="006B5D8F"/>
    <w:rsid w:val="006B61D0"/>
    <w:rsid w:val="006B62D9"/>
    <w:rsid w:val="006B6E64"/>
    <w:rsid w:val="006B7096"/>
    <w:rsid w:val="006B767C"/>
    <w:rsid w:val="006B79CB"/>
    <w:rsid w:val="006B7F05"/>
    <w:rsid w:val="006C04E7"/>
    <w:rsid w:val="006C0656"/>
    <w:rsid w:val="006C069F"/>
    <w:rsid w:val="006C0907"/>
    <w:rsid w:val="006C10E5"/>
    <w:rsid w:val="006C1FD2"/>
    <w:rsid w:val="006C20D0"/>
    <w:rsid w:val="006C28F0"/>
    <w:rsid w:val="006C2E24"/>
    <w:rsid w:val="006C32D8"/>
    <w:rsid w:val="006C35BE"/>
    <w:rsid w:val="006C39D5"/>
    <w:rsid w:val="006C3B47"/>
    <w:rsid w:val="006C3BDD"/>
    <w:rsid w:val="006C3E21"/>
    <w:rsid w:val="006C44F0"/>
    <w:rsid w:val="006C4525"/>
    <w:rsid w:val="006C4717"/>
    <w:rsid w:val="006C5726"/>
    <w:rsid w:val="006C58DA"/>
    <w:rsid w:val="006C5B20"/>
    <w:rsid w:val="006C5DC5"/>
    <w:rsid w:val="006C607C"/>
    <w:rsid w:val="006C6147"/>
    <w:rsid w:val="006C6364"/>
    <w:rsid w:val="006C642F"/>
    <w:rsid w:val="006C647D"/>
    <w:rsid w:val="006C668E"/>
    <w:rsid w:val="006C67C5"/>
    <w:rsid w:val="006C67CF"/>
    <w:rsid w:val="006C69B2"/>
    <w:rsid w:val="006C6A64"/>
    <w:rsid w:val="006C730B"/>
    <w:rsid w:val="006C7548"/>
    <w:rsid w:val="006C7B7A"/>
    <w:rsid w:val="006C7FC1"/>
    <w:rsid w:val="006D06D3"/>
    <w:rsid w:val="006D1003"/>
    <w:rsid w:val="006D11D6"/>
    <w:rsid w:val="006D163F"/>
    <w:rsid w:val="006D17AB"/>
    <w:rsid w:val="006D17B1"/>
    <w:rsid w:val="006D209B"/>
    <w:rsid w:val="006D2420"/>
    <w:rsid w:val="006D2602"/>
    <w:rsid w:val="006D2944"/>
    <w:rsid w:val="006D2BB9"/>
    <w:rsid w:val="006D3175"/>
    <w:rsid w:val="006D3280"/>
    <w:rsid w:val="006D3472"/>
    <w:rsid w:val="006D3550"/>
    <w:rsid w:val="006D35A6"/>
    <w:rsid w:val="006D36F5"/>
    <w:rsid w:val="006D374C"/>
    <w:rsid w:val="006D3AC0"/>
    <w:rsid w:val="006D3D8F"/>
    <w:rsid w:val="006D3E5D"/>
    <w:rsid w:val="006D466B"/>
    <w:rsid w:val="006D4759"/>
    <w:rsid w:val="006D48BE"/>
    <w:rsid w:val="006D4B29"/>
    <w:rsid w:val="006D4F5A"/>
    <w:rsid w:val="006D52DC"/>
    <w:rsid w:val="006D5332"/>
    <w:rsid w:val="006D5460"/>
    <w:rsid w:val="006D54F5"/>
    <w:rsid w:val="006D5BAB"/>
    <w:rsid w:val="006D6DD3"/>
    <w:rsid w:val="006D7828"/>
    <w:rsid w:val="006D7FA2"/>
    <w:rsid w:val="006E0038"/>
    <w:rsid w:val="006E0125"/>
    <w:rsid w:val="006E0197"/>
    <w:rsid w:val="006E04C4"/>
    <w:rsid w:val="006E0CFD"/>
    <w:rsid w:val="006E1253"/>
    <w:rsid w:val="006E1338"/>
    <w:rsid w:val="006E1592"/>
    <w:rsid w:val="006E15C8"/>
    <w:rsid w:val="006E1614"/>
    <w:rsid w:val="006E1622"/>
    <w:rsid w:val="006E1BEA"/>
    <w:rsid w:val="006E1E35"/>
    <w:rsid w:val="006E2007"/>
    <w:rsid w:val="006E245B"/>
    <w:rsid w:val="006E249C"/>
    <w:rsid w:val="006E2680"/>
    <w:rsid w:val="006E2822"/>
    <w:rsid w:val="006E2A83"/>
    <w:rsid w:val="006E2E7D"/>
    <w:rsid w:val="006E3CAC"/>
    <w:rsid w:val="006E44EC"/>
    <w:rsid w:val="006E4C29"/>
    <w:rsid w:val="006E4DBD"/>
    <w:rsid w:val="006E4EA2"/>
    <w:rsid w:val="006E5545"/>
    <w:rsid w:val="006E5D4C"/>
    <w:rsid w:val="006E6041"/>
    <w:rsid w:val="006E6049"/>
    <w:rsid w:val="006E6419"/>
    <w:rsid w:val="006E695F"/>
    <w:rsid w:val="006E6ED9"/>
    <w:rsid w:val="006E719C"/>
    <w:rsid w:val="006E7271"/>
    <w:rsid w:val="006E76A3"/>
    <w:rsid w:val="006E7B09"/>
    <w:rsid w:val="006E7ED0"/>
    <w:rsid w:val="006E7FD1"/>
    <w:rsid w:val="006F0138"/>
    <w:rsid w:val="006F0480"/>
    <w:rsid w:val="006F0553"/>
    <w:rsid w:val="006F0583"/>
    <w:rsid w:val="006F0889"/>
    <w:rsid w:val="006F0DD8"/>
    <w:rsid w:val="006F10BB"/>
    <w:rsid w:val="006F127E"/>
    <w:rsid w:val="006F15F0"/>
    <w:rsid w:val="006F179F"/>
    <w:rsid w:val="006F1A7B"/>
    <w:rsid w:val="006F2133"/>
    <w:rsid w:val="006F22B9"/>
    <w:rsid w:val="006F2609"/>
    <w:rsid w:val="006F2B36"/>
    <w:rsid w:val="006F3123"/>
    <w:rsid w:val="006F32E8"/>
    <w:rsid w:val="006F34D1"/>
    <w:rsid w:val="006F446C"/>
    <w:rsid w:val="006F4BAD"/>
    <w:rsid w:val="006F4C36"/>
    <w:rsid w:val="006F4E33"/>
    <w:rsid w:val="006F51D6"/>
    <w:rsid w:val="006F5232"/>
    <w:rsid w:val="006F59AB"/>
    <w:rsid w:val="006F5B61"/>
    <w:rsid w:val="006F61CA"/>
    <w:rsid w:val="006F658F"/>
    <w:rsid w:val="006F6A40"/>
    <w:rsid w:val="006F6B5E"/>
    <w:rsid w:val="006F6BF0"/>
    <w:rsid w:val="006F6F3F"/>
    <w:rsid w:val="006F70E1"/>
    <w:rsid w:val="006F7301"/>
    <w:rsid w:val="006F7AA6"/>
    <w:rsid w:val="006F7B37"/>
    <w:rsid w:val="006F7BB6"/>
    <w:rsid w:val="00700038"/>
    <w:rsid w:val="0070050E"/>
    <w:rsid w:val="00700D7D"/>
    <w:rsid w:val="00701C61"/>
    <w:rsid w:val="00702087"/>
    <w:rsid w:val="007024B9"/>
    <w:rsid w:val="007028BD"/>
    <w:rsid w:val="00702929"/>
    <w:rsid w:val="00702C18"/>
    <w:rsid w:val="00702DC4"/>
    <w:rsid w:val="0070330F"/>
    <w:rsid w:val="00703351"/>
    <w:rsid w:val="00703D71"/>
    <w:rsid w:val="00703DCE"/>
    <w:rsid w:val="00704754"/>
    <w:rsid w:val="00704AA2"/>
    <w:rsid w:val="00704C4A"/>
    <w:rsid w:val="00704EFC"/>
    <w:rsid w:val="0070507B"/>
    <w:rsid w:val="0070543F"/>
    <w:rsid w:val="0070555E"/>
    <w:rsid w:val="00705E66"/>
    <w:rsid w:val="00706047"/>
    <w:rsid w:val="0070633E"/>
    <w:rsid w:val="00706657"/>
    <w:rsid w:val="007073F3"/>
    <w:rsid w:val="00707ABF"/>
    <w:rsid w:val="00707F9A"/>
    <w:rsid w:val="0071061B"/>
    <w:rsid w:val="00710A1C"/>
    <w:rsid w:val="00710AC1"/>
    <w:rsid w:val="00710E84"/>
    <w:rsid w:val="007111FD"/>
    <w:rsid w:val="00711290"/>
    <w:rsid w:val="00711489"/>
    <w:rsid w:val="007114B5"/>
    <w:rsid w:val="0071190A"/>
    <w:rsid w:val="00711B79"/>
    <w:rsid w:val="00711C32"/>
    <w:rsid w:val="00712386"/>
    <w:rsid w:val="0071239A"/>
    <w:rsid w:val="00712607"/>
    <w:rsid w:val="007126C3"/>
    <w:rsid w:val="007129FF"/>
    <w:rsid w:val="0071309D"/>
    <w:rsid w:val="0071314E"/>
    <w:rsid w:val="0071326B"/>
    <w:rsid w:val="00713717"/>
    <w:rsid w:val="00713CEF"/>
    <w:rsid w:val="00714233"/>
    <w:rsid w:val="007143A4"/>
    <w:rsid w:val="007147E9"/>
    <w:rsid w:val="007149EF"/>
    <w:rsid w:val="00715192"/>
    <w:rsid w:val="007152F9"/>
    <w:rsid w:val="007162D2"/>
    <w:rsid w:val="00716310"/>
    <w:rsid w:val="007165ED"/>
    <w:rsid w:val="00716F0E"/>
    <w:rsid w:val="00716F5A"/>
    <w:rsid w:val="00717404"/>
    <w:rsid w:val="00717F5C"/>
    <w:rsid w:val="007200F4"/>
    <w:rsid w:val="00720508"/>
    <w:rsid w:val="00720CFB"/>
    <w:rsid w:val="00720DBC"/>
    <w:rsid w:val="00720F9E"/>
    <w:rsid w:val="007216AD"/>
    <w:rsid w:val="00721979"/>
    <w:rsid w:val="00721C39"/>
    <w:rsid w:val="00721E0E"/>
    <w:rsid w:val="00721E59"/>
    <w:rsid w:val="00721F48"/>
    <w:rsid w:val="00721FE3"/>
    <w:rsid w:val="007222C0"/>
    <w:rsid w:val="00722492"/>
    <w:rsid w:val="00723718"/>
    <w:rsid w:val="00723804"/>
    <w:rsid w:val="007239DF"/>
    <w:rsid w:val="007239F0"/>
    <w:rsid w:val="00723A5B"/>
    <w:rsid w:val="007240B5"/>
    <w:rsid w:val="00724C16"/>
    <w:rsid w:val="00724DB0"/>
    <w:rsid w:val="00724FFA"/>
    <w:rsid w:val="0072515F"/>
    <w:rsid w:val="00725667"/>
    <w:rsid w:val="00725D10"/>
    <w:rsid w:val="007266AB"/>
    <w:rsid w:val="007266C9"/>
    <w:rsid w:val="00726F37"/>
    <w:rsid w:val="00727412"/>
    <w:rsid w:val="00727574"/>
    <w:rsid w:val="007276AA"/>
    <w:rsid w:val="00727945"/>
    <w:rsid w:val="00727D6A"/>
    <w:rsid w:val="007300AE"/>
    <w:rsid w:val="007307F0"/>
    <w:rsid w:val="007308A7"/>
    <w:rsid w:val="00730A2B"/>
    <w:rsid w:val="007313DB"/>
    <w:rsid w:val="007314D9"/>
    <w:rsid w:val="007318B3"/>
    <w:rsid w:val="00731F81"/>
    <w:rsid w:val="0073224D"/>
    <w:rsid w:val="00732821"/>
    <w:rsid w:val="00732B14"/>
    <w:rsid w:val="00732BF8"/>
    <w:rsid w:val="00732CB5"/>
    <w:rsid w:val="00732FFC"/>
    <w:rsid w:val="0073324D"/>
    <w:rsid w:val="00733251"/>
    <w:rsid w:val="00733268"/>
    <w:rsid w:val="007335E3"/>
    <w:rsid w:val="007344D8"/>
    <w:rsid w:val="007349B7"/>
    <w:rsid w:val="00734BA5"/>
    <w:rsid w:val="007352A1"/>
    <w:rsid w:val="007355BF"/>
    <w:rsid w:val="0073564E"/>
    <w:rsid w:val="00735AD3"/>
    <w:rsid w:val="00735D01"/>
    <w:rsid w:val="00736681"/>
    <w:rsid w:val="0073687D"/>
    <w:rsid w:val="00736F50"/>
    <w:rsid w:val="00737B4A"/>
    <w:rsid w:val="00737DEF"/>
    <w:rsid w:val="00740010"/>
    <w:rsid w:val="00740792"/>
    <w:rsid w:val="00740FC8"/>
    <w:rsid w:val="0074116E"/>
    <w:rsid w:val="00741435"/>
    <w:rsid w:val="00741ED9"/>
    <w:rsid w:val="007420DA"/>
    <w:rsid w:val="007428FB"/>
    <w:rsid w:val="00742B09"/>
    <w:rsid w:val="00742EEF"/>
    <w:rsid w:val="0074320A"/>
    <w:rsid w:val="0074324C"/>
    <w:rsid w:val="00743672"/>
    <w:rsid w:val="00743D92"/>
    <w:rsid w:val="0074432D"/>
    <w:rsid w:val="00744734"/>
    <w:rsid w:val="00744952"/>
    <w:rsid w:val="00744FB9"/>
    <w:rsid w:val="007452E4"/>
    <w:rsid w:val="007456E9"/>
    <w:rsid w:val="007459DD"/>
    <w:rsid w:val="00745A08"/>
    <w:rsid w:val="00745CDE"/>
    <w:rsid w:val="00745D6A"/>
    <w:rsid w:val="00745E43"/>
    <w:rsid w:val="00745EE1"/>
    <w:rsid w:val="00745F11"/>
    <w:rsid w:val="0074665A"/>
    <w:rsid w:val="00746E70"/>
    <w:rsid w:val="00747176"/>
    <w:rsid w:val="0074747A"/>
    <w:rsid w:val="00747490"/>
    <w:rsid w:val="00750192"/>
    <w:rsid w:val="007504A5"/>
    <w:rsid w:val="007505C2"/>
    <w:rsid w:val="00751158"/>
    <w:rsid w:val="007513C1"/>
    <w:rsid w:val="00751892"/>
    <w:rsid w:val="00751C2D"/>
    <w:rsid w:val="00752816"/>
    <w:rsid w:val="00752D52"/>
    <w:rsid w:val="0075322A"/>
    <w:rsid w:val="0075377E"/>
    <w:rsid w:val="00753CB8"/>
    <w:rsid w:val="007542D4"/>
    <w:rsid w:val="00754CFD"/>
    <w:rsid w:val="00754F18"/>
    <w:rsid w:val="007552AF"/>
    <w:rsid w:val="00755374"/>
    <w:rsid w:val="00755481"/>
    <w:rsid w:val="00755516"/>
    <w:rsid w:val="00755553"/>
    <w:rsid w:val="00755678"/>
    <w:rsid w:val="00755DFE"/>
    <w:rsid w:val="0075625C"/>
    <w:rsid w:val="007575DC"/>
    <w:rsid w:val="007575E8"/>
    <w:rsid w:val="007602A0"/>
    <w:rsid w:val="007604E1"/>
    <w:rsid w:val="00760725"/>
    <w:rsid w:val="00761385"/>
    <w:rsid w:val="00761730"/>
    <w:rsid w:val="0076181A"/>
    <w:rsid w:val="007619C2"/>
    <w:rsid w:val="007619DE"/>
    <w:rsid w:val="00761B35"/>
    <w:rsid w:val="00761B5A"/>
    <w:rsid w:val="0076201F"/>
    <w:rsid w:val="00762372"/>
    <w:rsid w:val="00762837"/>
    <w:rsid w:val="00762AA6"/>
    <w:rsid w:val="00762D57"/>
    <w:rsid w:val="0076318A"/>
    <w:rsid w:val="007637C1"/>
    <w:rsid w:val="0076397D"/>
    <w:rsid w:val="00763A76"/>
    <w:rsid w:val="0076416B"/>
    <w:rsid w:val="00764E4B"/>
    <w:rsid w:val="007653D8"/>
    <w:rsid w:val="00765643"/>
    <w:rsid w:val="00765708"/>
    <w:rsid w:val="00765917"/>
    <w:rsid w:val="007659BA"/>
    <w:rsid w:val="007659EB"/>
    <w:rsid w:val="00765E87"/>
    <w:rsid w:val="007660E3"/>
    <w:rsid w:val="00766384"/>
    <w:rsid w:val="007664FC"/>
    <w:rsid w:val="00766931"/>
    <w:rsid w:val="007669E5"/>
    <w:rsid w:val="00766EC6"/>
    <w:rsid w:val="00767779"/>
    <w:rsid w:val="007678A0"/>
    <w:rsid w:val="00767A1F"/>
    <w:rsid w:val="00767AE4"/>
    <w:rsid w:val="00767BBB"/>
    <w:rsid w:val="00770172"/>
    <w:rsid w:val="00770D87"/>
    <w:rsid w:val="0077105B"/>
    <w:rsid w:val="00771C67"/>
    <w:rsid w:val="00771FEF"/>
    <w:rsid w:val="0077261B"/>
    <w:rsid w:val="00772C12"/>
    <w:rsid w:val="0077321D"/>
    <w:rsid w:val="007735F8"/>
    <w:rsid w:val="00773854"/>
    <w:rsid w:val="00773DB6"/>
    <w:rsid w:val="007740A5"/>
    <w:rsid w:val="007740F7"/>
    <w:rsid w:val="0077410C"/>
    <w:rsid w:val="0077443C"/>
    <w:rsid w:val="00774746"/>
    <w:rsid w:val="00774C25"/>
    <w:rsid w:val="00774FDB"/>
    <w:rsid w:val="0077559D"/>
    <w:rsid w:val="00775AA8"/>
    <w:rsid w:val="00775B75"/>
    <w:rsid w:val="00775E64"/>
    <w:rsid w:val="00776D2B"/>
    <w:rsid w:val="00776E2C"/>
    <w:rsid w:val="007772EF"/>
    <w:rsid w:val="00777432"/>
    <w:rsid w:val="00777986"/>
    <w:rsid w:val="00777BFE"/>
    <w:rsid w:val="00780897"/>
    <w:rsid w:val="007815ED"/>
    <w:rsid w:val="0078192A"/>
    <w:rsid w:val="00781C68"/>
    <w:rsid w:val="00781E69"/>
    <w:rsid w:val="007821C1"/>
    <w:rsid w:val="00782D62"/>
    <w:rsid w:val="007838FF"/>
    <w:rsid w:val="00783EBB"/>
    <w:rsid w:val="0078438B"/>
    <w:rsid w:val="0078451D"/>
    <w:rsid w:val="00784A2B"/>
    <w:rsid w:val="00784CAD"/>
    <w:rsid w:val="00784D68"/>
    <w:rsid w:val="007851A8"/>
    <w:rsid w:val="0078531C"/>
    <w:rsid w:val="0078544D"/>
    <w:rsid w:val="00785788"/>
    <w:rsid w:val="00785862"/>
    <w:rsid w:val="0078649D"/>
    <w:rsid w:val="007864C1"/>
    <w:rsid w:val="007865A6"/>
    <w:rsid w:val="00786A09"/>
    <w:rsid w:val="00786EAA"/>
    <w:rsid w:val="007871CA"/>
    <w:rsid w:val="007874F6"/>
    <w:rsid w:val="007875EA"/>
    <w:rsid w:val="00787A69"/>
    <w:rsid w:val="00787EEF"/>
    <w:rsid w:val="0079034C"/>
    <w:rsid w:val="0079040F"/>
    <w:rsid w:val="0079062A"/>
    <w:rsid w:val="00790899"/>
    <w:rsid w:val="00791007"/>
    <w:rsid w:val="007912F9"/>
    <w:rsid w:val="00791DD8"/>
    <w:rsid w:val="00792041"/>
    <w:rsid w:val="00792444"/>
    <w:rsid w:val="007924E3"/>
    <w:rsid w:val="0079273F"/>
    <w:rsid w:val="00792899"/>
    <w:rsid w:val="00792BAF"/>
    <w:rsid w:val="00792D5D"/>
    <w:rsid w:val="007930B2"/>
    <w:rsid w:val="007930F4"/>
    <w:rsid w:val="00793975"/>
    <w:rsid w:val="007943EE"/>
    <w:rsid w:val="00794469"/>
    <w:rsid w:val="00794FE5"/>
    <w:rsid w:val="00795383"/>
    <w:rsid w:val="0079692E"/>
    <w:rsid w:val="00796942"/>
    <w:rsid w:val="00796A34"/>
    <w:rsid w:val="00796BAC"/>
    <w:rsid w:val="00797011"/>
    <w:rsid w:val="007974B5"/>
    <w:rsid w:val="00797AB1"/>
    <w:rsid w:val="00797BC8"/>
    <w:rsid w:val="00797F59"/>
    <w:rsid w:val="007A0036"/>
    <w:rsid w:val="007A0284"/>
    <w:rsid w:val="007A02BC"/>
    <w:rsid w:val="007A05D5"/>
    <w:rsid w:val="007A069F"/>
    <w:rsid w:val="007A08D1"/>
    <w:rsid w:val="007A0C74"/>
    <w:rsid w:val="007A0E8E"/>
    <w:rsid w:val="007A128E"/>
    <w:rsid w:val="007A14A3"/>
    <w:rsid w:val="007A1DCB"/>
    <w:rsid w:val="007A20B9"/>
    <w:rsid w:val="007A235A"/>
    <w:rsid w:val="007A28AB"/>
    <w:rsid w:val="007A28EC"/>
    <w:rsid w:val="007A2A3A"/>
    <w:rsid w:val="007A2D8C"/>
    <w:rsid w:val="007A34AE"/>
    <w:rsid w:val="007A35CD"/>
    <w:rsid w:val="007A3A9B"/>
    <w:rsid w:val="007A3AD9"/>
    <w:rsid w:val="007A3B98"/>
    <w:rsid w:val="007A3E1C"/>
    <w:rsid w:val="007A43DE"/>
    <w:rsid w:val="007A4682"/>
    <w:rsid w:val="007A47C1"/>
    <w:rsid w:val="007A48A3"/>
    <w:rsid w:val="007A4CC8"/>
    <w:rsid w:val="007A4DFF"/>
    <w:rsid w:val="007A54C5"/>
    <w:rsid w:val="007A56BA"/>
    <w:rsid w:val="007A5B1C"/>
    <w:rsid w:val="007A5D40"/>
    <w:rsid w:val="007A62BB"/>
    <w:rsid w:val="007A63C1"/>
    <w:rsid w:val="007A6501"/>
    <w:rsid w:val="007A65BD"/>
    <w:rsid w:val="007A67B3"/>
    <w:rsid w:val="007A6FCF"/>
    <w:rsid w:val="007A736E"/>
    <w:rsid w:val="007A77E8"/>
    <w:rsid w:val="007A7857"/>
    <w:rsid w:val="007B01E9"/>
    <w:rsid w:val="007B0265"/>
    <w:rsid w:val="007B0DAA"/>
    <w:rsid w:val="007B0EF2"/>
    <w:rsid w:val="007B10A8"/>
    <w:rsid w:val="007B1429"/>
    <w:rsid w:val="007B1811"/>
    <w:rsid w:val="007B21C2"/>
    <w:rsid w:val="007B225A"/>
    <w:rsid w:val="007B2492"/>
    <w:rsid w:val="007B2504"/>
    <w:rsid w:val="007B2F5E"/>
    <w:rsid w:val="007B32BA"/>
    <w:rsid w:val="007B3B23"/>
    <w:rsid w:val="007B4164"/>
    <w:rsid w:val="007B42CE"/>
    <w:rsid w:val="007B556F"/>
    <w:rsid w:val="007B55D6"/>
    <w:rsid w:val="007B55E8"/>
    <w:rsid w:val="007B59C2"/>
    <w:rsid w:val="007B5B27"/>
    <w:rsid w:val="007B5D6B"/>
    <w:rsid w:val="007B5F5F"/>
    <w:rsid w:val="007B63FA"/>
    <w:rsid w:val="007B6524"/>
    <w:rsid w:val="007B7166"/>
    <w:rsid w:val="007B7278"/>
    <w:rsid w:val="007B73AA"/>
    <w:rsid w:val="007B7420"/>
    <w:rsid w:val="007B79E7"/>
    <w:rsid w:val="007B79F1"/>
    <w:rsid w:val="007B7B93"/>
    <w:rsid w:val="007B7F30"/>
    <w:rsid w:val="007C04A5"/>
    <w:rsid w:val="007C07F7"/>
    <w:rsid w:val="007C0FAA"/>
    <w:rsid w:val="007C16B2"/>
    <w:rsid w:val="007C1AA6"/>
    <w:rsid w:val="007C2536"/>
    <w:rsid w:val="007C2C3F"/>
    <w:rsid w:val="007C2CAF"/>
    <w:rsid w:val="007C35C9"/>
    <w:rsid w:val="007C3A5D"/>
    <w:rsid w:val="007C3CF5"/>
    <w:rsid w:val="007C4012"/>
    <w:rsid w:val="007C4633"/>
    <w:rsid w:val="007C4CA0"/>
    <w:rsid w:val="007C4DF0"/>
    <w:rsid w:val="007C5F2F"/>
    <w:rsid w:val="007C5F78"/>
    <w:rsid w:val="007C6163"/>
    <w:rsid w:val="007C6177"/>
    <w:rsid w:val="007C65F9"/>
    <w:rsid w:val="007C7529"/>
    <w:rsid w:val="007C762F"/>
    <w:rsid w:val="007C7A1B"/>
    <w:rsid w:val="007C7C71"/>
    <w:rsid w:val="007C7CA6"/>
    <w:rsid w:val="007C7D00"/>
    <w:rsid w:val="007C7E05"/>
    <w:rsid w:val="007D01FD"/>
    <w:rsid w:val="007D0289"/>
    <w:rsid w:val="007D0382"/>
    <w:rsid w:val="007D06B1"/>
    <w:rsid w:val="007D120C"/>
    <w:rsid w:val="007D14CF"/>
    <w:rsid w:val="007D16FA"/>
    <w:rsid w:val="007D1855"/>
    <w:rsid w:val="007D193D"/>
    <w:rsid w:val="007D1EA4"/>
    <w:rsid w:val="007D2332"/>
    <w:rsid w:val="007D24BA"/>
    <w:rsid w:val="007D2579"/>
    <w:rsid w:val="007D2656"/>
    <w:rsid w:val="007D2940"/>
    <w:rsid w:val="007D2D22"/>
    <w:rsid w:val="007D3125"/>
    <w:rsid w:val="007D3B5C"/>
    <w:rsid w:val="007D3D59"/>
    <w:rsid w:val="007D415D"/>
    <w:rsid w:val="007D4266"/>
    <w:rsid w:val="007D43EC"/>
    <w:rsid w:val="007D4529"/>
    <w:rsid w:val="007D45C3"/>
    <w:rsid w:val="007D46BA"/>
    <w:rsid w:val="007D46FC"/>
    <w:rsid w:val="007D4886"/>
    <w:rsid w:val="007D4971"/>
    <w:rsid w:val="007D4ABA"/>
    <w:rsid w:val="007D4F32"/>
    <w:rsid w:val="007D5037"/>
    <w:rsid w:val="007D54B3"/>
    <w:rsid w:val="007D57E8"/>
    <w:rsid w:val="007D5C6F"/>
    <w:rsid w:val="007D5F20"/>
    <w:rsid w:val="007D6142"/>
    <w:rsid w:val="007D61F3"/>
    <w:rsid w:val="007D6740"/>
    <w:rsid w:val="007D6ACF"/>
    <w:rsid w:val="007D6BCD"/>
    <w:rsid w:val="007D702F"/>
    <w:rsid w:val="007D73D7"/>
    <w:rsid w:val="007D7D67"/>
    <w:rsid w:val="007E01ED"/>
    <w:rsid w:val="007E0D0E"/>
    <w:rsid w:val="007E1314"/>
    <w:rsid w:val="007E13FF"/>
    <w:rsid w:val="007E2120"/>
    <w:rsid w:val="007E2130"/>
    <w:rsid w:val="007E237C"/>
    <w:rsid w:val="007E260F"/>
    <w:rsid w:val="007E2FCF"/>
    <w:rsid w:val="007E33C6"/>
    <w:rsid w:val="007E3C41"/>
    <w:rsid w:val="007E3C8C"/>
    <w:rsid w:val="007E3E82"/>
    <w:rsid w:val="007E3F39"/>
    <w:rsid w:val="007E418F"/>
    <w:rsid w:val="007E44B7"/>
    <w:rsid w:val="007E47F6"/>
    <w:rsid w:val="007E5EAC"/>
    <w:rsid w:val="007E5EC6"/>
    <w:rsid w:val="007E613A"/>
    <w:rsid w:val="007E6291"/>
    <w:rsid w:val="007E6349"/>
    <w:rsid w:val="007E7408"/>
    <w:rsid w:val="007E7AE8"/>
    <w:rsid w:val="007E7C36"/>
    <w:rsid w:val="007F05D4"/>
    <w:rsid w:val="007F0E97"/>
    <w:rsid w:val="007F109F"/>
    <w:rsid w:val="007F1200"/>
    <w:rsid w:val="007F167E"/>
    <w:rsid w:val="007F16D4"/>
    <w:rsid w:val="007F1A02"/>
    <w:rsid w:val="007F2273"/>
    <w:rsid w:val="007F2285"/>
    <w:rsid w:val="007F261E"/>
    <w:rsid w:val="007F262C"/>
    <w:rsid w:val="007F2B77"/>
    <w:rsid w:val="007F3B8F"/>
    <w:rsid w:val="007F45FE"/>
    <w:rsid w:val="007F4AC8"/>
    <w:rsid w:val="007F4C18"/>
    <w:rsid w:val="007F4E4C"/>
    <w:rsid w:val="007F6156"/>
    <w:rsid w:val="007F6379"/>
    <w:rsid w:val="007F648B"/>
    <w:rsid w:val="007F6657"/>
    <w:rsid w:val="007F6805"/>
    <w:rsid w:val="007F6B57"/>
    <w:rsid w:val="007F6C13"/>
    <w:rsid w:val="007F7043"/>
    <w:rsid w:val="007F7190"/>
    <w:rsid w:val="007F72C9"/>
    <w:rsid w:val="007F744F"/>
    <w:rsid w:val="007F7A92"/>
    <w:rsid w:val="00800A3E"/>
    <w:rsid w:val="00800C44"/>
    <w:rsid w:val="00800CDA"/>
    <w:rsid w:val="00800D86"/>
    <w:rsid w:val="00800EA0"/>
    <w:rsid w:val="0080117E"/>
    <w:rsid w:val="008013C4"/>
    <w:rsid w:val="008014E9"/>
    <w:rsid w:val="0080160E"/>
    <w:rsid w:val="00801802"/>
    <w:rsid w:val="00801C6C"/>
    <w:rsid w:val="00801D40"/>
    <w:rsid w:val="00801E11"/>
    <w:rsid w:val="00801EAB"/>
    <w:rsid w:val="00802064"/>
    <w:rsid w:val="008024AA"/>
    <w:rsid w:val="00802FC4"/>
    <w:rsid w:val="008035B5"/>
    <w:rsid w:val="00803ADC"/>
    <w:rsid w:val="00803E8D"/>
    <w:rsid w:val="0080410C"/>
    <w:rsid w:val="0080446C"/>
    <w:rsid w:val="008044AA"/>
    <w:rsid w:val="008058D7"/>
    <w:rsid w:val="00805D04"/>
    <w:rsid w:val="00805E7F"/>
    <w:rsid w:val="00806081"/>
    <w:rsid w:val="0080637B"/>
    <w:rsid w:val="00806819"/>
    <w:rsid w:val="00807036"/>
    <w:rsid w:val="0080755F"/>
    <w:rsid w:val="0080760E"/>
    <w:rsid w:val="0080764B"/>
    <w:rsid w:val="008077E2"/>
    <w:rsid w:val="00807C7C"/>
    <w:rsid w:val="00810386"/>
    <w:rsid w:val="008109D0"/>
    <w:rsid w:val="008115DE"/>
    <w:rsid w:val="008118BE"/>
    <w:rsid w:val="00811CCA"/>
    <w:rsid w:val="00811EE5"/>
    <w:rsid w:val="00811EF9"/>
    <w:rsid w:val="008120EE"/>
    <w:rsid w:val="00812296"/>
    <w:rsid w:val="0081272F"/>
    <w:rsid w:val="00812A22"/>
    <w:rsid w:val="00813256"/>
    <w:rsid w:val="00813950"/>
    <w:rsid w:val="008140BB"/>
    <w:rsid w:val="00814138"/>
    <w:rsid w:val="0081419D"/>
    <w:rsid w:val="00815261"/>
    <w:rsid w:val="00815348"/>
    <w:rsid w:val="0081564B"/>
    <w:rsid w:val="0081572D"/>
    <w:rsid w:val="00815B1A"/>
    <w:rsid w:val="00815BDA"/>
    <w:rsid w:val="008162D4"/>
    <w:rsid w:val="00816332"/>
    <w:rsid w:val="008167D6"/>
    <w:rsid w:val="00816CA6"/>
    <w:rsid w:val="00816DCD"/>
    <w:rsid w:val="00816FD8"/>
    <w:rsid w:val="00816FFA"/>
    <w:rsid w:val="0081722D"/>
    <w:rsid w:val="00817513"/>
    <w:rsid w:val="00817CF6"/>
    <w:rsid w:val="00817E9A"/>
    <w:rsid w:val="00817EA6"/>
    <w:rsid w:val="00817EF0"/>
    <w:rsid w:val="008200F3"/>
    <w:rsid w:val="008203CF"/>
    <w:rsid w:val="008205DB"/>
    <w:rsid w:val="0082114F"/>
    <w:rsid w:val="008219AF"/>
    <w:rsid w:val="00821CF6"/>
    <w:rsid w:val="008222E0"/>
    <w:rsid w:val="00822D87"/>
    <w:rsid w:val="008231F9"/>
    <w:rsid w:val="0082356F"/>
    <w:rsid w:val="0082358D"/>
    <w:rsid w:val="008236D2"/>
    <w:rsid w:val="0082374B"/>
    <w:rsid w:val="00823CDA"/>
    <w:rsid w:val="00824072"/>
    <w:rsid w:val="0082413A"/>
    <w:rsid w:val="00824508"/>
    <w:rsid w:val="0082454E"/>
    <w:rsid w:val="0082518B"/>
    <w:rsid w:val="00826469"/>
    <w:rsid w:val="008264C2"/>
    <w:rsid w:val="00826C10"/>
    <w:rsid w:val="00826C96"/>
    <w:rsid w:val="00826DF0"/>
    <w:rsid w:val="008275D0"/>
    <w:rsid w:val="0082772E"/>
    <w:rsid w:val="00830052"/>
    <w:rsid w:val="00830080"/>
    <w:rsid w:val="008302CC"/>
    <w:rsid w:val="00830A0D"/>
    <w:rsid w:val="00830C70"/>
    <w:rsid w:val="008311BD"/>
    <w:rsid w:val="008315B7"/>
    <w:rsid w:val="00831779"/>
    <w:rsid w:val="00831923"/>
    <w:rsid w:val="00831A40"/>
    <w:rsid w:val="00831B61"/>
    <w:rsid w:val="00831CE6"/>
    <w:rsid w:val="00831F58"/>
    <w:rsid w:val="00832044"/>
    <w:rsid w:val="008325B8"/>
    <w:rsid w:val="008326F6"/>
    <w:rsid w:val="0083296B"/>
    <w:rsid w:val="008329A9"/>
    <w:rsid w:val="00833A9F"/>
    <w:rsid w:val="00833D24"/>
    <w:rsid w:val="00833E52"/>
    <w:rsid w:val="00833ED5"/>
    <w:rsid w:val="00834730"/>
    <w:rsid w:val="0083475D"/>
    <w:rsid w:val="008348F3"/>
    <w:rsid w:val="00834C6B"/>
    <w:rsid w:val="008351BD"/>
    <w:rsid w:val="00835CA0"/>
    <w:rsid w:val="00835D55"/>
    <w:rsid w:val="00835DE8"/>
    <w:rsid w:val="0083720E"/>
    <w:rsid w:val="008376DB"/>
    <w:rsid w:val="0083774D"/>
    <w:rsid w:val="00837B3C"/>
    <w:rsid w:val="00837E2F"/>
    <w:rsid w:val="008402F2"/>
    <w:rsid w:val="0084050F"/>
    <w:rsid w:val="00840C10"/>
    <w:rsid w:val="00840CF5"/>
    <w:rsid w:val="00840E91"/>
    <w:rsid w:val="00840F0C"/>
    <w:rsid w:val="008410BE"/>
    <w:rsid w:val="00841211"/>
    <w:rsid w:val="008413CD"/>
    <w:rsid w:val="008416DD"/>
    <w:rsid w:val="008419EA"/>
    <w:rsid w:val="00841A8D"/>
    <w:rsid w:val="008422A9"/>
    <w:rsid w:val="00842CC4"/>
    <w:rsid w:val="00842F2F"/>
    <w:rsid w:val="008438AF"/>
    <w:rsid w:val="00843B03"/>
    <w:rsid w:val="00843C94"/>
    <w:rsid w:val="00844BBD"/>
    <w:rsid w:val="00844C51"/>
    <w:rsid w:val="00845809"/>
    <w:rsid w:val="00845D05"/>
    <w:rsid w:val="008465C4"/>
    <w:rsid w:val="00846694"/>
    <w:rsid w:val="008471EB"/>
    <w:rsid w:val="00847300"/>
    <w:rsid w:val="00847436"/>
    <w:rsid w:val="00847590"/>
    <w:rsid w:val="008475A0"/>
    <w:rsid w:val="008475B5"/>
    <w:rsid w:val="0084769B"/>
    <w:rsid w:val="00847B76"/>
    <w:rsid w:val="00847E48"/>
    <w:rsid w:val="00850338"/>
    <w:rsid w:val="00850CA7"/>
    <w:rsid w:val="00850EF5"/>
    <w:rsid w:val="008517B6"/>
    <w:rsid w:val="00851F99"/>
    <w:rsid w:val="00852428"/>
    <w:rsid w:val="00852858"/>
    <w:rsid w:val="00852B24"/>
    <w:rsid w:val="00852CAE"/>
    <w:rsid w:val="00852D6D"/>
    <w:rsid w:val="00852EDF"/>
    <w:rsid w:val="00853444"/>
    <w:rsid w:val="008534E6"/>
    <w:rsid w:val="008536B8"/>
    <w:rsid w:val="008537D9"/>
    <w:rsid w:val="0085389A"/>
    <w:rsid w:val="00854075"/>
    <w:rsid w:val="008549A6"/>
    <w:rsid w:val="008549DE"/>
    <w:rsid w:val="00855A18"/>
    <w:rsid w:val="00855DD9"/>
    <w:rsid w:val="008565A6"/>
    <w:rsid w:val="00856A2D"/>
    <w:rsid w:val="00856AF6"/>
    <w:rsid w:val="00856DC4"/>
    <w:rsid w:val="0085707D"/>
    <w:rsid w:val="008572A0"/>
    <w:rsid w:val="0085730B"/>
    <w:rsid w:val="00857596"/>
    <w:rsid w:val="00857A80"/>
    <w:rsid w:val="00857A96"/>
    <w:rsid w:val="00857B28"/>
    <w:rsid w:val="00860317"/>
    <w:rsid w:val="008603FA"/>
    <w:rsid w:val="00860B89"/>
    <w:rsid w:val="0086166B"/>
    <w:rsid w:val="00861A2B"/>
    <w:rsid w:val="00861B19"/>
    <w:rsid w:val="008628EA"/>
    <w:rsid w:val="00862949"/>
    <w:rsid w:val="00862DA5"/>
    <w:rsid w:val="008639F3"/>
    <w:rsid w:val="00863DF2"/>
    <w:rsid w:val="00863FB2"/>
    <w:rsid w:val="008641C5"/>
    <w:rsid w:val="00864E63"/>
    <w:rsid w:val="00864EFD"/>
    <w:rsid w:val="0086523C"/>
    <w:rsid w:val="0086535C"/>
    <w:rsid w:val="00865C9B"/>
    <w:rsid w:val="0086624C"/>
    <w:rsid w:val="008664B3"/>
    <w:rsid w:val="0086687C"/>
    <w:rsid w:val="00866CC6"/>
    <w:rsid w:val="00866EC0"/>
    <w:rsid w:val="00867047"/>
    <w:rsid w:val="0086711E"/>
    <w:rsid w:val="0086791E"/>
    <w:rsid w:val="008679CB"/>
    <w:rsid w:val="00867EB0"/>
    <w:rsid w:val="008706AE"/>
    <w:rsid w:val="0087171C"/>
    <w:rsid w:val="008718F2"/>
    <w:rsid w:val="00871AD3"/>
    <w:rsid w:val="00872220"/>
    <w:rsid w:val="0087223E"/>
    <w:rsid w:val="008725F3"/>
    <w:rsid w:val="008726B8"/>
    <w:rsid w:val="008733E0"/>
    <w:rsid w:val="00873539"/>
    <w:rsid w:val="008737DA"/>
    <w:rsid w:val="00873827"/>
    <w:rsid w:val="0087419B"/>
    <w:rsid w:val="008743BB"/>
    <w:rsid w:val="00874644"/>
    <w:rsid w:val="00874730"/>
    <w:rsid w:val="00875C0D"/>
    <w:rsid w:val="00875EF1"/>
    <w:rsid w:val="00875FCC"/>
    <w:rsid w:val="00876025"/>
    <w:rsid w:val="008760F3"/>
    <w:rsid w:val="00876482"/>
    <w:rsid w:val="0087675C"/>
    <w:rsid w:val="00877191"/>
    <w:rsid w:val="008773F4"/>
    <w:rsid w:val="00877421"/>
    <w:rsid w:val="00877433"/>
    <w:rsid w:val="008774A9"/>
    <w:rsid w:val="008774CB"/>
    <w:rsid w:val="008779FF"/>
    <w:rsid w:val="0088039B"/>
    <w:rsid w:val="008803E8"/>
    <w:rsid w:val="00880B6F"/>
    <w:rsid w:val="0088142E"/>
    <w:rsid w:val="00881AFF"/>
    <w:rsid w:val="00881B49"/>
    <w:rsid w:val="00882366"/>
    <w:rsid w:val="0088251A"/>
    <w:rsid w:val="00882692"/>
    <w:rsid w:val="008828FA"/>
    <w:rsid w:val="00882A68"/>
    <w:rsid w:val="00882C58"/>
    <w:rsid w:val="00882FDE"/>
    <w:rsid w:val="00883035"/>
    <w:rsid w:val="008831BD"/>
    <w:rsid w:val="00883214"/>
    <w:rsid w:val="0088328C"/>
    <w:rsid w:val="008834FB"/>
    <w:rsid w:val="008835A8"/>
    <w:rsid w:val="0088374E"/>
    <w:rsid w:val="00884080"/>
    <w:rsid w:val="00884218"/>
    <w:rsid w:val="0088422E"/>
    <w:rsid w:val="0088425A"/>
    <w:rsid w:val="00884BEA"/>
    <w:rsid w:val="00884C0E"/>
    <w:rsid w:val="00884CB4"/>
    <w:rsid w:val="00884E51"/>
    <w:rsid w:val="00885CAE"/>
    <w:rsid w:val="00885E17"/>
    <w:rsid w:val="00885FC2"/>
    <w:rsid w:val="008860CC"/>
    <w:rsid w:val="00886CB7"/>
    <w:rsid w:val="008870B3"/>
    <w:rsid w:val="0088780F"/>
    <w:rsid w:val="00887A91"/>
    <w:rsid w:val="00887CEB"/>
    <w:rsid w:val="0089017C"/>
    <w:rsid w:val="008903FB"/>
    <w:rsid w:val="00890BEB"/>
    <w:rsid w:val="00891346"/>
    <w:rsid w:val="00891CDA"/>
    <w:rsid w:val="00891D6F"/>
    <w:rsid w:val="00892841"/>
    <w:rsid w:val="00892898"/>
    <w:rsid w:val="008928C6"/>
    <w:rsid w:val="008929C9"/>
    <w:rsid w:val="00892B50"/>
    <w:rsid w:val="008930A4"/>
    <w:rsid w:val="00893101"/>
    <w:rsid w:val="00893225"/>
    <w:rsid w:val="00893A94"/>
    <w:rsid w:val="00893B13"/>
    <w:rsid w:val="00893C8C"/>
    <w:rsid w:val="00894417"/>
    <w:rsid w:val="0089449E"/>
    <w:rsid w:val="0089456A"/>
    <w:rsid w:val="0089468A"/>
    <w:rsid w:val="008949EF"/>
    <w:rsid w:val="008952F3"/>
    <w:rsid w:val="0089548F"/>
    <w:rsid w:val="00895527"/>
    <w:rsid w:val="008955A8"/>
    <w:rsid w:val="00895AC7"/>
    <w:rsid w:val="00895E29"/>
    <w:rsid w:val="0089647F"/>
    <w:rsid w:val="00896AE9"/>
    <w:rsid w:val="00896D1E"/>
    <w:rsid w:val="00896FAD"/>
    <w:rsid w:val="0089786D"/>
    <w:rsid w:val="00897936"/>
    <w:rsid w:val="008A00D2"/>
    <w:rsid w:val="008A0357"/>
    <w:rsid w:val="008A03E2"/>
    <w:rsid w:val="008A08FD"/>
    <w:rsid w:val="008A1526"/>
    <w:rsid w:val="008A15DB"/>
    <w:rsid w:val="008A17A1"/>
    <w:rsid w:val="008A1977"/>
    <w:rsid w:val="008A1CA2"/>
    <w:rsid w:val="008A1D4D"/>
    <w:rsid w:val="008A1DD4"/>
    <w:rsid w:val="008A1DD5"/>
    <w:rsid w:val="008A1FDD"/>
    <w:rsid w:val="008A201A"/>
    <w:rsid w:val="008A2465"/>
    <w:rsid w:val="008A256C"/>
    <w:rsid w:val="008A2852"/>
    <w:rsid w:val="008A2AF4"/>
    <w:rsid w:val="008A2C28"/>
    <w:rsid w:val="008A2DD7"/>
    <w:rsid w:val="008A351C"/>
    <w:rsid w:val="008A3B35"/>
    <w:rsid w:val="008A40A1"/>
    <w:rsid w:val="008A4139"/>
    <w:rsid w:val="008A4323"/>
    <w:rsid w:val="008A45C1"/>
    <w:rsid w:val="008A46D1"/>
    <w:rsid w:val="008A4964"/>
    <w:rsid w:val="008A4C3C"/>
    <w:rsid w:val="008A4DF9"/>
    <w:rsid w:val="008A4E5C"/>
    <w:rsid w:val="008A517C"/>
    <w:rsid w:val="008A51D1"/>
    <w:rsid w:val="008A52C8"/>
    <w:rsid w:val="008A5AEF"/>
    <w:rsid w:val="008A5E56"/>
    <w:rsid w:val="008A63B9"/>
    <w:rsid w:val="008A70F4"/>
    <w:rsid w:val="008A7697"/>
    <w:rsid w:val="008A7745"/>
    <w:rsid w:val="008A7B18"/>
    <w:rsid w:val="008A7E9E"/>
    <w:rsid w:val="008A7EB5"/>
    <w:rsid w:val="008B0487"/>
    <w:rsid w:val="008B0646"/>
    <w:rsid w:val="008B0CB1"/>
    <w:rsid w:val="008B0EC4"/>
    <w:rsid w:val="008B18D4"/>
    <w:rsid w:val="008B1940"/>
    <w:rsid w:val="008B1E65"/>
    <w:rsid w:val="008B1FEE"/>
    <w:rsid w:val="008B23DC"/>
    <w:rsid w:val="008B2624"/>
    <w:rsid w:val="008B2817"/>
    <w:rsid w:val="008B2867"/>
    <w:rsid w:val="008B2B54"/>
    <w:rsid w:val="008B2CA0"/>
    <w:rsid w:val="008B2CB4"/>
    <w:rsid w:val="008B2DC6"/>
    <w:rsid w:val="008B307A"/>
    <w:rsid w:val="008B36AD"/>
    <w:rsid w:val="008B4358"/>
    <w:rsid w:val="008B44C4"/>
    <w:rsid w:val="008B468E"/>
    <w:rsid w:val="008B4972"/>
    <w:rsid w:val="008B512F"/>
    <w:rsid w:val="008B517D"/>
    <w:rsid w:val="008B55BE"/>
    <w:rsid w:val="008B57AA"/>
    <w:rsid w:val="008B57E8"/>
    <w:rsid w:val="008B58AF"/>
    <w:rsid w:val="008B597B"/>
    <w:rsid w:val="008B5F6C"/>
    <w:rsid w:val="008B62C9"/>
    <w:rsid w:val="008B662C"/>
    <w:rsid w:val="008B6862"/>
    <w:rsid w:val="008B6F06"/>
    <w:rsid w:val="008B70BC"/>
    <w:rsid w:val="008B7E06"/>
    <w:rsid w:val="008B7EF2"/>
    <w:rsid w:val="008C0444"/>
    <w:rsid w:val="008C0588"/>
    <w:rsid w:val="008C0F1A"/>
    <w:rsid w:val="008C102A"/>
    <w:rsid w:val="008C103B"/>
    <w:rsid w:val="008C137C"/>
    <w:rsid w:val="008C157A"/>
    <w:rsid w:val="008C179F"/>
    <w:rsid w:val="008C1B8A"/>
    <w:rsid w:val="008C1D02"/>
    <w:rsid w:val="008C1FD7"/>
    <w:rsid w:val="008C20A0"/>
    <w:rsid w:val="008C21B7"/>
    <w:rsid w:val="008C22F1"/>
    <w:rsid w:val="008C2379"/>
    <w:rsid w:val="008C2575"/>
    <w:rsid w:val="008C2661"/>
    <w:rsid w:val="008C2734"/>
    <w:rsid w:val="008C28F3"/>
    <w:rsid w:val="008C33C8"/>
    <w:rsid w:val="008C3519"/>
    <w:rsid w:val="008C377C"/>
    <w:rsid w:val="008C38C0"/>
    <w:rsid w:val="008C41AD"/>
    <w:rsid w:val="008C4550"/>
    <w:rsid w:val="008C456F"/>
    <w:rsid w:val="008C4E2E"/>
    <w:rsid w:val="008C5555"/>
    <w:rsid w:val="008C5B89"/>
    <w:rsid w:val="008C5E3C"/>
    <w:rsid w:val="008C6B23"/>
    <w:rsid w:val="008C6CE9"/>
    <w:rsid w:val="008C7013"/>
    <w:rsid w:val="008C7394"/>
    <w:rsid w:val="008C73EC"/>
    <w:rsid w:val="008C75A7"/>
    <w:rsid w:val="008C792A"/>
    <w:rsid w:val="008C7B89"/>
    <w:rsid w:val="008C7F97"/>
    <w:rsid w:val="008D01B9"/>
    <w:rsid w:val="008D03FB"/>
    <w:rsid w:val="008D055E"/>
    <w:rsid w:val="008D0D3F"/>
    <w:rsid w:val="008D0E74"/>
    <w:rsid w:val="008D146A"/>
    <w:rsid w:val="008D1809"/>
    <w:rsid w:val="008D18B0"/>
    <w:rsid w:val="008D1D76"/>
    <w:rsid w:val="008D2747"/>
    <w:rsid w:val="008D390E"/>
    <w:rsid w:val="008D3EF1"/>
    <w:rsid w:val="008D3F17"/>
    <w:rsid w:val="008D426D"/>
    <w:rsid w:val="008D4460"/>
    <w:rsid w:val="008D49CA"/>
    <w:rsid w:val="008D4D53"/>
    <w:rsid w:val="008D530E"/>
    <w:rsid w:val="008D5EF0"/>
    <w:rsid w:val="008D60EF"/>
    <w:rsid w:val="008D62ED"/>
    <w:rsid w:val="008D63BE"/>
    <w:rsid w:val="008D66EC"/>
    <w:rsid w:val="008D6A94"/>
    <w:rsid w:val="008D6B34"/>
    <w:rsid w:val="008D6DCA"/>
    <w:rsid w:val="008D6DE3"/>
    <w:rsid w:val="008D6F39"/>
    <w:rsid w:val="008D78DE"/>
    <w:rsid w:val="008E015C"/>
    <w:rsid w:val="008E01E0"/>
    <w:rsid w:val="008E02E1"/>
    <w:rsid w:val="008E0610"/>
    <w:rsid w:val="008E0717"/>
    <w:rsid w:val="008E0B8B"/>
    <w:rsid w:val="008E0C83"/>
    <w:rsid w:val="008E0CC2"/>
    <w:rsid w:val="008E0EB6"/>
    <w:rsid w:val="008E10FC"/>
    <w:rsid w:val="008E1D6F"/>
    <w:rsid w:val="008E220F"/>
    <w:rsid w:val="008E267F"/>
    <w:rsid w:val="008E27DE"/>
    <w:rsid w:val="008E299C"/>
    <w:rsid w:val="008E2BCC"/>
    <w:rsid w:val="008E3077"/>
    <w:rsid w:val="008E30CF"/>
    <w:rsid w:val="008E369E"/>
    <w:rsid w:val="008E3771"/>
    <w:rsid w:val="008E383B"/>
    <w:rsid w:val="008E3E2C"/>
    <w:rsid w:val="008E4133"/>
    <w:rsid w:val="008E433C"/>
    <w:rsid w:val="008E481B"/>
    <w:rsid w:val="008E4CCB"/>
    <w:rsid w:val="008E4FFA"/>
    <w:rsid w:val="008E577C"/>
    <w:rsid w:val="008E5887"/>
    <w:rsid w:val="008E63E0"/>
    <w:rsid w:val="008E641A"/>
    <w:rsid w:val="008E70F6"/>
    <w:rsid w:val="008E7649"/>
    <w:rsid w:val="008E77F2"/>
    <w:rsid w:val="008E7D20"/>
    <w:rsid w:val="008F0E28"/>
    <w:rsid w:val="008F0F3C"/>
    <w:rsid w:val="008F10F8"/>
    <w:rsid w:val="008F1231"/>
    <w:rsid w:val="008F1300"/>
    <w:rsid w:val="008F1563"/>
    <w:rsid w:val="008F18CA"/>
    <w:rsid w:val="008F1AB0"/>
    <w:rsid w:val="008F1EA4"/>
    <w:rsid w:val="008F2666"/>
    <w:rsid w:val="008F286E"/>
    <w:rsid w:val="008F2B09"/>
    <w:rsid w:val="008F35B5"/>
    <w:rsid w:val="008F3778"/>
    <w:rsid w:val="008F3817"/>
    <w:rsid w:val="008F4146"/>
    <w:rsid w:val="008F45BE"/>
    <w:rsid w:val="008F4B49"/>
    <w:rsid w:val="008F4BE6"/>
    <w:rsid w:val="008F5026"/>
    <w:rsid w:val="008F5345"/>
    <w:rsid w:val="008F5464"/>
    <w:rsid w:val="008F54C1"/>
    <w:rsid w:val="008F54F0"/>
    <w:rsid w:val="008F5A6E"/>
    <w:rsid w:val="008F5CE6"/>
    <w:rsid w:val="008F60D5"/>
    <w:rsid w:val="008F6214"/>
    <w:rsid w:val="008F62A1"/>
    <w:rsid w:val="008F67C4"/>
    <w:rsid w:val="008F67CF"/>
    <w:rsid w:val="008F6DBC"/>
    <w:rsid w:val="008F6EE6"/>
    <w:rsid w:val="008F71BD"/>
    <w:rsid w:val="008F7378"/>
    <w:rsid w:val="008F773C"/>
    <w:rsid w:val="008F78D6"/>
    <w:rsid w:val="008F79A0"/>
    <w:rsid w:val="0090006C"/>
    <w:rsid w:val="00900B03"/>
    <w:rsid w:val="00901145"/>
    <w:rsid w:val="00901D4A"/>
    <w:rsid w:val="0090234B"/>
    <w:rsid w:val="009023F9"/>
    <w:rsid w:val="0090266F"/>
    <w:rsid w:val="00903515"/>
    <w:rsid w:val="009035B4"/>
    <w:rsid w:val="00903BCA"/>
    <w:rsid w:val="00904598"/>
    <w:rsid w:val="0090527B"/>
    <w:rsid w:val="00905620"/>
    <w:rsid w:val="00905743"/>
    <w:rsid w:val="00905ECE"/>
    <w:rsid w:val="00906333"/>
    <w:rsid w:val="00906371"/>
    <w:rsid w:val="009067C5"/>
    <w:rsid w:val="009067ED"/>
    <w:rsid w:val="00906BCE"/>
    <w:rsid w:val="0090760B"/>
    <w:rsid w:val="00907659"/>
    <w:rsid w:val="0090785F"/>
    <w:rsid w:val="00907923"/>
    <w:rsid w:val="00907EBE"/>
    <w:rsid w:val="009101B1"/>
    <w:rsid w:val="00910393"/>
    <w:rsid w:val="0091063B"/>
    <w:rsid w:val="00911075"/>
    <w:rsid w:val="009113E6"/>
    <w:rsid w:val="0091177F"/>
    <w:rsid w:val="00911945"/>
    <w:rsid w:val="00911DAF"/>
    <w:rsid w:val="00912637"/>
    <w:rsid w:val="00912804"/>
    <w:rsid w:val="00912A27"/>
    <w:rsid w:val="00912A5B"/>
    <w:rsid w:val="00912A6C"/>
    <w:rsid w:val="00912DA6"/>
    <w:rsid w:val="00912DC5"/>
    <w:rsid w:val="009138B1"/>
    <w:rsid w:val="009139C5"/>
    <w:rsid w:val="00913CD1"/>
    <w:rsid w:val="00913D57"/>
    <w:rsid w:val="00913DE6"/>
    <w:rsid w:val="009144AF"/>
    <w:rsid w:val="009148D3"/>
    <w:rsid w:val="00914B4C"/>
    <w:rsid w:val="00915595"/>
    <w:rsid w:val="00915752"/>
    <w:rsid w:val="00915B47"/>
    <w:rsid w:val="00915D5A"/>
    <w:rsid w:val="00915E0D"/>
    <w:rsid w:val="00916472"/>
    <w:rsid w:val="0091685C"/>
    <w:rsid w:val="00916D7B"/>
    <w:rsid w:val="00916DF0"/>
    <w:rsid w:val="00916E29"/>
    <w:rsid w:val="0091705E"/>
    <w:rsid w:val="00917223"/>
    <w:rsid w:val="0092034C"/>
    <w:rsid w:val="009207E8"/>
    <w:rsid w:val="00920943"/>
    <w:rsid w:val="0092103B"/>
    <w:rsid w:val="0092105F"/>
    <w:rsid w:val="009214A4"/>
    <w:rsid w:val="0092153C"/>
    <w:rsid w:val="009215E6"/>
    <w:rsid w:val="00921E3B"/>
    <w:rsid w:val="009221D3"/>
    <w:rsid w:val="009225DB"/>
    <w:rsid w:val="0092328E"/>
    <w:rsid w:val="0092330C"/>
    <w:rsid w:val="00923568"/>
    <w:rsid w:val="009237C2"/>
    <w:rsid w:val="0092380A"/>
    <w:rsid w:val="00923902"/>
    <w:rsid w:val="009239E8"/>
    <w:rsid w:val="00923F5A"/>
    <w:rsid w:val="00924235"/>
    <w:rsid w:val="0092476E"/>
    <w:rsid w:val="00925205"/>
    <w:rsid w:val="009253D8"/>
    <w:rsid w:val="009257EF"/>
    <w:rsid w:val="00926664"/>
    <w:rsid w:val="009267EF"/>
    <w:rsid w:val="009268FC"/>
    <w:rsid w:val="00926A7D"/>
    <w:rsid w:val="00926F3B"/>
    <w:rsid w:val="009272DD"/>
    <w:rsid w:val="009278CF"/>
    <w:rsid w:val="00927921"/>
    <w:rsid w:val="009279CD"/>
    <w:rsid w:val="00927A35"/>
    <w:rsid w:val="00927C3C"/>
    <w:rsid w:val="00927E1F"/>
    <w:rsid w:val="00927EA9"/>
    <w:rsid w:val="00930096"/>
    <w:rsid w:val="00930D87"/>
    <w:rsid w:val="00931089"/>
    <w:rsid w:val="0093111B"/>
    <w:rsid w:val="0093178B"/>
    <w:rsid w:val="0093218B"/>
    <w:rsid w:val="00932612"/>
    <w:rsid w:val="0093266A"/>
    <w:rsid w:val="0093278B"/>
    <w:rsid w:val="00932822"/>
    <w:rsid w:val="00932828"/>
    <w:rsid w:val="009332E8"/>
    <w:rsid w:val="00933575"/>
    <w:rsid w:val="009338F8"/>
    <w:rsid w:val="00933B3A"/>
    <w:rsid w:val="00933DEB"/>
    <w:rsid w:val="00933EF0"/>
    <w:rsid w:val="009346B6"/>
    <w:rsid w:val="009348D9"/>
    <w:rsid w:val="00934C4D"/>
    <w:rsid w:val="00934C4F"/>
    <w:rsid w:val="009350C6"/>
    <w:rsid w:val="00935349"/>
    <w:rsid w:val="009353FA"/>
    <w:rsid w:val="009354D9"/>
    <w:rsid w:val="00935FEA"/>
    <w:rsid w:val="009365A5"/>
    <w:rsid w:val="00936F59"/>
    <w:rsid w:val="009370CE"/>
    <w:rsid w:val="00937272"/>
    <w:rsid w:val="00937317"/>
    <w:rsid w:val="009377C0"/>
    <w:rsid w:val="00937A99"/>
    <w:rsid w:val="009400BF"/>
    <w:rsid w:val="009409B6"/>
    <w:rsid w:val="00940B15"/>
    <w:rsid w:val="00940ED8"/>
    <w:rsid w:val="00941464"/>
    <w:rsid w:val="009414D7"/>
    <w:rsid w:val="009419CD"/>
    <w:rsid w:val="00941CB7"/>
    <w:rsid w:val="00942428"/>
    <w:rsid w:val="009429C4"/>
    <w:rsid w:val="00942C22"/>
    <w:rsid w:val="00942D96"/>
    <w:rsid w:val="00943159"/>
    <w:rsid w:val="009434B9"/>
    <w:rsid w:val="009434CE"/>
    <w:rsid w:val="009435BC"/>
    <w:rsid w:val="00943BC3"/>
    <w:rsid w:val="009444C2"/>
    <w:rsid w:val="00944673"/>
    <w:rsid w:val="00944751"/>
    <w:rsid w:val="009447E3"/>
    <w:rsid w:val="00944A91"/>
    <w:rsid w:val="0094500A"/>
    <w:rsid w:val="0094597B"/>
    <w:rsid w:val="00945F66"/>
    <w:rsid w:val="009462F5"/>
    <w:rsid w:val="0094635A"/>
    <w:rsid w:val="00946462"/>
    <w:rsid w:val="00946606"/>
    <w:rsid w:val="0094682C"/>
    <w:rsid w:val="009470DE"/>
    <w:rsid w:val="00947464"/>
    <w:rsid w:val="00947777"/>
    <w:rsid w:val="00947907"/>
    <w:rsid w:val="00947A68"/>
    <w:rsid w:val="00947D22"/>
    <w:rsid w:val="00950670"/>
    <w:rsid w:val="00952349"/>
    <w:rsid w:val="009529A0"/>
    <w:rsid w:val="00952E84"/>
    <w:rsid w:val="009530AE"/>
    <w:rsid w:val="00953574"/>
    <w:rsid w:val="0095371E"/>
    <w:rsid w:val="00953A30"/>
    <w:rsid w:val="0095418D"/>
    <w:rsid w:val="009543FF"/>
    <w:rsid w:val="00954A20"/>
    <w:rsid w:val="009551A2"/>
    <w:rsid w:val="009554F2"/>
    <w:rsid w:val="0095563D"/>
    <w:rsid w:val="0095568E"/>
    <w:rsid w:val="00955C65"/>
    <w:rsid w:val="00955E81"/>
    <w:rsid w:val="009564D1"/>
    <w:rsid w:val="00957622"/>
    <w:rsid w:val="00957CF8"/>
    <w:rsid w:val="00957EC2"/>
    <w:rsid w:val="0096028C"/>
    <w:rsid w:val="00960563"/>
    <w:rsid w:val="00960791"/>
    <w:rsid w:val="00960A3D"/>
    <w:rsid w:val="00960EA8"/>
    <w:rsid w:val="00960FA5"/>
    <w:rsid w:val="00961218"/>
    <w:rsid w:val="009613C1"/>
    <w:rsid w:val="009614F1"/>
    <w:rsid w:val="0096165E"/>
    <w:rsid w:val="009616E2"/>
    <w:rsid w:val="00961B9C"/>
    <w:rsid w:val="009622F3"/>
    <w:rsid w:val="00962304"/>
    <w:rsid w:val="00962B6C"/>
    <w:rsid w:val="0096301A"/>
    <w:rsid w:val="0096313F"/>
    <w:rsid w:val="00963479"/>
    <w:rsid w:val="00964337"/>
    <w:rsid w:val="00964389"/>
    <w:rsid w:val="00964467"/>
    <w:rsid w:val="009650EF"/>
    <w:rsid w:val="00965331"/>
    <w:rsid w:val="00966052"/>
    <w:rsid w:val="009661D0"/>
    <w:rsid w:val="00966C36"/>
    <w:rsid w:val="00967139"/>
    <w:rsid w:val="0096727A"/>
    <w:rsid w:val="00967773"/>
    <w:rsid w:val="0096781B"/>
    <w:rsid w:val="00967D09"/>
    <w:rsid w:val="00970377"/>
    <w:rsid w:val="00970392"/>
    <w:rsid w:val="00970FC6"/>
    <w:rsid w:val="0097157E"/>
    <w:rsid w:val="00971A21"/>
    <w:rsid w:val="00972054"/>
    <w:rsid w:val="00972C44"/>
    <w:rsid w:val="009733AE"/>
    <w:rsid w:val="00973545"/>
    <w:rsid w:val="00973CBA"/>
    <w:rsid w:val="00973F8E"/>
    <w:rsid w:val="0097465C"/>
    <w:rsid w:val="009746F4"/>
    <w:rsid w:val="00975A9A"/>
    <w:rsid w:val="0097673A"/>
    <w:rsid w:val="00976F7F"/>
    <w:rsid w:val="009770B0"/>
    <w:rsid w:val="009770CC"/>
    <w:rsid w:val="00977ABA"/>
    <w:rsid w:val="00980128"/>
    <w:rsid w:val="009801FC"/>
    <w:rsid w:val="0098098C"/>
    <w:rsid w:val="00980EBD"/>
    <w:rsid w:val="00981139"/>
    <w:rsid w:val="009826D9"/>
    <w:rsid w:val="00983533"/>
    <w:rsid w:val="0098373B"/>
    <w:rsid w:val="0098393E"/>
    <w:rsid w:val="00983943"/>
    <w:rsid w:val="00983BF4"/>
    <w:rsid w:val="00983EBA"/>
    <w:rsid w:val="00983F8E"/>
    <w:rsid w:val="00984696"/>
    <w:rsid w:val="009846F6"/>
    <w:rsid w:val="00984892"/>
    <w:rsid w:val="00984D31"/>
    <w:rsid w:val="00984D7A"/>
    <w:rsid w:val="00984EE1"/>
    <w:rsid w:val="00984F46"/>
    <w:rsid w:val="009850B8"/>
    <w:rsid w:val="00985C15"/>
    <w:rsid w:val="00985F89"/>
    <w:rsid w:val="00986457"/>
    <w:rsid w:val="00986530"/>
    <w:rsid w:val="00986A78"/>
    <w:rsid w:val="00987332"/>
    <w:rsid w:val="0098777E"/>
    <w:rsid w:val="00987B7F"/>
    <w:rsid w:val="00987C13"/>
    <w:rsid w:val="0099008A"/>
    <w:rsid w:val="00990411"/>
    <w:rsid w:val="00990413"/>
    <w:rsid w:val="009906A4"/>
    <w:rsid w:val="00990EE0"/>
    <w:rsid w:val="00990FC4"/>
    <w:rsid w:val="009911FD"/>
    <w:rsid w:val="0099178E"/>
    <w:rsid w:val="00991CCA"/>
    <w:rsid w:val="00992C96"/>
    <w:rsid w:val="00993226"/>
    <w:rsid w:val="0099322F"/>
    <w:rsid w:val="00993A68"/>
    <w:rsid w:val="00993DE6"/>
    <w:rsid w:val="009945B3"/>
    <w:rsid w:val="00994831"/>
    <w:rsid w:val="00994CC6"/>
    <w:rsid w:val="00995180"/>
    <w:rsid w:val="00995427"/>
    <w:rsid w:val="0099549A"/>
    <w:rsid w:val="00995CEA"/>
    <w:rsid w:val="00995D5B"/>
    <w:rsid w:val="00995F52"/>
    <w:rsid w:val="009964BA"/>
    <w:rsid w:val="0099653D"/>
    <w:rsid w:val="009967CC"/>
    <w:rsid w:val="00996DE6"/>
    <w:rsid w:val="00997235"/>
    <w:rsid w:val="00997540"/>
    <w:rsid w:val="009976BD"/>
    <w:rsid w:val="00997F4F"/>
    <w:rsid w:val="009A09B7"/>
    <w:rsid w:val="009A0ECF"/>
    <w:rsid w:val="009A1119"/>
    <w:rsid w:val="009A1369"/>
    <w:rsid w:val="009A1547"/>
    <w:rsid w:val="009A177E"/>
    <w:rsid w:val="009A1A84"/>
    <w:rsid w:val="009A28BA"/>
    <w:rsid w:val="009A2FDC"/>
    <w:rsid w:val="009A35B0"/>
    <w:rsid w:val="009A35CA"/>
    <w:rsid w:val="009A4096"/>
    <w:rsid w:val="009A4B84"/>
    <w:rsid w:val="009A4E1D"/>
    <w:rsid w:val="009A5151"/>
    <w:rsid w:val="009A58B0"/>
    <w:rsid w:val="009A5D7A"/>
    <w:rsid w:val="009A5F87"/>
    <w:rsid w:val="009A5F8E"/>
    <w:rsid w:val="009A62F4"/>
    <w:rsid w:val="009A6C43"/>
    <w:rsid w:val="009A6F6B"/>
    <w:rsid w:val="009A6FFE"/>
    <w:rsid w:val="009A774C"/>
    <w:rsid w:val="009A7C0B"/>
    <w:rsid w:val="009A7CE0"/>
    <w:rsid w:val="009A7CFC"/>
    <w:rsid w:val="009B008F"/>
    <w:rsid w:val="009B0233"/>
    <w:rsid w:val="009B043E"/>
    <w:rsid w:val="009B06CF"/>
    <w:rsid w:val="009B0B9C"/>
    <w:rsid w:val="009B0BCE"/>
    <w:rsid w:val="009B0BD8"/>
    <w:rsid w:val="009B0BF5"/>
    <w:rsid w:val="009B1134"/>
    <w:rsid w:val="009B1990"/>
    <w:rsid w:val="009B377B"/>
    <w:rsid w:val="009B3A98"/>
    <w:rsid w:val="009B3D5F"/>
    <w:rsid w:val="009B446F"/>
    <w:rsid w:val="009B4F17"/>
    <w:rsid w:val="009B4F9E"/>
    <w:rsid w:val="009B4FE5"/>
    <w:rsid w:val="009B5A8F"/>
    <w:rsid w:val="009B5D53"/>
    <w:rsid w:val="009B6113"/>
    <w:rsid w:val="009B6501"/>
    <w:rsid w:val="009B6C22"/>
    <w:rsid w:val="009B6EFC"/>
    <w:rsid w:val="009B73AE"/>
    <w:rsid w:val="009B7771"/>
    <w:rsid w:val="009B78A4"/>
    <w:rsid w:val="009B7E53"/>
    <w:rsid w:val="009B7F61"/>
    <w:rsid w:val="009C015B"/>
    <w:rsid w:val="009C01BD"/>
    <w:rsid w:val="009C01DD"/>
    <w:rsid w:val="009C06CE"/>
    <w:rsid w:val="009C1390"/>
    <w:rsid w:val="009C15E8"/>
    <w:rsid w:val="009C16CD"/>
    <w:rsid w:val="009C17E5"/>
    <w:rsid w:val="009C1A1A"/>
    <w:rsid w:val="009C22D6"/>
    <w:rsid w:val="009C2581"/>
    <w:rsid w:val="009C28A4"/>
    <w:rsid w:val="009C2B38"/>
    <w:rsid w:val="009C30CF"/>
    <w:rsid w:val="009C3444"/>
    <w:rsid w:val="009C385C"/>
    <w:rsid w:val="009C3C1A"/>
    <w:rsid w:val="009C4096"/>
    <w:rsid w:val="009C4947"/>
    <w:rsid w:val="009C4C59"/>
    <w:rsid w:val="009C5383"/>
    <w:rsid w:val="009C539A"/>
    <w:rsid w:val="009C53D5"/>
    <w:rsid w:val="009C5643"/>
    <w:rsid w:val="009C5B64"/>
    <w:rsid w:val="009C5E7B"/>
    <w:rsid w:val="009C6040"/>
    <w:rsid w:val="009C6BF6"/>
    <w:rsid w:val="009C6C0E"/>
    <w:rsid w:val="009C6C69"/>
    <w:rsid w:val="009C6D9F"/>
    <w:rsid w:val="009C7264"/>
    <w:rsid w:val="009C72FB"/>
    <w:rsid w:val="009C7783"/>
    <w:rsid w:val="009C7897"/>
    <w:rsid w:val="009C7BC8"/>
    <w:rsid w:val="009D032A"/>
    <w:rsid w:val="009D04C7"/>
    <w:rsid w:val="009D05F9"/>
    <w:rsid w:val="009D08B1"/>
    <w:rsid w:val="009D0ADE"/>
    <w:rsid w:val="009D0B13"/>
    <w:rsid w:val="009D20E0"/>
    <w:rsid w:val="009D315F"/>
    <w:rsid w:val="009D32C7"/>
    <w:rsid w:val="009D33C3"/>
    <w:rsid w:val="009D3A1D"/>
    <w:rsid w:val="009D3FF3"/>
    <w:rsid w:val="009D424A"/>
    <w:rsid w:val="009D460C"/>
    <w:rsid w:val="009D471A"/>
    <w:rsid w:val="009D4D91"/>
    <w:rsid w:val="009D4EFF"/>
    <w:rsid w:val="009D4FFC"/>
    <w:rsid w:val="009D5361"/>
    <w:rsid w:val="009D564A"/>
    <w:rsid w:val="009D641B"/>
    <w:rsid w:val="009D67EF"/>
    <w:rsid w:val="009D6D1E"/>
    <w:rsid w:val="009D6E84"/>
    <w:rsid w:val="009D73F2"/>
    <w:rsid w:val="009D7B22"/>
    <w:rsid w:val="009D7E09"/>
    <w:rsid w:val="009E00C8"/>
    <w:rsid w:val="009E04D4"/>
    <w:rsid w:val="009E0708"/>
    <w:rsid w:val="009E095D"/>
    <w:rsid w:val="009E100C"/>
    <w:rsid w:val="009E1296"/>
    <w:rsid w:val="009E1888"/>
    <w:rsid w:val="009E19E0"/>
    <w:rsid w:val="009E1E01"/>
    <w:rsid w:val="009E22FD"/>
    <w:rsid w:val="009E2416"/>
    <w:rsid w:val="009E2AC9"/>
    <w:rsid w:val="009E2B1B"/>
    <w:rsid w:val="009E2FF5"/>
    <w:rsid w:val="009E3D4A"/>
    <w:rsid w:val="009E4841"/>
    <w:rsid w:val="009E4D8C"/>
    <w:rsid w:val="009E4FC9"/>
    <w:rsid w:val="009E561F"/>
    <w:rsid w:val="009E6502"/>
    <w:rsid w:val="009E655A"/>
    <w:rsid w:val="009E6EA2"/>
    <w:rsid w:val="009E79A0"/>
    <w:rsid w:val="009E7ABF"/>
    <w:rsid w:val="009F000F"/>
    <w:rsid w:val="009F0146"/>
    <w:rsid w:val="009F1934"/>
    <w:rsid w:val="009F1B0D"/>
    <w:rsid w:val="009F1F30"/>
    <w:rsid w:val="009F224F"/>
    <w:rsid w:val="009F2467"/>
    <w:rsid w:val="009F2A02"/>
    <w:rsid w:val="009F2A77"/>
    <w:rsid w:val="009F3414"/>
    <w:rsid w:val="009F368A"/>
    <w:rsid w:val="009F3D2F"/>
    <w:rsid w:val="009F3FBC"/>
    <w:rsid w:val="009F446F"/>
    <w:rsid w:val="009F4515"/>
    <w:rsid w:val="009F4BB8"/>
    <w:rsid w:val="009F5231"/>
    <w:rsid w:val="009F587F"/>
    <w:rsid w:val="009F59B1"/>
    <w:rsid w:val="009F5CDC"/>
    <w:rsid w:val="009F5D43"/>
    <w:rsid w:val="009F6020"/>
    <w:rsid w:val="009F6877"/>
    <w:rsid w:val="009F6893"/>
    <w:rsid w:val="009F6DAD"/>
    <w:rsid w:val="009F6FCB"/>
    <w:rsid w:val="009F70F9"/>
    <w:rsid w:val="009F7710"/>
    <w:rsid w:val="009F7CAC"/>
    <w:rsid w:val="00A002FD"/>
    <w:rsid w:val="00A0046D"/>
    <w:rsid w:val="00A01161"/>
    <w:rsid w:val="00A012BB"/>
    <w:rsid w:val="00A014C3"/>
    <w:rsid w:val="00A0171C"/>
    <w:rsid w:val="00A01A51"/>
    <w:rsid w:val="00A01A6F"/>
    <w:rsid w:val="00A0260A"/>
    <w:rsid w:val="00A0268A"/>
    <w:rsid w:val="00A02AE2"/>
    <w:rsid w:val="00A032D3"/>
    <w:rsid w:val="00A038CC"/>
    <w:rsid w:val="00A044A1"/>
    <w:rsid w:val="00A05136"/>
    <w:rsid w:val="00A05F06"/>
    <w:rsid w:val="00A06219"/>
    <w:rsid w:val="00A0757A"/>
    <w:rsid w:val="00A075A3"/>
    <w:rsid w:val="00A0763F"/>
    <w:rsid w:val="00A07AB9"/>
    <w:rsid w:val="00A07AE9"/>
    <w:rsid w:val="00A07B29"/>
    <w:rsid w:val="00A1024C"/>
    <w:rsid w:val="00A102B1"/>
    <w:rsid w:val="00A1070C"/>
    <w:rsid w:val="00A1096A"/>
    <w:rsid w:val="00A109A0"/>
    <w:rsid w:val="00A10E5C"/>
    <w:rsid w:val="00A11547"/>
    <w:rsid w:val="00A115E1"/>
    <w:rsid w:val="00A11911"/>
    <w:rsid w:val="00A11A8E"/>
    <w:rsid w:val="00A11DBB"/>
    <w:rsid w:val="00A12169"/>
    <w:rsid w:val="00A122B0"/>
    <w:rsid w:val="00A122BF"/>
    <w:rsid w:val="00A12FAC"/>
    <w:rsid w:val="00A1321B"/>
    <w:rsid w:val="00A133FF"/>
    <w:rsid w:val="00A1393D"/>
    <w:rsid w:val="00A13CA8"/>
    <w:rsid w:val="00A13E0A"/>
    <w:rsid w:val="00A13FEF"/>
    <w:rsid w:val="00A14012"/>
    <w:rsid w:val="00A147EB"/>
    <w:rsid w:val="00A14992"/>
    <w:rsid w:val="00A14D22"/>
    <w:rsid w:val="00A14D61"/>
    <w:rsid w:val="00A14DF6"/>
    <w:rsid w:val="00A15137"/>
    <w:rsid w:val="00A1576A"/>
    <w:rsid w:val="00A157AC"/>
    <w:rsid w:val="00A158D2"/>
    <w:rsid w:val="00A1660B"/>
    <w:rsid w:val="00A16640"/>
    <w:rsid w:val="00A16855"/>
    <w:rsid w:val="00A168F1"/>
    <w:rsid w:val="00A169B3"/>
    <w:rsid w:val="00A17464"/>
    <w:rsid w:val="00A1783D"/>
    <w:rsid w:val="00A178DB"/>
    <w:rsid w:val="00A2001F"/>
    <w:rsid w:val="00A20098"/>
    <w:rsid w:val="00A200FD"/>
    <w:rsid w:val="00A206A9"/>
    <w:rsid w:val="00A20828"/>
    <w:rsid w:val="00A20D6C"/>
    <w:rsid w:val="00A21058"/>
    <w:rsid w:val="00A21148"/>
    <w:rsid w:val="00A21583"/>
    <w:rsid w:val="00A219FD"/>
    <w:rsid w:val="00A21D83"/>
    <w:rsid w:val="00A2205A"/>
    <w:rsid w:val="00A2239A"/>
    <w:rsid w:val="00A22F58"/>
    <w:rsid w:val="00A23263"/>
    <w:rsid w:val="00A23358"/>
    <w:rsid w:val="00A2369F"/>
    <w:rsid w:val="00A23A9F"/>
    <w:rsid w:val="00A24335"/>
    <w:rsid w:val="00A245B0"/>
    <w:rsid w:val="00A247C5"/>
    <w:rsid w:val="00A24BBA"/>
    <w:rsid w:val="00A24CB8"/>
    <w:rsid w:val="00A24E81"/>
    <w:rsid w:val="00A24F45"/>
    <w:rsid w:val="00A252AE"/>
    <w:rsid w:val="00A253AC"/>
    <w:rsid w:val="00A257D1"/>
    <w:rsid w:val="00A25DEF"/>
    <w:rsid w:val="00A26093"/>
    <w:rsid w:val="00A26170"/>
    <w:rsid w:val="00A26177"/>
    <w:rsid w:val="00A26323"/>
    <w:rsid w:val="00A263EB"/>
    <w:rsid w:val="00A26A18"/>
    <w:rsid w:val="00A26A4C"/>
    <w:rsid w:val="00A2709E"/>
    <w:rsid w:val="00A27142"/>
    <w:rsid w:val="00A2752C"/>
    <w:rsid w:val="00A27792"/>
    <w:rsid w:val="00A27896"/>
    <w:rsid w:val="00A30290"/>
    <w:rsid w:val="00A3053B"/>
    <w:rsid w:val="00A30613"/>
    <w:rsid w:val="00A30AA2"/>
    <w:rsid w:val="00A31DBF"/>
    <w:rsid w:val="00A31E63"/>
    <w:rsid w:val="00A32465"/>
    <w:rsid w:val="00A32625"/>
    <w:rsid w:val="00A331C8"/>
    <w:rsid w:val="00A3330A"/>
    <w:rsid w:val="00A3374E"/>
    <w:rsid w:val="00A337C0"/>
    <w:rsid w:val="00A33B0C"/>
    <w:rsid w:val="00A33BD1"/>
    <w:rsid w:val="00A33FED"/>
    <w:rsid w:val="00A3414F"/>
    <w:rsid w:val="00A348A3"/>
    <w:rsid w:val="00A3499F"/>
    <w:rsid w:val="00A3558D"/>
    <w:rsid w:val="00A35BDE"/>
    <w:rsid w:val="00A35E05"/>
    <w:rsid w:val="00A35E90"/>
    <w:rsid w:val="00A35F5A"/>
    <w:rsid w:val="00A35FE9"/>
    <w:rsid w:val="00A369EF"/>
    <w:rsid w:val="00A37007"/>
    <w:rsid w:val="00A37866"/>
    <w:rsid w:val="00A37999"/>
    <w:rsid w:val="00A379C7"/>
    <w:rsid w:val="00A37C7C"/>
    <w:rsid w:val="00A408C8"/>
    <w:rsid w:val="00A40BAA"/>
    <w:rsid w:val="00A40F85"/>
    <w:rsid w:val="00A40F94"/>
    <w:rsid w:val="00A41924"/>
    <w:rsid w:val="00A41A3C"/>
    <w:rsid w:val="00A423B0"/>
    <w:rsid w:val="00A42667"/>
    <w:rsid w:val="00A42F5B"/>
    <w:rsid w:val="00A431BA"/>
    <w:rsid w:val="00A43499"/>
    <w:rsid w:val="00A43EC7"/>
    <w:rsid w:val="00A44216"/>
    <w:rsid w:val="00A44409"/>
    <w:rsid w:val="00A4457E"/>
    <w:rsid w:val="00A44871"/>
    <w:rsid w:val="00A44E6D"/>
    <w:rsid w:val="00A45015"/>
    <w:rsid w:val="00A4505B"/>
    <w:rsid w:val="00A4537B"/>
    <w:rsid w:val="00A453B0"/>
    <w:rsid w:val="00A454FC"/>
    <w:rsid w:val="00A4565F"/>
    <w:rsid w:val="00A45846"/>
    <w:rsid w:val="00A45EF0"/>
    <w:rsid w:val="00A45F6E"/>
    <w:rsid w:val="00A46195"/>
    <w:rsid w:val="00A46A4C"/>
    <w:rsid w:val="00A46E0B"/>
    <w:rsid w:val="00A4766A"/>
    <w:rsid w:val="00A502BA"/>
    <w:rsid w:val="00A50371"/>
    <w:rsid w:val="00A505C0"/>
    <w:rsid w:val="00A5060F"/>
    <w:rsid w:val="00A50660"/>
    <w:rsid w:val="00A50681"/>
    <w:rsid w:val="00A5082F"/>
    <w:rsid w:val="00A508DC"/>
    <w:rsid w:val="00A510DE"/>
    <w:rsid w:val="00A51B2A"/>
    <w:rsid w:val="00A51B53"/>
    <w:rsid w:val="00A521C1"/>
    <w:rsid w:val="00A522B0"/>
    <w:rsid w:val="00A5235B"/>
    <w:rsid w:val="00A52966"/>
    <w:rsid w:val="00A52B98"/>
    <w:rsid w:val="00A5372B"/>
    <w:rsid w:val="00A545BF"/>
    <w:rsid w:val="00A54B50"/>
    <w:rsid w:val="00A54D6B"/>
    <w:rsid w:val="00A550B8"/>
    <w:rsid w:val="00A55A10"/>
    <w:rsid w:val="00A55DC8"/>
    <w:rsid w:val="00A55ED3"/>
    <w:rsid w:val="00A5632B"/>
    <w:rsid w:val="00A563D3"/>
    <w:rsid w:val="00A56579"/>
    <w:rsid w:val="00A56726"/>
    <w:rsid w:val="00A56765"/>
    <w:rsid w:val="00A56AC5"/>
    <w:rsid w:val="00A574F0"/>
    <w:rsid w:val="00A57755"/>
    <w:rsid w:val="00A57B63"/>
    <w:rsid w:val="00A57BA9"/>
    <w:rsid w:val="00A60132"/>
    <w:rsid w:val="00A60939"/>
    <w:rsid w:val="00A60A0F"/>
    <w:rsid w:val="00A60A69"/>
    <w:rsid w:val="00A617E7"/>
    <w:rsid w:val="00A619F3"/>
    <w:rsid w:val="00A61DC9"/>
    <w:rsid w:val="00A61F1E"/>
    <w:rsid w:val="00A61F43"/>
    <w:rsid w:val="00A62ED1"/>
    <w:rsid w:val="00A633E0"/>
    <w:rsid w:val="00A63601"/>
    <w:rsid w:val="00A63B2D"/>
    <w:rsid w:val="00A63D29"/>
    <w:rsid w:val="00A6404F"/>
    <w:rsid w:val="00A640B5"/>
    <w:rsid w:val="00A64426"/>
    <w:rsid w:val="00A64468"/>
    <w:rsid w:val="00A64728"/>
    <w:rsid w:val="00A64904"/>
    <w:rsid w:val="00A64C1C"/>
    <w:rsid w:val="00A64CBA"/>
    <w:rsid w:val="00A64E4E"/>
    <w:rsid w:val="00A659D8"/>
    <w:rsid w:val="00A65AFA"/>
    <w:rsid w:val="00A65B38"/>
    <w:rsid w:val="00A65E89"/>
    <w:rsid w:val="00A66603"/>
    <w:rsid w:val="00A66D4C"/>
    <w:rsid w:val="00A67379"/>
    <w:rsid w:val="00A67676"/>
    <w:rsid w:val="00A67BCA"/>
    <w:rsid w:val="00A67CCE"/>
    <w:rsid w:val="00A70EBC"/>
    <w:rsid w:val="00A70FE3"/>
    <w:rsid w:val="00A710D0"/>
    <w:rsid w:val="00A7118D"/>
    <w:rsid w:val="00A71339"/>
    <w:rsid w:val="00A7135B"/>
    <w:rsid w:val="00A71759"/>
    <w:rsid w:val="00A71A83"/>
    <w:rsid w:val="00A72091"/>
    <w:rsid w:val="00A723BF"/>
    <w:rsid w:val="00A72469"/>
    <w:rsid w:val="00A72829"/>
    <w:rsid w:val="00A72BFA"/>
    <w:rsid w:val="00A72CAF"/>
    <w:rsid w:val="00A730EA"/>
    <w:rsid w:val="00A73139"/>
    <w:rsid w:val="00A7374F"/>
    <w:rsid w:val="00A73894"/>
    <w:rsid w:val="00A73993"/>
    <w:rsid w:val="00A73BB9"/>
    <w:rsid w:val="00A73F82"/>
    <w:rsid w:val="00A742B1"/>
    <w:rsid w:val="00A74CDF"/>
    <w:rsid w:val="00A75408"/>
    <w:rsid w:val="00A75598"/>
    <w:rsid w:val="00A756D0"/>
    <w:rsid w:val="00A75BCB"/>
    <w:rsid w:val="00A75CC3"/>
    <w:rsid w:val="00A75F1D"/>
    <w:rsid w:val="00A75F8C"/>
    <w:rsid w:val="00A761CF"/>
    <w:rsid w:val="00A7631D"/>
    <w:rsid w:val="00A7667E"/>
    <w:rsid w:val="00A76D19"/>
    <w:rsid w:val="00A775E6"/>
    <w:rsid w:val="00A7768F"/>
    <w:rsid w:val="00A7771D"/>
    <w:rsid w:val="00A80BF6"/>
    <w:rsid w:val="00A80E98"/>
    <w:rsid w:val="00A81694"/>
    <w:rsid w:val="00A817CD"/>
    <w:rsid w:val="00A818A0"/>
    <w:rsid w:val="00A81935"/>
    <w:rsid w:val="00A82113"/>
    <w:rsid w:val="00A825A5"/>
    <w:rsid w:val="00A82899"/>
    <w:rsid w:val="00A82D87"/>
    <w:rsid w:val="00A83251"/>
    <w:rsid w:val="00A83ACB"/>
    <w:rsid w:val="00A844C2"/>
    <w:rsid w:val="00A84BBC"/>
    <w:rsid w:val="00A85698"/>
    <w:rsid w:val="00A859E4"/>
    <w:rsid w:val="00A85BDC"/>
    <w:rsid w:val="00A85C83"/>
    <w:rsid w:val="00A85CBA"/>
    <w:rsid w:val="00A861BB"/>
    <w:rsid w:val="00A8620B"/>
    <w:rsid w:val="00A866EE"/>
    <w:rsid w:val="00A8686B"/>
    <w:rsid w:val="00A8692F"/>
    <w:rsid w:val="00A86A21"/>
    <w:rsid w:val="00A875BA"/>
    <w:rsid w:val="00A875BE"/>
    <w:rsid w:val="00A87D9B"/>
    <w:rsid w:val="00A87DB4"/>
    <w:rsid w:val="00A901A1"/>
    <w:rsid w:val="00A9043C"/>
    <w:rsid w:val="00A90BEF"/>
    <w:rsid w:val="00A90D4F"/>
    <w:rsid w:val="00A90DF4"/>
    <w:rsid w:val="00A9166F"/>
    <w:rsid w:val="00A91DEE"/>
    <w:rsid w:val="00A92531"/>
    <w:rsid w:val="00A92A1A"/>
    <w:rsid w:val="00A937D2"/>
    <w:rsid w:val="00A94191"/>
    <w:rsid w:val="00A9428C"/>
    <w:rsid w:val="00A94A38"/>
    <w:rsid w:val="00A94E56"/>
    <w:rsid w:val="00A956DD"/>
    <w:rsid w:val="00A95A68"/>
    <w:rsid w:val="00A95ACC"/>
    <w:rsid w:val="00A95F24"/>
    <w:rsid w:val="00A96451"/>
    <w:rsid w:val="00A96524"/>
    <w:rsid w:val="00A9665E"/>
    <w:rsid w:val="00A96673"/>
    <w:rsid w:val="00A96DEB"/>
    <w:rsid w:val="00A96E97"/>
    <w:rsid w:val="00A96F5F"/>
    <w:rsid w:val="00A97168"/>
    <w:rsid w:val="00A9755C"/>
    <w:rsid w:val="00A978CC"/>
    <w:rsid w:val="00A97A15"/>
    <w:rsid w:val="00A97A3F"/>
    <w:rsid w:val="00A97BF0"/>
    <w:rsid w:val="00AA00E4"/>
    <w:rsid w:val="00AA0275"/>
    <w:rsid w:val="00AA04F7"/>
    <w:rsid w:val="00AA06BA"/>
    <w:rsid w:val="00AA0CBC"/>
    <w:rsid w:val="00AA0E60"/>
    <w:rsid w:val="00AA0EF1"/>
    <w:rsid w:val="00AA15D3"/>
    <w:rsid w:val="00AA1639"/>
    <w:rsid w:val="00AA165D"/>
    <w:rsid w:val="00AA1F49"/>
    <w:rsid w:val="00AA21D3"/>
    <w:rsid w:val="00AA2482"/>
    <w:rsid w:val="00AA25C1"/>
    <w:rsid w:val="00AA2EEE"/>
    <w:rsid w:val="00AA31A5"/>
    <w:rsid w:val="00AA3BB3"/>
    <w:rsid w:val="00AA42BD"/>
    <w:rsid w:val="00AA4F20"/>
    <w:rsid w:val="00AA617C"/>
    <w:rsid w:val="00AA626C"/>
    <w:rsid w:val="00AA65C9"/>
    <w:rsid w:val="00AA6BD8"/>
    <w:rsid w:val="00AA7B21"/>
    <w:rsid w:val="00AA7ED7"/>
    <w:rsid w:val="00AA7EE4"/>
    <w:rsid w:val="00AB0537"/>
    <w:rsid w:val="00AB06EC"/>
    <w:rsid w:val="00AB0845"/>
    <w:rsid w:val="00AB08D7"/>
    <w:rsid w:val="00AB0984"/>
    <w:rsid w:val="00AB0DC4"/>
    <w:rsid w:val="00AB0EFB"/>
    <w:rsid w:val="00AB28F6"/>
    <w:rsid w:val="00AB2949"/>
    <w:rsid w:val="00AB2B40"/>
    <w:rsid w:val="00AB2B51"/>
    <w:rsid w:val="00AB2C97"/>
    <w:rsid w:val="00AB304A"/>
    <w:rsid w:val="00AB331C"/>
    <w:rsid w:val="00AB34E3"/>
    <w:rsid w:val="00AB3533"/>
    <w:rsid w:val="00AB354B"/>
    <w:rsid w:val="00AB3B1C"/>
    <w:rsid w:val="00AB3B95"/>
    <w:rsid w:val="00AB45BE"/>
    <w:rsid w:val="00AB4670"/>
    <w:rsid w:val="00AB4835"/>
    <w:rsid w:val="00AB4A4E"/>
    <w:rsid w:val="00AB4CB4"/>
    <w:rsid w:val="00AB4DB7"/>
    <w:rsid w:val="00AB4EBF"/>
    <w:rsid w:val="00AB5709"/>
    <w:rsid w:val="00AB57DC"/>
    <w:rsid w:val="00AB592A"/>
    <w:rsid w:val="00AB5C1D"/>
    <w:rsid w:val="00AB5C38"/>
    <w:rsid w:val="00AB72B3"/>
    <w:rsid w:val="00AB751C"/>
    <w:rsid w:val="00AB7622"/>
    <w:rsid w:val="00AB7625"/>
    <w:rsid w:val="00AB7910"/>
    <w:rsid w:val="00AB7C8E"/>
    <w:rsid w:val="00AC0214"/>
    <w:rsid w:val="00AC0251"/>
    <w:rsid w:val="00AC0646"/>
    <w:rsid w:val="00AC06D6"/>
    <w:rsid w:val="00AC0996"/>
    <w:rsid w:val="00AC0BA3"/>
    <w:rsid w:val="00AC0E98"/>
    <w:rsid w:val="00AC1341"/>
    <w:rsid w:val="00AC13F9"/>
    <w:rsid w:val="00AC146B"/>
    <w:rsid w:val="00AC1919"/>
    <w:rsid w:val="00AC19A1"/>
    <w:rsid w:val="00AC1FB2"/>
    <w:rsid w:val="00AC24B4"/>
    <w:rsid w:val="00AC2A78"/>
    <w:rsid w:val="00AC2C4C"/>
    <w:rsid w:val="00AC2C5B"/>
    <w:rsid w:val="00AC2D57"/>
    <w:rsid w:val="00AC2DCB"/>
    <w:rsid w:val="00AC3531"/>
    <w:rsid w:val="00AC3665"/>
    <w:rsid w:val="00AC38A9"/>
    <w:rsid w:val="00AC3BC2"/>
    <w:rsid w:val="00AC40CC"/>
    <w:rsid w:val="00AC4122"/>
    <w:rsid w:val="00AC4C3A"/>
    <w:rsid w:val="00AC4DEF"/>
    <w:rsid w:val="00AC4F21"/>
    <w:rsid w:val="00AC4FD5"/>
    <w:rsid w:val="00AC4FF5"/>
    <w:rsid w:val="00AC547E"/>
    <w:rsid w:val="00AC54F6"/>
    <w:rsid w:val="00AC5642"/>
    <w:rsid w:val="00AC61B7"/>
    <w:rsid w:val="00AC6345"/>
    <w:rsid w:val="00AC656B"/>
    <w:rsid w:val="00AC67DD"/>
    <w:rsid w:val="00AC7039"/>
    <w:rsid w:val="00AC7174"/>
    <w:rsid w:val="00AC74AF"/>
    <w:rsid w:val="00AC7595"/>
    <w:rsid w:val="00AC7801"/>
    <w:rsid w:val="00AC79F8"/>
    <w:rsid w:val="00AC7F37"/>
    <w:rsid w:val="00AD004B"/>
    <w:rsid w:val="00AD049F"/>
    <w:rsid w:val="00AD0C1E"/>
    <w:rsid w:val="00AD0E10"/>
    <w:rsid w:val="00AD12B8"/>
    <w:rsid w:val="00AD2D23"/>
    <w:rsid w:val="00AD2DBB"/>
    <w:rsid w:val="00AD2EFE"/>
    <w:rsid w:val="00AD317F"/>
    <w:rsid w:val="00AD4106"/>
    <w:rsid w:val="00AD4620"/>
    <w:rsid w:val="00AD4C1D"/>
    <w:rsid w:val="00AD5BF8"/>
    <w:rsid w:val="00AD5E5E"/>
    <w:rsid w:val="00AD602C"/>
    <w:rsid w:val="00AD6141"/>
    <w:rsid w:val="00AD62A3"/>
    <w:rsid w:val="00AD657D"/>
    <w:rsid w:val="00AD660E"/>
    <w:rsid w:val="00AD6D8B"/>
    <w:rsid w:val="00AD6FA9"/>
    <w:rsid w:val="00AD6FC8"/>
    <w:rsid w:val="00AD739E"/>
    <w:rsid w:val="00AD7C60"/>
    <w:rsid w:val="00AE013C"/>
    <w:rsid w:val="00AE0375"/>
    <w:rsid w:val="00AE044B"/>
    <w:rsid w:val="00AE061D"/>
    <w:rsid w:val="00AE06C9"/>
    <w:rsid w:val="00AE0777"/>
    <w:rsid w:val="00AE0879"/>
    <w:rsid w:val="00AE0B80"/>
    <w:rsid w:val="00AE137C"/>
    <w:rsid w:val="00AE13AD"/>
    <w:rsid w:val="00AE1601"/>
    <w:rsid w:val="00AE18EF"/>
    <w:rsid w:val="00AE20B3"/>
    <w:rsid w:val="00AE228C"/>
    <w:rsid w:val="00AE2757"/>
    <w:rsid w:val="00AE2DB2"/>
    <w:rsid w:val="00AE31F9"/>
    <w:rsid w:val="00AE3435"/>
    <w:rsid w:val="00AE34E1"/>
    <w:rsid w:val="00AE3C76"/>
    <w:rsid w:val="00AE3D7A"/>
    <w:rsid w:val="00AE4060"/>
    <w:rsid w:val="00AE4B0F"/>
    <w:rsid w:val="00AE4F52"/>
    <w:rsid w:val="00AE5F79"/>
    <w:rsid w:val="00AE6AA2"/>
    <w:rsid w:val="00AE6CA7"/>
    <w:rsid w:val="00AE7293"/>
    <w:rsid w:val="00AE761B"/>
    <w:rsid w:val="00AF0080"/>
    <w:rsid w:val="00AF020A"/>
    <w:rsid w:val="00AF0365"/>
    <w:rsid w:val="00AF0760"/>
    <w:rsid w:val="00AF0B54"/>
    <w:rsid w:val="00AF0D06"/>
    <w:rsid w:val="00AF0F01"/>
    <w:rsid w:val="00AF1227"/>
    <w:rsid w:val="00AF1AF2"/>
    <w:rsid w:val="00AF1E4E"/>
    <w:rsid w:val="00AF22DA"/>
    <w:rsid w:val="00AF306E"/>
    <w:rsid w:val="00AF3538"/>
    <w:rsid w:val="00AF387E"/>
    <w:rsid w:val="00AF39AD"/>
    <w:rsid w:val="00AF3B0A"/>
    <w:rsid w:val="00AF4055"/>
    <w:rsid w:val="00AF40DB"/>
    <w:rsid w:val="00AF4110"/>
    <w:rsid w:val="00AF45F2"/>
    <w:rsid w:val="00AF4672"/>
    <w:rsid w:val="00AF4A64"/>
    <w:rsid w:val="00AF550D"/>
    <w:rsid w:val="00AF5F2C"/>
    <w:rsid w:val="00AF6052"/>
    <w:rsid w:val="00AF614E"/>
    <w:rsid w:val="00AF638E"/>
    <w:rsid w:val="00AF63CB"/>
    <w:rsid w:val="00AF6717"/>
    <w:rsid w:val="00AF715D"/>
    <w:rsid w:val="00AF7FE0"/>
    <w:rsid w:val="00B001A4"/>
    <w:rsid w:val="00B00499"/>
    <w:rsid w:val="00B006BD"/>
    <w:rsid w:val="00B0084A"/>
    <w:rsid w:val="00B01065"/>
    <w:rsid w:val="00B01112"/>
    <w:rsid w:val="00B024DF"/>
    <w:rsid w:val="00B0257E"/>
    <w:rsid w:val="00B02B74"/>
    <w:rsid w:val="00B035BC"/>
    <w:rsid w:val="00B03661"/>
    <w:rsid w:val="00B03856"/>
    <w:rsid w:val="00B042C2"/>
    <w:rsid w:val="00B04665"/>
    <w:rsid w:val="00B04C1F"/>
    <w:rsid w:val="00B04C3B"/>
    <w:rsid w:val="00B04F8B"/>
    <w:rsid w:val="00B057B8"/>
    <w:rsid w:val="00B059B9"/>
    <w:rsid w:val="00B0678A"/>
    <w:rsid w:val="00B06859"/>
    <w:rsid w:val="00B06C77"/>
    <w:rsid w:val="00B0744B"/>
    <w:rsid w:val="00B07605"/>
    <w:rsid w:val="00B07B64"/>
    <w:rsid w:val="00B07BB2"/>
    <w:rsid w:val="00B101F3"/>
    <w:rsid w:val="00B10408"/>
    <w:rsid w:val="00B106E2"/>
    <w:rsid w:val="00B1097C"/>
    <w:rsid w:val="00B10DBF"/>
    <w:rsid w:val="00B10E4A"/>
    <w:rsid w:val="00B10FAB"/>
    <w:rsid w:val="00B110B4"/>
    <w:rsid w:val="00B114BF"/>
    <w:rsid w:val="00B116EF"/>
    <w:rsid w:val="00B11861"/>
    <w:rsid w:val="00B126D6"/>
    <w:rsid w:val="00B128F9"/>
    <w:rsid w:val="00B129C4"/>
    <w:rsid w:val="00B12C78"/>
    <w:rsid w:val="00B12EE3"/>
    <w:rsid w:val="00B13500"/>
    <w:rsid w:val="00B1373F"/>
    <w:rsid w:val="00B13C92"/>
    <w:rsid w:val="00B13D65"/>
    <w:rsid w:val="00B14227"/>
    <w:rsid w:val="00B14651"/>
    <w:rsid w:val="00B14738"/>
    <w:rsid w:val="00B14AF7"/>
    <w:rsid w:val="00B14F4E"/>
    <w:rsid w:val="00B15478"/>
    <w:rsid w:val="00B15797"/>
    <w:rsid w:val="00B15A5B"/>
    <w:rsid w:val="00B15B47"/>
    <w:rsid w:val="00B15FC9"/>
    <w:rsid w:val="00B166EB"/>
    <w:rsid w:val="00B168D1"/>
    <w:rsid w:val="00B16D40"/>
    <w:rsid w:val="00B16DA1"/>
    <w:rsid w:val="00B173D9"/>
    <w:rsid w:val="00B1741E"/>
    <w:rsid w:val="00B17F04"/>
    <w:rsid w:val="00B2013D"/>
    <w:rsid w:val="00B20236"/>
    <w:rsid w:val="00B202A7"/>
    <w:rsid w:val="00B20535"/>
    <w:rsid w:val="00B21592"/>
    <w:rsid w:val="00B21CDE"/>
    <w:rsid w:val="00B22497"/>
    <w:rsid w:val="00B22786"/>
    <w:rsid w:val="00B228A5"/>
    <w:rsid w:val="00B238C1"/>
    <w:rsid w:val="00B23E9D"/>
    <w:rsid w:val="00B24054"/>
    <w:rsid w:val="00B240CB"/>
    <w:rsid w:val="00B24453"/>
    <w:rsid w:val="00B244B9"/>
    <w:rsid w:val="00B24B62"/>
    <w:rsid w:val="00B24BE1"/>
    <w:rsid w:val="00B2536C"/>
    <w:rsid w:val="00B25A88"/>
    <w:rsid w:val="00B25D3C"/>
    <w:rsid w:val="00B2602A"/>
    <w:rsid w:val="00B260A5"/>
    <w:rsid w:val="00B2621D"/>
    <w:rsid w:val="00B26A85"/>
    <w:rsid w:val="00B2708A"/>
    <w:rsid w:val="00B27DD2"/>
    <w:rsid w:val="00B317D1"/>
    <w:rsid w:val="00B31CAC"/>
    <w:rsid w:val="00B31E02"/>
    <w:rsid w:val="00B3330F"/>
    <w:rsid w:val="00B334A7"/>
    <w:rsid w:val="00B3359A"/>
    <w:rsid w:val="00B3372F"/>
    <w:rsid w:val="00B337F4"/>
    <w:rsid w:val="00B33B4C"/>
    <w:rsid w:val="00B34F9E"/>
    <w:rsid w:val="00B35048"/>
    <w:rsid w:val="00B35250"/>
    <w:rsid w:val="00B3582D"/>
    <w:rsid w:val="00B35926"/>
    <w:rsid w:val="00B359DB"/>
    <w:rsid w:val="00B35ABB"/>
    <w:rsid w:val="00B35BA6"/>
    <w:rsid w:val="00B361E0"/>
    <w:rsid w:val="00B3675A"/>
    <w:rsid w:val="00B36927"/>
    <w:rsid w:val="00B369D3"/>
    <w:rsid w:val="00B373FA"/>
    <w:rsid w:val="00B37963"/>
    <w:rsid w:val="00B37C4D"/>
    <w:rsid w:val="00B37D48"/>
    <w:rsid w:val="00B37E43"/>
    <w:rsid w:val="00B40734"/>
    <w:rsid w:val="00B40D66"/>
    <w:rsid w:val="00B410BA"/>
    <w:rsid w:val="00B41511"/>
    <w:rsid w:val="00B41998"/>
    <w:rsid w:val="00B41F4B"/>
    <w:rsid w:val="00B42035"/>
    <w:rsid w:val="00B4240B"/>
    <w:rsid w:val="00B42525"/>
    <w:rsid w:val="00B42526"/>
    <w:rsid w:val="00B42CB3"/>
    <w:rsid w:val="00B42D7C"/>
    <w:rsid w:val="00B42FED"/>
    <w:rsid w:val="00B4322C"/>
    <w:rsid w:val="00B4324C"/>
    <w:rsid w:val="00B43E18"/>
    <w:rsid w:val="00B43E91"/>
    <w:rsid w:val="00B444A9"/>
    <w:rsid w:val="00B44AE5"/>
    <w:rsid w:val="00B44D61"/>
    <w:rsid w:val="00B454F3"/>
    <w:rsid w:val="00B45A17"/>
    <w:rsid w:val="00B45E84"/>
    <w:rsid w:val="00B4650D"/>
    <w:rsid w:val="00B46571"/>
    <w:rsid w:val="00B4657C"/>
    <w:rsid w:val="00B4667D"/>
    <w:rsid w:val="00B466D1"/>
    <w:rsid w:val="00B4683D"/>
    <w:rsid w:val="00B46907"/>
    <w:rsid w:val="00B46B38"/>
    <w:rsid w:val="00B46C0D"/>
    <w:rsid w:val="00B46CC8"/>
    <w:rsid w:val="00B46D06"/>
    <w:rsid w:val="00B47381"/>
    <w:rsid w:val="00B47724"/>
    <w:rsid w:val="00B47839"/>
    <w:rsid w:val="00B47991"/>
    <w:rsid w:val="00B47E30"/>
    <w:rsid w:val="00B506D1"/>
    <w:rsid w:val="00B5074D"/>
    <w:rsid w:val="00B50CE6"/>
    <w:rsid w:val="00B510EC"/>
    <w:rsid w:val="00B5160D"/>
    <w:rsid w:val="00B51656"/>
    <w:rsid w:val="00B51745"/>
    <w:rsid w:val="00B51A4C"/>
    <w:rsid w:val="00B51B65"/>
    <w:rsid w:val="00B51E74"/>
    <w:rsid w:val="00B522E0"/>
    <w:rsid w:val="00B52359"/>
    <w:rsid w:val="00B5250D"/>
    <w:rsid w:val="00B5279D"/>
    <w:rsid w:val="00B52894"/>
    <w:rsid w:val="00B53506"/>
    <w:rsid w:val="00B5350C"/>
    <w:rsid w:val="00B536C4"/>
    <w:rsid w:val="00B53715"/>
    <w:rsid w:val="00B53D25"/>
    <w:rsid w:val="00B53DA1"/>
    <w:rsid w:val="00B53F14"/>
    <w:rsid w:val="00B551C4"/>
    <w:rsid w:val="00B553E8"/>
    <w:rsid w:val="00B554A0"/>
    <w:rsid w:val="00B55A94"/>
    <w:rsid w:val="00B55CD5"/>
    <w:rsid w:val="00B561B3"/>
    <w:rsid w:val="00B57550"/>
    <w:rsid w:val="00B57908"/>
    <w:rsid w:val="00B57CBD"/>
    <w:rsid w:val="00B57DC8"/>
    <w:rsid w:val="00B60447"/>
    <w:rsid w:val="00B60819"/>
    <w:rsid w:val="00B60887"/>
    <w:rsid w:val="00B609E0"/>
    <w:rsid w:val="00B61427"/>
    <w:rsid w:val="00B629E7"/>
    <w:rsid w:val="00B62ABF"/>
    <w:rsid w:val="00B62D32"/>
    <w:rsid w:val="00B63594"/>
    <w:rsid w:val="00B6383A"/>
    <w:rsid w:val="00B638C5"/>
    <w:rsid w:val="00B63E7F"/>
    <w:rsid w:val="00B640A0"/>
    <w:rsid w:val="00B6489E"/>
    <w:rsid w:val="00B6494F"/>
    <w:rsid w:val="00B64A1C"/>
    <w:rsid w:val="00B64E53"/>
    <w:rsid w:val="00B64EF0"/>
    <w:rsid w:val="00B658E6"/>
    <w:rsid w:val="00B6599C"/>
    <w:rsid w:val="00B665EE"/>
    <w:rsid w:val="00B666AB"/>
    <w:rsid w:val="00B66B42"/>
    <w:rsid w:val="00B66E89"/>
    <w:rsid w:val="00B6715C"/>
    <w:rsid w:val="00B677F3"/>
    <w:rsid w:val="00B67C95"/>
    <w:rsid w:val="00B7040F"/>
    <w:rsid w:val="00B709AD"/>
    <w:rsid w:val="00B70ED5"/>
    <w:rsid w:val="00B712A1"/>
    <w:rsid w:val="00B7139C"/>
    <w:rsid w:val="00B7171E"/>
    <w:rsid w:val="00B719F8"/>
    <w:rsid w:val="00B720D1"/>
    <w:rsid w:val="00B7220E"/>
    <w:rsid w:val="00B72C03"/>
    <w:rsid w:val="00B72C33"/>
    <w:rsid w:val="00B72EA2"/>
    <w:rsid w:val="00B72EE3"/>
    <w:rsid w:val="00B72FCB"/>
    <w:rsid w:val="00B73A04"/>
    <w:rsid w:val="00B73C01"/>
    <w:rsid w:val="00B73C54"/>
    <w:rsid w:val="00B74070"/>
    <w:rsid w:val="00B74B48"/>
    <w:rsid w:val="00B74C67"/>
    <w:rsid w:val="00B74C8F"/>
    <w:rsid w:val="00B74DBE"/>
    <w:rsid w:val="00B754A2"/>
    <w:rsid w:val="00B7598D"/>
    <w:rsid w:val="00B75DB6"/>
    <w:rsid w:val="00B75E41"/>
    <w:rsid w:val="00B7631F"/>
    <w:rsid w:val="00B766D8"/>
    <w:rsid w:val="00B76A9D"/>
    <w:rsid w:val="00B77544"/>
    <w:rsid w:val="00B7772A"/>
    <w:rsid w:val="00B77C61"/>
    <w:rsid w:val="00B77DC4"/>
    <w:rsid w:val="00B77F5B"/>
    <w:rsid w:val="00B801B0"/>
    <w:rsid w:val="00B807D8"/>
    <w:rsid w:val="00B8092F"/>
    <w:rsid w:val="00B80F88"/>
    <w:rsid w:val="00B81261"/>
    <w:rsid w:val="00B81379"/>
    <w:rsid w:val="00B81987"/>
    <w:rsid w:val="00B81BE4"/>
    <w:rsid w:val="00B81E3B"/>
    <w:rsid w:val="00B8235A"/>
    <w:rsid w:val="00B826F5"/>
    <w:rsid w:val="00B8291A"/>
    <w:rsid w:val="00B82DCD"/>
    <w:rsid w:val="00B83136"/>
    <w:rsid w:val="00B8325C"/>
    <w:rsid w:val="00B83CA3"/>
    <w:rsid w:val="00B83F54"/>
    <w:rsid w:val="00B840C8"/>
    <w:rsid w:val="00B8442C"/>
    <w:rsid w:val="00B855D9"/>
    <w:rsid w:val="00B856BA"/>
    <w:rsid w:val="00B85859"/>
    <w:rsid w:val="00B8600A"/>
    <w:rsid w:val="00B86261"/>
    <w:rsid w:val="00B8639B"/>
    <w:rsid w:val="00B86764"/>
    <w:rsid w:val="00B87561"/>
    <w:rsid w:val="00B87596"/>
    <w:rsid w:val="00B87721"/>
    <w:rsid w:val="00B8772F"/>
    <w:rsid w:val="00B87BA2"/>
    <w:rsid w:val="00B90433"/>
    <w:rsid w:val="00B9061C"/>
    <w:rsid w:val="00B908AA"/>
    <w:rsid w:val="00B90EAE"/>
    <w:rsid w:val="00B90F57"/>
    <w:rsid w:val="00B91894"/>
    <w:rsid w:val="00B91C4A"/>
    <w:rsid w:val="00B91F3B"/>
    <w:rsid w:val="00B9237D"/>
    <w:rsid w:val="00B92E95"/>
    <w:rsid w:val="00B937B5"/>
    <w:rsid w:val="00B938A0"/>
    <w:rsid w:val="00B938BA"/>
    <w:rsid w:val="00B94311"/>
    <w:rsid w:val="00B944CC"/>
    <w:rsid w:val="00B94553"/>
    <w:rsid w:val="00B94B2D"/>
    <w:rsid w:val="00B94D07"/>
    <w:rsid w:val="00B94DDD"/>
    <w:rsid w:val="00B94F7C"/>
    <w:rsid w:val="00B95063"/>
    <w:rsid w:val="00B955DE"/>
    <w:rsid w:val="00B957B1"/>
    <w:rsid w:val="00B95942"/>
    <w:rsid w:val="00B95C5E"/>
    <w:rsid w:val="00B96463"/>
    <w:rsid w:val="00B96A98"/>
    <w:rsid w:val="00B96E45"/>
    <w:rsid w:val="00B96F11"/>
    <w:rsid w:val="00BA09EA"/>
    <w:rsid w:val="00BA0A64"/>
    <w:rsid w:val="00BA0AA5"/>
    <w:rsid w:val="00BA0AE1"/>
    <w:rsid w:val="00BA0DBB"/>
    <w:rsid w:val="00BA1359"/>
    <w:rsid w:val="00BA1B39"/>
    <w:rsid w:val="00BA1DD6"/>
    <w:rsid w:val="00BA2416"/>
    <w:rsid w:val="00BA30C4"/>
    <w:rsid w:val="00BA326A"/>
    <w:rsid w:val="00BA32CB"/>
    <w:rsid w:val="00BA3D4F"/>
    <w:rsid w:val="00BA3E27"/>
    <w:rsid w:val="00BA3FD8"/>
    <w:rsid w:val="00BA41DC"/>
    <w:rsid w:val="00BA4402"/>
    <w:rsid w:val="00BA44A8"/>
    <w:rsid w:val="00BA4DB5"/>
    <w:rsid w:val="00BA56C3"/>
    <w:rsid w:val="00BA65A9"/>
    <w:rsid w:val="00BA6967"/>
    <w:rsid w:val="00BA6983"/>
    <w:rsid w:val="00BA6B44"/>
    <w:rsid w:val="00BA7251"/>
    <w:rsid w:val="00BA7320"/>
    <w:rsid w:val="00BA7712"/>
    <w:rsid w:val="00BA7C0C"/>
    <w:rsid w:val="00BB0503"/>
    <w:rsid w:val="00BB1143"/>
    <w:rsid w:val="00BB115A"/>
    <w:rsid w:val="00BB1A5C"/>
    <w:rsid w:val="00BB1CCC"/>
    <w:rsid w:val="00BB21AA"/>
    <w:rsid w:val="00BB24DB"/>
    <w:rsid w:val="00BB24FE"/>
    <w:rsid w:val="00BB2777"/>
    <w:rsid w:val="00BB2A1B"/>
    <w:rsid w:val="00BB2D69"/>
    <w:rsid w:val="00BB3F8B"/>
    <w:rsid w:val="00BB429F"/>
    <w:rsid w:val="00BB45B7"/>
    <w:rsid w:val="00BB51AE"/>
    <w:rsid w:val="00BB5BE7"/>
    <w:rsid w:val="00BB6025"/>
    <w:rsid w:val="00BB624A"/>
    <w:rsid w:val="00BB63B6"/>
    <w:rsid w:val="00BB64E2"/>
    <w:rsid w:val="00BB653D"/>
    <w:rsid w:val="00BB6A29"/>
    <w:rsid w:val="00BB6E1A"/>
    <w:rsid w:val="00BB731C"/>
    <w:rsid w:val="00BB7F6F"/>
    <w:rsid w:val="00BC0016"/>
    <w:rsid w:val="00BC0399"/>
    <w:rsid w:val="00BC0D47"/>
    <w:rsid w:val="00BC1223"/>
    <w:rsid w:val="00BC1278"/>
    <w:rsid w:val="00BC153B"/>
    <w:rsid w:val="00BC1791"/>
    <w:rsid w:val="00BC1DCC"/>
    <w:rsid w:val="00BC2582"/>
    <w:rsid w:val="00BC28E9"/>
    <w:rsid w:val="00BC2C71"/>
    <w:rsid w:val="00BC348F"/>
    <w:rsid w:val="00BC36CF"/>
    <w:rsid w:val="00BC39F8"/>
    <w:rsid w:val="00BC3BA2"/>
    <w:rsid w:val="00BC3CC1"/>
    <w:rsid w:val="00BC47F7"/>
    <w:rsid w:val="00BC4808"/>
    <w:rsid w:val="00BC490A"/>
    <w:rsid w:val="00BC4A08"/>
    <w:rsid w:val="00BC4C08"/>
    <w:rsid w:val="00BC4CE5"/>
    <w:rsid w:val="00BC4CF2"/>
    <w:rsid w:val="00BC4D7B"/>
    <w:rsid w:val="00BC607E"/>
    <w:rsid w:val="00BC637E"/>
    <w:rsid w:val="00BC6401"/>
    <w:rsid w:val="00BC651F"/>
    <w:rsid w:val="00BC6901"/>
    <w:rsid w:val="00BC6A9D"/>
    <w:rsid w:val="00BC6F0A"/>
    <w:rsid w:val="00BC6FD6"/>
    <w:rsid w:val="00BC71B8"/>
    <w:rsid w:val="00BC76B8"/>
    <w:rsid w:val="00BD0A4C"/>
    <w:rsid w:val="00BD0D7D"/>
    <w:rsid w:val="00BD0D96"/>
    <w:rsid w:val="00BD12C4"/>
    <w:rsid w:val="00BD1929"/>
    <w:rsid w:val="00BD2465"/>
    <w:rsid w:val="00BD27E4"/>
    <w:rsid w:val="00BD2DF0"/>
    <w:rsid w:val="00BD31F3"/>
    <w:rsid w:val="00BD3ABB"/>
    <w:rsid w:val="00BD3EAE"/>
    <w:rsid w:val="00BD44C2"/>
    <w:rsid w:val="00BD490F"/>
    <w:rsid w:val="00BD4AA1"/>
    <w:rsid w:val="00BD55C2"/>
    <w:rsid w:val="00BD5716"/>
    <w:rsid w:val="00BD59A6"/>
    <w:rsid w:val="00BD59AA"/>
    <w:rsid w:val="00BD5C01"/>
    <w:rsid w:val="00BD5C11"/>
    <w:rsid w:val="00BD5C90"/>
    <w:rsid w:val="00BD5CD1"/>
    <w:rsid w:val="00BD60F0"/>
    <w:rsid w:val="00BD677F"/>
    <w:rsid w:val="00BD6DA7"/>
    <w:rsid w:val="00BD6EF0"/>
    <w:rsid w:val="00BD6F0B"/>
    <w:rsid w:val="00BD7081"/>
    <w:rsid w:val="00BD718A"/>
    <w:rsid w:val="00BD728B"/>
    <w:rsid w:val="00BD761F"/>
    <w:rsid w:val="00BD76EA"/>
    <w:rsid w:val="00BD78A0"/>
    <w:rsid w:val="00BE06B6"/>
    <w:rsid w:val="00BE06E8"/>
    <w:rsid w:val="00BE0BE3"/>
    <w:rsid w:val="00BE12F5"/>
    <w:rsid w:val="00BE14F6"/>
    <w:rsid w:val="00BE15A9"/>
    <w:rsid w:val="00BE1669"/>
    <w:rsid w:val="00BE18D4"/>
    <w:rsid w:val="00BE1BA1"/>
    <w:rsid w:val="00BE27F2"/>
    <w:rsid w:val="00BE290C"/>
    <w:rsid w:val="00BE2963"/>
    <w:rsid w:val="00BE319B"/>
    <w:rsid w:val="00BE3619"/>
    <w:rsid w:val="00BE3B0F"/>
    <w:rsid w:val="00BE4068"/>
    <w:rsid w:val="00BE4A38"/>
    <w:rsid w:val="00BE4C8B"/>
    <w:rsid w:val="00BE4FA3"/>
    <w:rsid w:val="00BE5A1D"/>
    <w:rsid w:val="00BE5D38"/>
    <w:rsid w:val="00BE5DDA"/>
    <w:rsid w:val="00BE621A"/>
    <w:rsid w:val="00BE670A"/>
    <w:rsid w:val="00BE6B8C"/>
    <w:rsid w:val="00BE6BCE"/>
    <w:rsid w:val="00BE6D6C"/>
    <w:rsid w:val="00BE6DC1"/>
    <w:rsid w:val="00BE72D2"/>
    <w:rsid w:val="00BE72D4"/>
    <w:rsid w:val="00BE7433"/>
    <w:rsid w:val="00BE7618"/>
    <w:rsid w:val="00BE79AB"/>
    <w:rsid w:val="00BE7AFB"/>
    <w:rsid w:val="00BF06B6"/>
    <w:rsid w:val="00BF0A8D"/>
    <w:rsid w:val="00BF0C1D"/>
    <w:rsid w:val="00BF0E00"/>
    <w:rsid w:val="00BF133B"/>
    <w:rsid w:val="00BF1937"/>
    <w:rsid w:val="00BF1A02"/>
    <w:rsid w:val="00BF1A9C"/>
    <w:rsid w:val="00BF1AB6"/>
    <w:rsid w:val="00BF1C3C"/>
    <w:rsid w:val="00BF1FA4"/>
    <w:rsid w:val="00BF2309"/>
    <w:rsid w:val="00BF2597"/>
    <w:rsid w:val="00BF337F"/>
    <w:rsid w:val="00BF380D"/>
    <w:rsid w:val="00BF3867"/>
    <w:rsid w:val="00BF4122"/>
    <w:rsid w:val="00BF41E2"/>
    <w:rsid w:val="00BF4910"/>
    <w:rsid w:val="00BF4E4A"/>
    <w:rsid w:val="00BF5399"/>
    <w:rsid w:val="00BF57D7"/>
    <w:rsid w:val="00BF5E79"/>
    <w:rsid w:val="00BF648C"/>
    <w:rsid w:val="00BF7B16"/>
    <w:rsid w:val="00BF7BBC"/>
    <w:rsid w:val="00BF7C02"/>
    <w:rsid w:val="00BF7C26"/>
    <w:rsid w:val="00C00877"/>
    <w:rsid w:val="00C00BF6"/>
    <w:rsid w:val="00C011A5"/>
    <w:rsid w:val="00C011B1"/>
    <w:rsid w:val="00C011E4"/>
    <w:rsid w:val="00C011EC"/>
    <w:rsid w:val="00C01C82"/>
    <w:rsid w:val="00C01CC5"/>
    <w:rsid w:val="00C01CF9"/>
    <w:rsid w:val="00C01DEF"/>
    <w:rsid w:val="00C01E8D"/>
    <w:rsid w:val="00C020AC"/>
    <w:rsid w:val="00C02954"/>
    <w:rsid w:val="00C02AEA"/>
    <w:rsid w:val="00C03037"/>
    <w:rsid w:val="00C031A5"/>
    <w:rsid w:val="00C03262"/>
    <w:rsid w:val="00C034BB"/>
    <w:rsid w:val="00C034F9"/>
    <w:rsid w:val="00C0368E"/>
    <w:rsid w:val="00C03788"/>
    <w:rsid w:val="00C03AC7"/>
    <w:rsid w:val="00C03D25"/>
    <w:rsid w:val="00C040CF"/>
    <w:rsid w:val="00C0419D"/>
    <w:rsid w:val="00C0422F"/>
    <w:rsid w:val="00C04588"/>
    <w:rsid w:val="00C046E0"/>
    <w:rsid w:val="00C046EE"/>
    <w:rsid w:val="00C0475C"/>
    <w:rsid w:val="00C04D2A"/>
    <w:rsid w:val="00C0514C"/>
    <w:rsid w:val="00C05298"/>
    <w:rsid w:val="00C054D6"/>
    <w:rsid w:val="00C055A5"/>
    <w:rsid w:val="00C05695"/>
    <w:rsid w:val="00C05D41"/>
    <w:rsid w:val="00C05FAF"/>
    <w:rsid w:val="00C061A5"/>
    <w:rsid w:val="00C064D4"/>
    <w:rsid w:val="00C07572"/>
    <w:rsid w:val="00C0786D"/>
    <w:rsid w:val="00C07B04"/>
    <w:rsid w:val="00C07FC7"/>
    <w:rsid w:val="00C10FEB"/>
    <w:rsid w:val="00C11239"/>
    <w:rsid w:val="00C1176E"/>
    <w:rsid w:val="00C119CC"/>
    <w:rsid w:val="00C11CE5"/>
    <w:rsid w:val="00C11E5F"/>
    <w:rsid w:val="00C127B2"/>
    <w:rsid w:val="00C12E50"/>
    <w:rsid w:val="00C133B1"/>
    <w:rsid w:val="00C133C1"/>
    <w:rsid w:val="00C1381E"/>
    <w:rsid w:val="00C13858"/>
    <w:rsid w:val="00C1394A"/>
    <w:rsid w:val="00C13DB9"/>
    <w:rsid w:val="00C13F70"/>
    <w:rsid w:val="00C14423"/>
    <w:rsid w:val="00C14E00"/>
    <w:rsid w:val="00C15627"/>
    <w:rsid w:val="00C15696"/>
    <w:rsid w:val="00C1588C"/>
    <w:rsid w:val="00C15932"/>
    <w:rsid w:val="00C15A5A"/>
    <w:rsid w:val="00C15F19"/>
    <w:rsid w:val="00C1624A"/>
    <w:rsid w:val="00C16A8B"/>
    <w:rsid w:val="00C17519"/>
    <w:rsid w:val="00C1790D"/>
    <w:rsid w:val="00C17919"/>
    <w:rsid w:val="00C17C6C"/>
    <w:rsid w:val="00C17F4D"/>
    <w:rsid w:val="00C20121"/>
    <w:rsid w:val="00C202FA"/>
    <w:rsid w:val="00C208FE"/>
    <w:rsid w:val="00C20BFC"/>
    <w:rsid w:val="00C20FA0"/>
    <w:rsid w:val="00C2260B"/>
    <w:rsid w:val="00C22F97"/>
    <w:rsid w:val="00C22FA7"/>
    <w:rsid w:val="00C23113"/>
    <w:rsid w:val="00C23158"/>
    <w:rsid w:val="00C23666"/>
    <w:rsid w:val="00C24067"/>
    <w:rsid w:val="00C2406D"/>
    <w:rsid w:val="00C241B3"/>
    <w:rsid w:val="00C24C55"/>
    <w:rsid w:val="00C24E68"/>
    <w:rsid w:val="00C255D8"/>
    <w:rsid w:val="00C256D8"/>
    <w:rsid w:val="00C2572B"/>
    <w:rsid w:val="00C259B2"/>
    <w:rsid w:val="00C25AC1"/>
    <w:rsid w:val="00C2616C"/>
    <w:rsid w:val="00C2656D"/>
    <w:rsid w:val="00C26E51"/>
    <w:rsid w:val="00C272A8"/>
    <w:rsid w:val="00C273F9"/>
    <w:rsid w:val="00C27DB6"/>
    <w:rsid w:val="00C30029"/>
    <w:rsid w:val="00C3042A"/>
    <w:rsid w:val="00C3065B"/>
    <w:rsid w:val="00C30662"/>
    <w:rsid w:val="00C306EF"/>
    <w:rsid w:val="00C30DA4"/>
    <w:rsid w:val="00C3123C"/>
    <w:rsid w:val="00C314C5"/>
    <w:rsid w:val="00C315D6"/>
    <w:rsid w:val="00C316B1"/>
    <w:rsid w:val="00C31F2E"/>
    <w:rsid w:val="00C31FCB"/>
    <w:rsid w:val="00C3217F"/>
    <w:rsid w:val="00C3234E"/>
    <w:rsid w:val="00C32473"/>
    <w:rsid w:val="00C32771"/>
    <w:rsid w:val="00C32981"/>
    <w:rsid w:val="00C32D0D"/>
    <w:rsid w:val="00C32E2F"/>
    <w:rsid w:val="00C32E35"/>
    <w:rsid w:val="00C336A0"/>
    <w:rsid w:val="00C337F5"/>
    <w:rsid w:val="00C33A95"/>
    <w:rsid w:val="00C33F24"/>
    <w:rsid w:val="00C33FD7"/>
    <w:rsid w:val="00C33FF1"/>
    <w:rsid w:val="00C34B4F"/>
    <w:rsid w:val="00C34DA4"/>
    <w:rsid w:val="00C34DBA"/>
    <w:rsid w:val="00C34F52"/>
    <w:rsid w:val="00C3515C"/>
    <w:rsid w:val="00C353C6"/>
    <w:rsid w:val="00C35B4B"/>
    <w:rsid w:val="00C35C36"/>
    <w:rsid w:val="00C35F16"/>
    <w:rsid w:val="00C36277"/>
    <w:rsid w:val="00C36907"/>
    <w:rsid w:val="00C37450"/>
    <w:rsid w:val="00C374B9"/>
    <w:rsid w:val="00C37827"/>
    <w:rsid w:val="00C37894"/>
    <w:rsid w:val="00C41021"/>
    <w:rsid w:val="00C41315"/>
    <w:rsid w:val="00C4144B"/>
    <w:rsid w:val="00C4144E"/>
    <w:rsid w:val="00C415D1"/>
    <w:rsid w:val="00C41937"/>
    <w:rsid w:val="00C41DC4"/>
    <w:rsid w:val="00C41F79"/>
    <w:rsid w:val="00C420D9"/>
    <w:rsid w:val="00C42249"/>
    <w:rsid w:val="00C42525"/>
    <w:rsid w:val="00C430F1"/>
    <w:rsid w:val="00C43331"/>
    <w:rsid w:val="00C4391C"/>
    <w:rsid w:val="00C43B8C"/>
    <w:rsid w:val="00C4407C"/>
    <w:rsid w:val="00C4439D"/>
    <w:rsid w:val="00C443CA"/>
    <w:rsid w:val="00C44643"/>
    <w:rsid w:val="00C44B84"/>
    <w:rsid w:val="00C44BBE"/>
    <w:rsid w:val="00C44C55"/>
    <w:rsid w:val="00C450D9"/>
    <w:rsid w:val="00C45917"/>
    <w:rsid w:val="00C45C22"/>
    <w:rsid w:val="00C45D1F"/>
    <w:rsid w:val="00C46448"/>
    <w:rsid w:val="00C4652B"/>
    <w:rsid w:val="00C46605"/>
    <w:rsid w:val="00C46662"/>
    <w:rsid w:val="00C466BC"/>
    <w:rsid w:val="00C467ED"/>
    <w:rsid w:val="00C46866"/>
    <w:rsid w:val="00C469F0"/>
    <w:rsid w:val="00C46E53"/>
    <w:rsid w:val="00C46F20"/>
    <w:rsid w:val="00C4705F"/>
    <w:rsid w:val="00C47207"/>
    <w:rsid w:val="00C473F7"/>
    <w:rsid w:val="00C476CC"/>
    <w:rsid w:val="00C47864"/>
    <w:rsid w:val="00C50190"/>
    <w:rsid w:val="00C501B3"/>
    <w:rsid w:val="00C502F9"/>
    <w:rsid w:val="00C50307"/>
    <w:rsid w:val="00C5044E"/>
    <w:rsid w:val="00C50646"/>
    <w:rsid w:val="00C508ED"/>
    <w:rsid w:val="00C50ACB"/>
    <w:rsid w:val="00C50C36"/>
    <w:rsid w:val="00C50C44"/>
    <w:rsid w:val="00C511E1"/>
    <w:rsid w:val="00C5176A"/>
    <w:rsid w:val="00C5188E"/>
    <w:rsid w:val="00C5191D"/>
    <w:rsid w:val="00C51F95"/>
    <w:rsid w:val="00C5208F"/>
    <w:rsid w:val="00C5247E"/>
    <w:rsid w:val="00C52F7E"/>
    <w:rsid w:val="00C537A0"/>
    <w:rsid w:val="00C53913"/>
    <w:rsid w:val="00C53BB9"/>
    <w:rsid w:val="00C53EA4"/>
    <w:rsid w:val="00C547C3"/>
    <w:rsid w:val="00C550F7"/>
    <w:rsid w:val="00C553D5"/>
    <w:rsid w:val="00C55BC6"/>
    <w:rsid w:val="00C55FCD"/>
    <w:rsid w:val="00C5625F"/>
    <w:rsid w:val="00C5636F"/>
    <w:rsid w:val="00C568D5"/>
    <w:rsid w:val="00C57248"/>
    <w:rsid w:val="00C5736F"/>
    <w:rsid w:val="00C57595"/>
    <w:rsid w:val="00C57852"/>
    <w:rsid w:val="00C6021D"/>
    <w:rsid w:val="00C603C5"/>
    <w:rsid w:val="00C60B1F"/>
    <w:rsid w:val="00C60D71"/>
    <w:rsid w:val="00C60D8F"/>
    <w:rsid w:val="00C60E2A"/>
    <w:rsid w:val="00C60E31"/>
    <w:rsid w:val="00C610AB"/>
    <w:rsid w:val="00C6145A"/>
    <w:rsid w:val="00C61CDA"/>
    <w:rsid w:val="00C621D4"/>
    <w:rsid w:val="00C621F6"/>
    <w:rsid w:val="00C623C1"/>
    <w:rsid w:val="00C6279E"/>
    <w:rsid w:val="00C6294E"/>
    <w:rsid w:val="00C62EA3"/>
    <w:rsid w:val="00C635E0"/>
    <w:rsid w:val="00C63701"/>
    <w:rsid w:val="00C63A69"/>
    <w:rsid w:val="00C63A94"/>
    <w:rsid w:val="00C63B07"/>
    <w:rsid w:val="00C647C5"/>
    <w:rsid w:val="00C64989"/>
    <w:rsid w:val="00C659F9"/>
    <w:rsid w:val="00C65D21"/>
    <w:rsid w:val="00C65FDD"/>
    <w:rsid w:val="00C662DB"/>
    <w:rsid w:val="00C66666"/>
    <w:rsid w:val="00C66669"/>
    <w:rsid w:val="00C66DE2"/>
    <w:rsid w:val="00C66E87"/>
    <w:rsid w:val="00C6730B"/>
    <w:rsid w:val="00C67DE5"/>
    <w:rsid w:val="00C70743"/>
    <w:rsid w:val="00C70884"/>
    <w:rsid w:val="00C708E3"/>
    <w:rsid w:val="00C709B9"/>
    <w:rsid w:val="00C70DF7"/>
    <w:rsid w:val="00C70EF3"/>
    <w:rsid w:val="00C711AB"/>
    <w:rsid w:val="00C71469"/>
    <w:rsid w:val="00C717E7"/>
    <w:rsid w:val="00C71CA4"/>
    <w:rsid w:val="00C725D8"/>
    <w:rsid w:val="00C72A4D"/>
    <w:rsid w:val="00C7306C"/>
    <w:rsid w:val="00C733ED"/>
    <w:rsid w:val="00C735CC"/>
    <w:rsid w:val="00C7390B"/>
    <w:rsid w:val="00C739A6"/>
    <w:rsid w:val="00C739FC"/>
    <w:rsid w:val="00C739FF"/>
    <w:rsid w:val="00C73AF8"/>
    <w:rsid w:val="00C74A34"/>
    <w:rsid w:val="00C7537A"/>
    <w:rsid w:val="00C75665"/>
    <w:rsid w:val="00C75E90"/>
    <w:rsid w:val="00C761BD"/>
    <w:rsid w:val="00C761BE"/>
    <w:rsid w:val="00C762F4"/>
    <w:rsid w:val="00C763E3"/>
    <w:rsid w:val="00C7657E"/>
    <w:rsid w:val="00C766EE"/>
    <w:rsid w:val="00C769DC"/>
    <w:rsid w:val="00C76FF2"/>
    <w:rsid w:val="00C7702F"/>
    <w:rsid w:val="00C77054"/>
    <w:rsid w:val="00C77222"/>
    <w:rsid w:val="00C77EF6"/>
    <w:rsid w:val="00C80278"/>
    <w:rsid w:val="00C808EC"/>
    <w:rsid w:val="00C80A5B"/>
    <w:rsid w:val="00C80A9E"/>
    <w:rsid w:val="00C80D20"/>
    <w:rsid w:val="00C8151C"/>
    <w:rsid w:val="00C8155D"/>
    <w:rsid w:val="00C817C3"/>
    <w:rsid w:val="00C81848"/>
    <w:rsid w:val="00C81E75"/>
    <w:rsid w:val="00C81EB1"/>
    <w:rsid w:val="00C82012"/>
    <w:rsid w:val="00C82387"/>
    <w:rsid w:val="00C82548"/>
    <w:rsid w:val="00C828BA"/>
    <w:rsid w:val="00C82990"/>
    <w:rsid w:val="00C82D95"/>
    <w:rsid w:val="00C835CD"/>
    <w:rsid w:val="00C83787"/>
    <w:rsid w:val="00C8394C"/>
    <w:rsid w:val="00C83C6D"/>
    <w:rsid w:val="00C84400"/>
    <w:rsid w:val="00C8443D"/>
    <w:rsid w:val="00C845E7"/>
    <w:rsid w:val="00C84CDA"/>
    <w:rsid w:val="00C85352"/>
    <w:rsid w:val="00C85938"/>
    <w:rsid w:val="00C860B6"/>
    <w:rsid w:val="00C86B6D"/>
    <w:rsid w:val="00C86EC5"/>
    <w:rsid w:val="00C87072"/>
    <w:rsid w:val="00C870C0"/>
    <w:rsid w:val="00C87E79"/>
    <w:rsid w:val="00C87FCB"/>
    <w:rsid w:val="00C90123"/>
    <w:rsid w:val="00C9022E"/>
    <w:rsid w:val="00C90244"/>
    <w:rsid w:val="00C902C5"/>
    <w:rsid w:val="00C902E5"/>
    <w:rsid w:val="00C903EE"/>
    <w:rsid w:val="00C905F6"/>
    <w:rsid w:val="00C9097A"/>
    <w:rsid w:val="00C9104E"/>
    <w:rsid w:val="00C91554"/>
    <w:rsid w:val="00C91770"/>
    <w:rsid w:val="00C91884"/>
    <w:rsid w:val="00C91F7F"/>
    <w:rsid w:val="00C9218E"/>
    <w:rsid w:val="00C922BB"/>
    <w:rsid w:val="00C927F3"/>
    <w:rsid w:val="00C9308C"/>
    <w:rsid w:val="00C93FDC"/>
    <w:rsid w:val="00C946AC"/>
    <w:rsid w:val="00C95099"/>
    <w:rsid w:val="00C951CA"/>
    <w:rsid w:val="00C95518"/>
    <w:rsid w:val="00C955D2"/>
    <w:rsid w:val="00C95866"/>
    <w:rsid w:val="00C95F65"/>
    <w:rsid w:val="00C96D33"/>
    <w:rsid w:val="00C96DA8"/>
    <w:rsid w:val="00C96FB2"/>
    <w:rsid w:val="00C97137"/>
    <w:rsid w:val="00C972E0"/>
    <w:rsid w:val="00C972FE"/>
    <w:rsid w:val="00C976C5"/>
    <w:rsid w:val="00C97A1B"/>
    <w:rsid w:val="00CA02CE"/>
    <w:rsid w:val="00CA02CF"/>
    <w:rsid w:val="00CA03EC"/>
    <w:rsid w:val="00CA0984"/>
    <w:rsid w:val="00CA0AC9"/>
    <w:rsid w:val="00CA128F"/>
    <w:rsid w:val="00CA1C89"/>
    <w:rsid w:val="00CA1E33"/>
    <w:rsid w:val="00CA1ED3"/>
    <w:rsid w:val="00CA2AFD"/>
    <w:rsid w:val="00CA2C66"/>
    <w:rsid w:val="00CA2E00"/>
    <w:rsid w:val="00CA3558"/>
    <w:rsid w:val="00CA3950"/>
    <w:rsid w:val="00CA3A6C"/>
    <w:rsid w:val="00CA3B6B"/>
    <w:rsid w:val="00CA3CB8"/>
    <w:rsid w:val="00CA42E1"/>
    <w:rsid w:val="00CA4BB7"/>
    <w:rsid w:val="00CA4D0F"/>
    <w:rsid w:val="00CA5EBA"/>
    <w:rsid w:val="00CA5F70"/>
    <w:rsid w:val="00CA6488"/>
    <w:rsid w:val="00CA64CB"/>
    <w:rsid w:val="00CA6799"/>
    <w:rsid w:val="00CA69C5"/>
    <w:rsid w:val="00CA6A66"/>
    <w:rsid w:val="00CA6B8F"/>
    <w:rsid w:val="00CA6BD2"/>
    <w:rsid w:val="00CA6C49"/>
    <w:rsid w:val="00CA6CC0"/>
    <w:rsid w:val="00CA7CB0"/>
    <w:rsid w:val="00CA7E94"/>
    <w:rsid w:val="00CA7EAF"/>
    <w:rsid w:val="00CB01D3"/>
    <w:rsid w:val="00CB0465"/>
    <w:rsid w:val="00CB04F1"/>
    <w:rsid w:val="00CB0918"/>
    <w:rsid w:val="00CB0E4C"/>
    <w:rsid w:val="00CB1154"/>
    <w:rsid w:val="00CB18E2"/>
    <w:rsid w:val="00CB2789"/>
    <w:rsid w:val="00CB2827"/>
    <w:rsid w:val="00CB2A8C"/>
    <w:rsid w:val="00CB2C72"/>
    <w:rsid w:val="00CB2EA9"/>
    <w:rsid w:val="00CB2FD6"/>
    <w:rsid w:val="00CB3124"/>
    <w:rsid w:val="00CB3DB0"/>
    <w:rsid w:val="00CB3F6E"/>
    <w:rsid w:val="00CB4950"/>
    <w:rsid w:val="00CB4A0E"/>
    <w:rsid w:val="00CB4C8C"/>
    <w:rsid w:val="00CB4FA4"/>
    <w:rsid w:val="00CB55D5"/>
    <w:rsid w:val="00CB5DEA"/>
    <w:rsid w:val="00CB6269"/>
    <w:rsid w:val="00CB62F1"/>
    <w:rsid w:val="00CB6344"/>
    <w:rsid w:val="00CB66DE"/>
    <w:rsid w:val="00CB67C5"/>
    <w:rsid w:val="00CB6DA0"/>
    <w:rsid w:val="00CB6FC5"/>
    <w:rsid w:val="00CB7B12"/>
    <w:rsid w:val="00CB7C0A"/>
    <w:rsid w:val="00CB7CB1"/>
    <w:rsid w:val="00CC0827"/>
    <w:rsid w:val="00CC0AB9"/>
    <w:rsid w:val="00CC0CA3"/>
    <w:rsid w:val="00CC112F"/>
    <w:rsid w:val="00CC1466"/>
    <w:rsid w:val="00CC15E9"/>
    <w:rsid w:val="00CC19B8"/>
    <w:rsid w:val="00CC1B9B"/>
    <w:rsid w:val="00CC22BF"/>
    <w:rsid w:val="00CC2BB1"/>
    <w:rsid w:val="00CC2DE3"/>
    <w:rsid w:val="00CC34BB"/>
    <w:rsid w:val="00CC3E5D"/>
    <w:rsid w:val="00CC4261"/>
    <w:rsid w:val="00CC44A5"/>
    <w:rsid w:val="00CC4965"/>
    <w:rsid w:val="00CC50DB"/>
    <w:rsid w:val="00CC53D9"/>
    <w:rsid w:val="00CC74F6"/>
    <w:rsid w:val="00CD003F"/>
    <w:rsid w:val="00CD021E"/>
    <w:rsid w:val="00CD03EC"/>
    <w:rsid w:val="00CD072C"/>
    <w:rsid w:val="00CD087F"/>
    <w:rsid w:val="00CD0892"/>
    <w:rsid w:val="00CD0DE6"/>
    <w:rsid w:val="00CD1C33"/>
    <w:rsid w:val="00CD27BA"/>
    <w:rsid w:val="00CD2944"/>
    <w:rsid w:val="00CD2B5B"/>
    <w:rsid w:val="00CD2DA6"/>
    <w:rsid w:val="00CD2FF2"/>
    <w:rsid w:val="00CD311C"/>
    <w:rsid w:val="00CD32F4"/>
    <w:rsid w:val="00CD3362"/>
    <w:rsid w:val="00CD33AD"/>
    <w:rsid w:val="00CD3806"/>
    <w:rsid w:val="00CD408D"/>
    <w:rsid w:val="00CD4120"/>
    <w:rsid w:val="00CD412E"/>
    <w:rsid w:val="00CD442C"/>
    <w:rsid w:val="00CD46F4"/>
    <w:rsid w:val="00CD48EC"/>
    <w:rsid w:val="00CD4AA5"/>
    <w:rsid w:val="00CD5201"/>
    <w:rsid w:val="00CD5537"/>
    <w:rsid w:val="00CD5682"/>
    <w:rsid w:val="00CD66B3"/>
    <w:rsid w:val="00CD6825"/>
    <w:rsid w:val="00CD6DFF"/>
    <w:rsid w:val="00CD6FAE"/>
    <w:rsid w:val="00CD7CE2"/>
    <w:rsid w:val="00CE0076"/>
    <w:rsid w:val="00CE00B5"/>
    <w:rsid w:val="00CE00B7"/>
    <w:rsid w:val="00CE01A8"/>
    <w:rsid w:val="00CE024F"/>
    <w:rsid w:val="00CE06C4"/>
    <w:rsid w:val="00CE0752"/>
    <w:rsid w:val="00CE0962"/>
    <w:rsid w:val="00CE0CA4"/>
    <w:rsid w:val="00CE16BE"/>
    <w:rsid w:val="00CE1774"/>
    <w:rsid w:val="00CE1957"/>
    <w:rsid w:val="00CE1977"/>
    <w:rsid w:val="00CE202D"/>
    <w:rsid w:val="00CE230F"/>
    <w:rsid w:val="00CE2C1E"/>
    <w:rsid w:val="00CE3531"/>
    <w:rsid w:val="00CE3F0B"/>
    <w:rsid w:val="00CE4C99"/>
    <w:rsid w:val="00CE4DCA"/>
    <w:rsid w:val="00CE4DEC"/>
    <w:rsid w:val="00CE5093"/>
    <w:rsid w:val="00CE55D9"/>
    <w:rsid w:val="00CE57A1"/>
    <w:rsid w:val="00CE6002"/>
    <w:rsid w:val="00CE60CA"/>
    <w:rsid w:val="00CE613A"/>
    <w:rsid w:val="00CE6CB6"/>
    <w:rsid w:val="00CE6FBA"/>
    <w:rsid w:val="00CE7321"/>
    <w:rsid w:val="00CE741B"/>
    <w:rsid w:val="00CE7733"/>
    <w:rsid w:val="00CE78C1"/>
    <w:rsid w:val="00CE78D7"/>
    <w:rsid w:val="00CE7CF2"/>
    <w:rsid w:val="00CF0112"/>
    <w:rsid w:val="00CF02FE"/>
    <w:rsid w:val="00CF0788"/>
    <w:rsid w:val="00CF0A9D"/>
    <w:rsid w:val="00CF0D15"/>
    <w:rsid w:val="00CF0D7F"/>
    <w:rsid w:val="00CF0EA2"/>
    <w:rsid w:val="00CF0ED8"/>
    <w:rsid w:val="00CF0F4D"/>
    <w:rsid w:val="00CF11B0"/>
    <w:rsid w:val="00CF134F"/>
    <w:rsid w:val="00CF13CC"/>
    <w:rsid w:val="00CF1788"/>
    <w:rsid w:val="00CF17A6"/>
    <w:rsid w:val="00CF18BA"/>
    <w:rsid w:val="00CF1E64"/>
    <w:rsid w:val="00CF224B"/>
    <w:rsid w:val="00CF2503"/>
    <w:rsid w:val="00CF2889"/>
    <w:rsid w:val="00CF2A7D"/>
    <w:rsid w:val="00CF2AE2"/>
    <w:rsid w:val="00CF2C08"/>
    <w:rsid w:val="00CF2C65"/>
    <w:rsid w:val="00CF2CA9"/>
    <w:rsid w:val="00CF2E0D"/>
    <w:rsid w:val="00CF324E"/>
    <w:rsid w:val="00CF3934"/>
    <w:rsid w:val="00CF3986"/>
    <w:rsid w:val="00CF39E8"/>
    <w:rsid w:val="00CF3A14"/>
    <w:rsid w:val="00CF42AF"/>
    <w:rsid w:val="00CF43BA"/>
    <w:rsid w:val="00CF44F4"/>
    <w:rsid w:val="00CF450C"/>
    <w:rsid w:val="00CF472B"/>
    <w:rsid w:val="00CF51DE"/>
    <w:rsid w:val="00CF56B7"/>
    <w:rsid w:val="00CF56D5"/>
    <w:rsid w:val="00CF581C"/>
    <w:rsid w:val="00CF5F3A"/>
    <w:rsid w:val="00CF6318"/>
    <w:rsid w:val="00CF6E1B"/>
    <w:rsid w:val="00CF6FF1"/>
    <w:rsid w:val="00CF702F"/>
    <w:rsid w:val="00CF7075"/>
    <w:rsid w:val="00CF724E"/>
    <w:rsid w:val="00CF75A4"/>
    <w:rsid w:val="00CF773E"/>
    <w:rsid w:val="00CF7757"/>
    <w:rsid w:val="00CF7C54"/>
    <w:rsid w:val="00CF7D1F"/>
    <w:rsid w:val="00D000F1"/>
    <w:rsid w:val="00D00297"/>
    <w:rsid w:val="00D002BC"/>
    <w:rsid w:val="00D0081E"/>
    <w:rsid w:val="00D00C46"/>
    <w:rsid w:val="00D010A1"/>
    <w:rsid w:val="00D013D0"/>
    <w:rsid w:val="00D0148E"/>
    <w:rsid w:val="00D01491"/>
    <w:rsid w:val="00D014BC"/>
    <w:rsid w:val="00D0181A"/>
    <w:rsid w:val="00D01FC6"/>
    <w:rsid w:val="00D02280"/>
    <w:rsid w:val="00D0248A"/>
    <w:rsid w:val="00D025B4"/>
    <w:rsid w:val="00D02B3C"/>
    <w:rsid w:val="00D038AC"/>
    <w:rsid w:val="00D03A90"/>
    <w:rsid w:val="00D03E66"/>
    <w:rsid w:val="00D0403D"/>
    <w:rsid w:val="00D04E3E"/>
    <w:rsid w:val="00D05196"/>
    <w:rsid w:val="00D052D5"/>
    <w:rsid w:val="00D05E6C"/>
    <w:rsid w:val="00D062D0"/>
    <w:rsid w:val="00D06335"/>
    <w:rsid w:val="00D06A58"/>
    <w:rsid w:val="00D076B1"/>
    <w:rsid w:val="00D078CA"/>
    <w:rsid w:val="00D07B7A"/>
    <w:rsid w:val="00D07DF8"/>
    <w:rsid w:val="00D07EE1"/>
    <w:rsid w:val="00D10645"/>
    <w:rsid w:val="00D10E41"/>
    <w:rsid w:val="00D111FB"/>
    <w:rsid w:val="00D11B16"/>
    <w:rsid w:val="00D12872"/>
    <w:rsid w:val="00D12FF9"/>
    <w:rsid w:val="00D132B2"/>
    <w:rsid w:val="00D136E5"/>
    <w:rsid w:val="00D13A0B"/>
    <w:rsid w:val="00D13D58"/>
    <w:rsid w:val="00D14922"/>
    <w:rsid w:val="00D14A06"/>
    <w:rsid w:val="00D14D14"/>
    <w:rsid w:val="00D14EB4"/>
    <w:rsid w:val="00D150AE"/>
    <w:rsid w:val="00D1540B"/>
    <w:rsid w:val="00D156F3"/>
    <w:rsid w:val="00D15796"/>
    <w:rsid w:val="00D159CF"/>
    <w:rsid w:val="00D15C52"/>
    <w:rsid w:val="00D16648"/>
    <w:rsid w:val="00D16B48"/>
    <w:rsid w:val="00D16BB4"/>
    <w:rsid w:val="00D16CE7"/>
    <w:rsid w:val="00D170D2"/>
    <w:rsid w:val="00D17228"/>
    <w:rsid w:val="00D1733C"/>
    <w:rsid w:val="00D1753D"/>
    <w:rsid w:val="00D17E7C"/>
    <w:rsid w:val="00D203D0"/>
    <w:rsid w:val="00D20966"/>
    <w:rsid w:val="00D20CDE"/>
    <w:rsid w:val="00D20DB8"/>
    <w:rsid w:val="00D21302"/>
    <w:rsid w:val="00D2167E"/>
    <w:rsid w:val="00D21C13"/>
    <w:rsid w:val="00D229CF"/>
    <w:rsid w:val="00D22BE6"/>
    <w:rsid w:val="00D22D56"/>
    <w:rsid w:val="00D23356"/>
    <w:rsid w:val="00D234C6"/>
    <w:rsid w:val="00D236FD"/>
    <w:rsid w:val="00D23AF3"/>
    <w:rsid w:val="00D23C83"/>
    <w:rsid w:val="00D23E16"/>
    <w:rsid w:val="00D23E40"/>
    <w:rsid w:val="00D2402E"/>
    <w:rsid w:val="00D242D2"/>
    <w:rsid w:val="00D24C6C"/>
    <w:rsid w:val="00D24D8E"/>
    <w:rsid w:val="00D24FD9"/>
    <w:rsid w:val="00D25041"/>
    <w:rsid w:val="00D25395"/>
    <w:rsid w:val="00D25B96"/>
    <w:rsid w:val="00D260F4"/>
    <w:rsid w:val="00D27694"/>
    <w:rsid w:val="00D27F3B"/>
    <w:rsid w:val="00D30031"/>
    <w:rsid w:val="00D30799"/>
    <w:rsid w:val="00D3124C"/>
    <w:rsid w:val="00D31967"/>
    <w:rsid w:val="00D31DE7"/>
    <w:rsid w:val="00D32557"/>
    <w:rsid w:val="00D32F47"/>
    <w:rsid w:val="00D330A5"/>
    <w:rsid w:val="00D33121"/>
    <w:rsid w:val="00D33576"/>
    <w:rsid w:val="00D337C4"/>
    <w:rsid w:val="00D33A99"/>
    <w:rsid w:val="00D33BCB"/>
    <w:rsid w:val="00D33CE4"/>
    <w:rsid w:val="00D3479A"/>
    <w:rsid w:val="00D34A0E"/>
    <w:rsid w:val="00D34BBF"/>
    <w:rsid w:val="00D34E03"/>
    <w:rsid w:val="00D34E47"/>
    <w:rsid w:val="00D358F0"/>
    <w:rsid w:val="00D35CBE"/>
    <w:rsid w:val="00D368DE"/>
    <w:rsid w:val="00D36CFF"/>
    <w:rsid w:val="00D375EB"/>
    <w:rsid w:val="00D377B1"/>
    <w:rsid w:val="00D400A1"/>
    <w:rsid w:val="00D400C3"/>
    <w:rsid w:val="00D4051E"/>
    <w:rsid w:val="00D40ABC"/>
    <w:rsid w:val="00D40AF0"/>
    <w:rsid w:val="00D410F2"/>
    <w:rsid w:val="00D4169C"/>
    <w:rsid w:val="00D425AC"/>
    <w:rsid w:val="00D42871"/>
    <w:rsid w:val="00D42880"/>
    <w:rsid w:val="00D42F41"/>
    <w:rsid w:val="00D4302F"/>
    <w:rsid w:val="00D430C5"/>
    <w:rsid w:val="00D43176"/>
    <w:rsid w:val="00D43ABD"/>
    <w:rsid w:val="00D43D09"/>
    <w:rsid w:val="00D44472"/>
    <w:rsid w:val="00D448EA"/>
    <w:rsid w:val="00D44CFD"/>
    <w:rsid w:val="00D44EC1"/>
    <w:rsid w:val="00D45D49"/>
    <w:rsid w:val="00D45EF7"/>
    <w:rsid w:val="00D45FB6"/>
    <w:rsid w:val="00D46304"/>
    <w:rsid w:val="00D46D2E"/>
    <w:rsid w:val="00D46FDC"/>
    <w:rsid w:val="00D47044"/>
    <w:rsid w:val="00D47EE2"/>
    <w:rsid w:val="00D50110"/>
    <w:rsid w:val="00D5046F"/>
    <w:rsid w:val="00D5078E"/>
    <w:rsid w:val="00D50CCB"/>
    <w:rsid w:val="00D511E6"/>
    <w:rsid w:val="00D513BC"/>
    <w:rsid w:val="00D5160C"/>
    <w:rsid w:val="00D516B9"/>
    <w:rsid w:val="00D521C5"/>
    <w:rsid w:val="00D522A3"/>
    <w:rsid w:val="00D5264F"/>
    <w:rsid w:val="00D526CA"/>
    <w:rsid w:val="00D528B8"/>
    <w:rsid w:val="00D52BCB"/>
    <w:rsid w:val="00D535C5"/>
    <w:rsid w:val="00D535F7"/>
    <w:rsid w:val="00D536C0"/>
    <w:rsid w:val="00D5400D"/>
    <w:rsid w:val="00D549A2"/>
    <w:rsid w:val="00D55016"/>
    <w:rsid w:val="00D55737"/>
    <w:rsid w:val="00D558B1"/>
    <w:rsid w:val="00D55A1B"/>
    <w:rsid w:val="00D55F0A"/>
    <w:rsid w:val="00D56055"/>
    <w:rsid w:val="00D56177"/>
    <w:rsid w:val="00D563D5"/>
    <w:rsid w:val="00D5673E"/>
    <w:rsid w:val="00D56B32"/>
    <w:rsid w:val="00D5745C"/>
    <w:rsid w:val="00D57466"/>
    <w:rsid w:val="00D576FB"/>
    <w:rsid w:val="00D578EC"/>
    <w:rsid w:val="00D60052"/>
    <w:rsid w:val="00D60261"/>
    <w:rsid w:val="00D6038E"/>
    <w:rsid w:val="00D605D4"/>
    <w:rsid w:val="00D60DA1"/>
    <w:rsid w:val="00D610C1"/>
    <w:rsid w:val="00D6149D"/>
    <w:rsid w:val="00D61D28"/>
    <w:rsid w:val="00D620C4"/>
    <w:rsid w:val="00D622BD"/>
    <w:rsid w:val="00D625E7"/>
    <w:rsid w:val="00D627F7"/>
    <w:rsid w:val="00D62B05"/>
    <w:rsid w:val="00D62FA1"/>
    <w:rsid w:val="00D6304D"/>
    <w:rsid w:val="00D63380"/>
    <w:rsid w:val="00D633AF"/>
    <w:rsid w:val="00D6360C"/>
    <w:rsid w:val="00D638FC"/>
    <w:rsid w:val="00D63978"/>
    <w:rsid w:val="00D63CA0"/>
    <w:rsid w:val="00D63CE4"/>
    <w:rsid w:val="00D63F75"/>
    <w:rsid w:val="00D640E6"/>
    <w:rsid w:val="00D64961"/>
    <w:rsid w:val="00D6510E"/>
    <w:rsid w:val="00D65371"/>
    <w:rsid w:val="00D6586C"/>
    <w:rsid w:val="00D6598B"/>
    <w:rsid w:val="00D659A4"/>
    <w:rsid w:val="00D66145"/>
    <w:rsid w:val="00D66A8A"/>
    <w:rsid w:val="00D66C1C"/>
    <w:rsid w:val="00D66F0E"/>
    <w:rsid w:val="00D67889"/>
    <w:rsid w:val="00D701B9"/>
    <w:rsid w:val="00D70333"/>
    <w:rsid w:val="00D70460"/>
    <w:rsid w:val="00D7104B"/>
    <w:rsid w:val="00D71280"/>
    <w:rsid w:val="00D71617"/>
    <w:rsid w:val="00D71EB0"/>
    <w:rsid w:val="00D722CF"/>
    <w:rsid w:val="00D72B52"/>
    <w:rsid w:val="00D72F11"/>
    <w:rsid w:val="00D7318B"/>
    <w:rsid w:val="00D73210"/>
    <w:rsid w:val="00D732C3"/>
    <w:rsid w:val="00D737DE"/>
    <w:rsid w:val="00D748E9"/>
    <w:rsid w:val="00D74BF2"/>
    <w:rsid w:val="00D75030"/>
    <w:rsid w:val="00D750A5"/>
    <w:rsid w:val="00D7511C"/>
    <w:rsid w:val="00D755E7"/>
    <w:rsid w:val="00D7587E"/>
    <w:rsid w:val="00D75D40"/>
    <w:rsid w:val="00D760C5"/>
    <w:rsid w:val="00D7695A"/>
    <w:rsid w:val="00D77649"/>
    <w:rsid w:val="00D7788C"/>
    <w:rsid w:val="00D779F9"/>
    <w:rsid w:val="00D77AF0"/>
    <w:rsid w:val="00D77DFF"/>
    <w:rsid w:val="00D80053"/>
    <w:rsid w:val="00D80337"/>
    <w:rsid w:val="00D80462"/>
    <w:rsid w:val="00D80670"/>
    <w:rsid w:val="00D807B7"/>
    <w:rsid w:val="00D8080B"/>
    <w:rsid w:val="00D80A4F"/>
    <w:rsid w:val="00D80BB3"/>
    <w:rsid w:val="00D80DD3"/>
    <w:rsid w:val="00D80E33"/>
    <w:rsid w:val="00D81386"/>
    <w:rsid w:val="00D81EC5"/>
    <w:rsid w:val="00D81F1F"/>
    <w:rsid w:val="00D8212C"/>
    <w:rsid w:val="00D824D5"/>
    <w:rsid w:val="00D827E2"/>
    <w:rsid w:val="00D82AB8"/>
    <w:rsid w:val="00D830A0"/>
    <w:rsid w:val="00D83912"/>
    <w:rsid w:val="00D84009"/>
    <w:rsid w:val="00D840BB"/>
    <w:rsid w:val="00D845A3"/>
    <w:rsid w:val="00D847F5"/>
    <w:rsid w:val="00D849DB"/>
    <w:rsid w:val="00D84B46"/>
    <w:rsid w:val="00D85210"/>
    <w:rsid w:val="00D86791"/>
    <w:rsid w:val="00D86A15"/>
    <w:rsid w:val="00D86B32"/>
    <w:rsid w:val="00D86CDD"/>
    <w:rsid w:val="00D86D62"/>
    <w:rsid w:val="00D86D91"/>
    <w:rsid w:val="00D873CC"/>
    <w:rsid w:val="00D8757F"/>
    <w:rsid w:val="00D876DD"/>
    <w:rsid w:val="00D87AA3"/>
    <w:rsid w:val="00D87ADC"/>
    <w:rsid w:val="00D87BEC"/>
    <w:rsid w:val="00D87D74"/>
    <w:rsid w:val="00D87E58"/>
    <w:rsid w:val="00D9006C"/>
    <w:rsid w:val="00D9024E"/>
    <w:rsid w:val="00D903F4"/>
    <w:rsid w:val="00D90D80"/>
    <w:rsid w:val="00D910D6"/>
    <w:rsid w:val="00D91386"/>
    <w:rsid w:val="00D922E7"/>
    <w:rsid w:val="00D9255F"/>
    <w:rsid w:val="00D92609"/>
    <w:rsid w:val="00D9266C"/>
    <w:rsid w:val="00D92E4A"/>
    <w:rsid w:val="00D93267"/>
    <w:rsid w:val="00D94257"/>
    <w:rsid w:val="00D94DF7"/>
    <w:rsid w:val="00D9560C"/>
    <w:rsid w:val="00D95A82"/>
    <w:rsid w:val="00D9625F"/>
    <w:rsid w:val="00D963B5"/>
    <w:rsid w:val="00D96488"/>
    <w:rsid w:val="00D967C8"/>
    <w:rsid w:val="00D968CA"/>
    <w:rsid w:val="00D96B03"/>
    <w:rsid w:val="00D96D60"/>
    <w:rsid w:val="00D96DAA"/>
    <w:rsid w:val="00D9756E"/>
    <w:rsid w:val="00D976C2"/>
    <w:rsid w:val="00D97A49"/>
    <w:rsid w:val="00D97CDE"/>
    <w:rsid w:val="00D97DAB"/>
    <w:rsid w:val="00D97ED6"/>
    <w:rsid w:val="00DA0163"/>
    <w:rsid w:val="00DA098A"/>
    <w:rsid w:val="00DA0C94"/>
    <w:rsid w:val="00DA0F0A"/>
    <w:rsid w:val="00DA1332"/>
    <w:rsid w:val="00DA13A0"/>
    <w:rsid w:val="00DA17D0"/>
    <w:rsid w:val="00DA1984"/>
    <w:rsid w:val="00DA1C9F"/>
    <w:rsid w:val="00DA1D64"/>
    <w:rsid w:val="00DA1DFB"/>
    <w:rsid w:val="00DA2028"/>
    <w:rsid w:val="00DA2185"/>
    <w:rsid w:val="00DA2297"/>
    <w:rsid w:val="00DA231C"/>
    <w:rsid w:val="00DA235A"/>
    <w:rsid w:val="00DA2395"/>
    <w:rsid w:val="00DA2920"/>
    <w:rsid w:val="00DA2973"/>
    <w:rsid w:val="00DA30B7"/>
    <w:rsid w:val="00DA33A4"/>
    <w:rsid w:val="00DA37FE"/>
    <w:rsid w:val="00DA395C"/>
    <w:rsid w:val="00DA3A22"/>
    <w:rsid w:val="00DA3AF4"/>
    <w:rsid w:val="00DA422C"/>
    <w:rsid w:val="00DA46B2"/>
    <w:rsid w:val="00DA4706"/>
    <w:rsid w:val="00DA4A0E"/>
    <w:rsid w:val="00DA4DD5"/>
    <w:rsid w:val="00DA5B86"/>
    <w:rsid w:val="00DA5EBB"/>
    <w:rsid w:val="00DA6372"/>
    <w:rsid w:val="00DA65B4"/>
    <w:rsid w:val="00DA6D29"/>
    <w:rsid w:val="00DA7003"/>
    <w:rsid w:val="00DA71CF"/>
    <w:rsid w:val="00DA7390"/>
    <w:rsid w:val="00DA7974"/>
    <w:rsid w:val="00DA79C0"/>
    <w:rsid w:val="00DA7F78"/>
    <w:rsid w:val="00DA7FBB"/>
    <w:rsid w:val="00DA7FEA"/>
    <w:rsid w:val="00DB013B"/>
    <w:rsid w:val="00DB039E"/>
    <w:rsid w:val="00DB03D5"/>
    <w:rsid w:val="00DB0904"/>
    <w:rsid w:val="00DB1851"/>
    <w:rsid w:val="00DB1C06"/>
    <w:rsid w:val="00DB1CD2"/>
    <w:rsid w:val="00DB1D28"/>
    <w:rsid w:val="00DB1FD6"/>
    <w:rsid w:val="00DB2990"/>
    <w:rsid w:val="00DB311E"/>
    <w:rsid w:val="00DB33FD"/>
    <w:rsid w:val="00DB3427"/>
    <w:rsid w:val="00DB36C3"/>
    <w:rsid w:val="00DB3C34"/>
    <w:rsid w:val="00DB3D43"/>
    <w:rsid w:val="00DB3FA3"/>
    <w:rsid w:val="00DB41C2"/>
    <w:rsid w:val="00DB45C2"/>
    <w:rsid w:val="00DB4676"/>
    <w:rsid w:val="00DB4E53"/>
    <w:rsid w:val="00DB5B68"/>
    <w:rsid w:val="00DB5E66"/>
    <w:rsid w:val="00DB5EDB"/>
    <w:rsid w:val="00DB61C3"/>
    <w:rsid w:val="00DB691D"/>
    <w:rsid w:val="00DB6A90"/>
    <w:rsid w:val="00DB6C82"/>
    <w:rsid w:val="00DB6CB7"/>
    <w:rsid w:val="00DB7A41"/>
    <w:rsid w:val="00DB7CC3"/>
    <w:rsid w:val="00DB7D2E"/>
    <w:rsid w:val="00DB7E00"/>
    <w:rsid w:val="00DB7E70"/>
    <w:rsid w:val="00DC0252"/>
    <w:rsid w:val="00DC0913"/>
    <w:rsid w:val="00DC0B96"/>
    <w:rsid w:val="00DC1044"/>
    <w:rsid w:val="00DC146A"/>
    <w:rsid w:val="00DC14BE"/>
    <w:rsid w:val="00DC15D0"/>
    <w:rsid w:val="00DC180D"/>
    <w:rsid w:val="00DC180F"/>
    <w:rsid w:val="00DC1B38"/>
    <w:rsid w:val="00DC1B5C"/>
    <w:rsid w:val="00DC1C83"/>
    <w:rsid w:val="00DC1EDE"/>
    <w:rsid w:val="00DC1FAB"/>
    <w:rsid w:val="00DC1FD0"/>
    <w:rsid w:val="00DC208E"/>
    <w:rsid w:val="00DC2104"/>
    <w:rsid w:val="00DC21E0"/>
    <w:rsid w:val="00DC220E"/>
    <w:rsid w:val="00DC2489"/>
    <w:rsid w:val="00DC268A"/>
    <w:rsid w:val="00DC2889"/>
    <w:rsid w:val="00DC296A"/>
    <w:rsid w:val="00DC29D6"/>
    <w:rsid w:val="00DC2B64"/>
    <w:rsid w:val="00DC2BEA"/>
    <w:rsid w:val="00DC2D77"/>
    <w:rsid w:val="00DC33BF"/>
    <w:rsid w:val="00DC3873"/>
    <w:rsid w:val="00DC38D1"/>
    <w:rsid w:val="00DC393F"/>
    <w:rsid w:val="00DC3969"/>
    <w:rsid w:val="00DC3A76"/>
    <w:rsid w:val="00DC3AEA"/>
    <w:rsid w:val="00DC3B40"/>
    <w:rsid w:val="00DC499D"/>
    <w:rsid w:val="00DC4A9E"/>
    <w:rsid w:val="00DC50B5"/>
    <w:rsid w:val="00DC5135"/>
    <w:rsid w:val="00DC5951"/>
    <w:rsid w:val="00DC5953"/>
    <w:rsid w:val="00DC59C8"/>
    <w:rsid w:val="00DC5DC5"/>
    <w:rsid w:val="00DC5EEA"/>
    <w:rsid w:val="00DC78DB"/>
    <w:rsid w:val="00DD0382"/>
    <w:rsid w:val="00DD0E3B"/>
    <w:rsid w:val="00DD1020"/>
    <w:rsid w:val="00DD1EB5"/>
    <w:rsid w:val="00DD2373"/>
    <w:rsid w:val="00DD24C7"/>
    <w:rsid w:val="00DD2B86"/>
    <w:rsid w:val="00DD2E62"/>
    <w:rsid w:val="00DD2EB6"/>
    <w:rsid w:val="00DD385E"/>
    <w:rsid w:val="00DD3F4A"/>
    <w:rsid w:val="00DD40C1"/>
    <w:rsid w:val="00DD42E4"/>
    <w:rsid w:val="00DD4899"/>
    <w:rsid w:val="00DD5552"/>
    <w:rsid w:val="00DD5679"/>
    <w:rsid w:val="00DD5DD3"/>
    <w:rsid w:val="00DD6030"/>
    <w:rsid w:val="00DD6199"/>
    <w:rsid w:val="00DD6234"/>
    <w:rsid w:val="00DD64F3"/>
    <w:rsid w:val="00DD6C04"/>
    <w:rsid w:val="00DD6F77"/>
    <w:rsid w:val="00DD70E9"/>
    <w:rsid w:val="00DD7545"/>
    <w:rsid w:val="00DD75BC"/>
    <w:rsid w:val="00DD770D"/>
    <w:rsid w:val="00DD7936"/>
    <w:rsid w:val="00DD7E11"/>
    <w:rsid w:val="00DE08EE"/>
    <w:rsid w:val="00DE0C6A"/>
    <w:rsid w:val="00DE1855"/>
    <w:rsid w:val="00DE1EAB"/>
    <w:rsid w:val="00DE1F2F"/>
    <w:rsid w:val="00DE2061"/>
    <w:rsid w:val="00DE26EE"/>
    <w:rsid w:val="00DE27FA"/>
    <w:rsid w:val="00DE2A82"/>
    <w:rsid w:val="00DE2B6D"/>
    <w:rsid w:val="00DE2E7D"/>
    <w:rsid w:val="00DE3406"/>
    <w:rsid w:val="00DE37E1"/>
    <w:rsid w:val="00DE3814"/>
    <w:rsid w:val="00DE391D"/>
    <w:rsid w:val="00DE39A1"/>
    <w:rsid w:val="00DE3C60"/>
    <w:rsid w:val="00DE3EED"/>
    <w:rsid w:val="00DE4593"/>
    <w:rsid w:val="00DE4A83"/>
    <w:rsid w:val="00DE4AD5"/>
    <w:rsid w:val="00DE5580"/>
    <w:rsid w:val="00DE5B20"/>
    <w:rsid w:val="00DE5DB5"/>
    <w:rsid w:val="00DE5FF3"/>
    <w:rsid w:val="00DE60E5"/>
    <w:rsid w:val="00DE634F"/>
    <w:rsid w:val="00DE664D"/>
    <w:rsid w:val="00DE6A7B"/>
    <w:rsid w:val="00DE6B0F"/>
    <w:rsid w:val="00DE6C09"/>
    <w:rsid w:val="00DE709A"/>
    <w:rsid w:val="00DE7116"/>
    <w:rsid w:val="00DE75F5"/>
    <w:rsid w:val="00DE76B5"/>
    <w:rsid w:val="00DE7E07"/>
    <w:rsid w:val="00DF004F"/>
    <w:rsid w:val="00DF052F"/>
    <w:rsid w:val="00DF06CB"/>
    <w:rsid w:val="00DF07BA"/>
    <w:rsid w:val="00DF08F2"/>
    <w:rsid w:val="00DF0F35"/>
    <w:rsid w:val="00DF0FF5"/>
    <w:rsid w:val="00DF11FA"/>
    <w:rsid w:val="00DF124D"/>
    <w:rsid w:val="00DF1331"/>
    <w:rsid w:val="00DF13F5"/>
    <w:rsid w:val="00DF194D"/>
    <w:rsid w:val="00DF1B3E"/>
    <w:rsid w:val="00DF1D2E"/>
    <w:rsid w:val="00DF1F77"/>
    <w:rsid w:val="00DF24E3"/>
    <w:rsid w:val="00DF2B33"/>
    <w:rsid w:val="00DF493E"/>
    <w:rsid w:val="00DF49B5"/>
    <w:rsid w:val="00DF49FA"/>
    <w:rsid w:val="00DF4FC6"/>
    <w:rsid w:val="00DF4FCB"/>
    <w:rsid w:val="00DF5619"/>
    <w:rsid w:val="00DF58E2"/>
    <w:rsid w:val="00DF5CAB"/>
    <w:rsid w:val="00DF5EDF"/>
    <w:rsid w:val="00DF615A"/>
    <w:rsid w:val="00DF679C"/>
    <w:rsid w:val="00DF6841"/>
    <w:rsid w:val="00DF6A71"/>
    <w:rsid w:val="00DF6A7B"/>
    <w:rsid w:val="00DF7114"/>
    <w:rsid w:val="00DF7492"/>
    <w:rsid w:val="00DF75E6"/>
    <w:rsid w:val="00DF7806"/>
    <w:rsid w:val="00DF7D65"/>
    <w:rsid w:val="00DF7F98"/>
    <w:rsid w:val="00DF7FD1"/>
    <w:rsid w:val="00E0005B"/>
    <w:rsid w:val="00E00672"/>
    <w:rsid w:val="00E0077C"/>
    <w:rsid w:val="00E010D7"/>
    <w:rsid w:val="00E011DC"/>
    <w:rsid w:val="00E013E6"/>
    <w:rsid w:val="00E0165C"/>
    <w:rsid w:val="00E016CB"/>
    <w:rsid w:val="00E01775"/>
    <w:rsid w:val="00E01AC9"/>
    <w:rsid w:val="00E01B79"/>
    <w:rsid w:val="00E02412"/>
    <w:rsid w:val="00E024E6"/>
    <w:rsid w:val="00E0278D"/>
    <w:rsid w:val="00E02A70"/>
    <w:rsid w:val="00E02BC4"/>
    <w:rsid w:val="00E02DC9"/>
    <w:rsid w:val="00E02F19"/>
    <w:rsid w:val="00E032C0"/>
    <w:rsid w:val="00E0380B"/>
    <w:rsid w:val="00E03AF9"/>
    <w:rsid w:val="00E03B96"/>
    <w:rsid w:val="00E045F6"/>
    <w:rsid w:val="00E04A2D"/>
    <w:rsid w:val="00E04B9A"/>
    <w:rsid w:val="00E04FB9"/>
    <w:rsid w:val="00E05408"/>
    <w:rsid w:val="00E055A1"/>
    <w:rsid w:val="00E05EA7"/>
    <w:rsid w:val="00E0691D"/>
    <w:rsid w:val="00E06C3E"/>
    <w:rsid w:val="00E07667"/>
    <w:rsid w:val="00E0773C"/>
    <w:rsid w:val="00E0798C"/>
    <w:rsid w:val="00E07B89"/>
    <w:rsid w:val="00E07FF0"/>
    <w:rsid w:val="00E1021B"/>
    <w:rsid w:val="00E10344"/>
    <w:rsid w:val="00E10ED5"/>
    <w:rsid w:val="00E112B8"/>
    <w:rsid w:val="00E11449"/>
    <w:rsid w:val="00E11642"/>
    <w:rsid w:val="00E11825"/>
    <w:rsid w:val="00E11BF1"/>
    <w:rsid w:val="00E11C50"/>
    <w:rsid w:val="00E11F29"/>
    <w:rsid w:val="00E11F2D"/>
    <w:rsid w:val="00E1210B"/>
    <w:rsid w:val="00E12139"/>
    <w:rsid w:val="00E122D6"/>
    <w:rsid w:val="00E12A55"/>
    <w:rsid w:val="00E12E22"/>
    <w:rsid w:val="00E12E28"/>
    <w:rsid w:val="00E12F0A"/>
    <w:rsid w:val="00E12F43"/>
    <w:rsid w:val="00E13357"/>
    <w:rsid w:val="00E13ED2"/>
    <w:rsid w:val="00E14132"/>
    <w:rsid w:val="00E14A2D"/>
    <w:rsid w:val="00E15278"/>
    <w:rsid w:val="00E15345"/>
    <w:rsid w:val="00E15770"/>
    <w:rsid w:val="00E1581C"/>
    <w:rsid w:val="00E15F47"/>
    <w:rsid w:val="00E16353"/>
    <w:rsid w:val="00E1693D"/>
    <w:rsid w:val="00E16A5A"/>
    <w:rsid w:val="00E16D36"/>
    <w:rsid w:val="00E16FE5"/>
    <w:rsid w:val="00E17D2A"/>
    <w:rsid w:val="00E203B7"/>
    <w:rsid w:val="00E20632"/>
    <w:rsid w:val="00E208BE"/>
    <w:rsid w:val="00E20BE5"/>
    <w:rsid w:val="00E20D5E"/>
    <w:rsid w:val="00E20F4E"/>
    <w:rsid w:val="00E2144F"/>
    <w:rsid w:val="00E2153E"/>
    <w:rsid w:val="00E215F1"/>
    <w:rsid w:val="00E2345B"/>
    <w:rsid w:val="00E2387C"/>
    <w:rsid w:val="00E238D0"/>
    <w:rsid w:val="00E24251"/>
    <w:rsid w:val="00E246E9"/>
    <w:rsid w:val="00E24A0F"/>
    <w:rsid w:val="00E24E9F"/>
    <w:rsid w:val="00E25E5A"/>
    <w:rsid w:val="00E261BF"/>
    <w:rsid w:val="00E2685B"/>
    <w:rsid w:val="00E26987"/>
    <w:rsid w:val="00E26B36"/>
    <w:rsid w:val="00E26DD6"/>
    <w:rsid w:val="00E26E2C"/>
    <w:rsid w:val="00E2707B"/>
    <w:rsid w:val="00E2749F"/>
    <w:rsid w:val="00E27601"/>
    <w:rsid w:val="00E27645"/>
    <w:rsid w:val="00E30031"/>
    <w:rsid w:val="00E304F8"/>
    <w:rsid w:val="00E30702"/>
    <w:rsid w:val="00E3078D"/>
    <w:rsid w:val="00E3173F"/>
    <w:rsid w:val="00E31C45"/>
    <w:rsid w:val="00E31ED9"/>
    <w:rsid w:val="00E322C8"/>
    <w:rsid w:val="00E325E4"/>
    <w:rsid w:val="00E32727"/>
    <w:rsid w:val="00E32E4C"/>
    <w:rsid w:val="00E3307E"/>
    <w:rsid w:val="00E335D0"/>
    <w:rsid w:val="00E33BB0"/>
    <w:rsid w:val="00E33F91"/>
    <w:rsid w:val="00E343B2"/>
    <w:rsid w:val="00E346DF"/>
    <w:rsid w:val="00E35012"/>
    <w:rsid w:val="00E351EA"/>
    <w:rsid w:val="00E35607"/>
    <w:rsid w:val="00E367E4"/>
    <w:rsid w:val="00E369CC"/>
    <w:rsid w:val="00E36C0B"/>
    <w:rsid w:val="00E36E4A"/>
    <w:rsid w:val="00E37A29"/>
    <w:rsid w:val="00E37F63"/>
    <w:rsid w:val="00E4018F"/>
    <w:rsid w:val="00E402D6"/>
    <w:rsid w:val="00E4080F"/>
    <w:rsid w:val="00E408BF"/>
    <w:rsid w:val="00E409D7"/>
    <w:rsid w:val="00E40BCB"/>
    <w:rsid w:val="00E40CAD"/>
    <w:rsid w:val="00E40D08"/>
    <w:rsid w:val="00E411E8"/>
    <w:rsid w:val="00E4138F"/>
    <w:rsid w:val="00E41893"/>
    <w:rsid w:val="00E418A4"/>
    <w:rsid w:val="00E41DB1"/>
    <w:rsid w:val="00E42018"/>
    <w:rsid w:val="00E42245"/>
    <w:rsid w:val="00E42CF2"/>
    <w:rsid w:val="00E43329"/>
    <w:rsid w:val="00E43391"/>
    <w:rsid w:val="00E4362C"/>
    <w:rsid w:val="00E438A6"/>
    <w:rsid w:val="00E43EF7"/>
    <w:rsid w:val="00E43FA9"/>
    <w:rsid w:val="00E44075"/>
    <w:rsid w:val="00E4437D"/>
    <w:rsid w:val="00E4446A"/>
    <w:rsid w:val="00E44579"/>
    <w:rsid w:val="00E44D0D"/>
    <w:rsid w:val="00E451D7"/>
    <w:rsid w:val="00E452AC"/>
    <w:rsid w:val="00E4544B"/>
    <w:rsid w:val="00E457EB"/>
    <w:rsid w:val="00E4597D"/>
    <w:rsid w:val="00E45EBE"/>
    <w:rsid w:val="00E463A2"/>
    <w:rsid w:val="00E4650F"/>
    <w:rsid w:val="00E46555"/>
    <w:rsid w:val="00E46EC1"/>
    <w:rsid w:val="00E47325"/>
    <w:rsid w:val="00E4794F"/>
    <w:rsid w:val="00E47D3F"/>
    <w:rsid w:val="00E47DA3"/>
    <w:rsid w:val="00E47FA6"/>
    <w:rsid w:val="00E5062B"/>
    <w:rsid w:val="00E5066E"/>
    <w:rsid w:val="00E50CBB"/>
    <w:rsid w:val="00E50D53"/>
    <w:rsid w:val="00E51A36"/>
    <w:rsid w:val="00E51A61"/>
    <w:rsid w:val="00E51CC1"/>
    <w:rsid w:val="00E520D3"/>
    <w:rsid w:val="00E52385"/>
    <w:rsid w:val="00E529B5"/>
    <w:rsid w:val="00E52FC8"/>
    <w:rsid w:val="00E5378B"/>
    <w:rsid w:val="00E53CD7"/>
    <w:rsid w:val="00E541AD"/>
    <w:rsid w:val="00E54354"/>
    <w:rsid w:val="00E54BED"/>
    <w:rsid w:val="00E5522B"/>
    <w:rsid w:val="00E556F9"/>
    <w:rsid w:val="00E55844"/>
    <w:rsid w:val="00E55FD5"/>
    <w:rsid w:val="00E56330"/>
    <w:rsid w:val="00E563B1"/>
    <w:rsid w:val="00E56DC3"/>
    <w:rsid w:val="00E56EA4"/>
    <w:rsid w:val="00E570B0"/>
    <w:rsid w:val="00E571B1"/>
    <w:rsid w:val="00E5770B"/>
    <w:rsid w:val="00E57D2F"/>
    <w:rsid w:val="00E6023E"/>
    <w:rsid w:val="00E602E5"/>
    <w:rsid w:val="00E6036E"/>
    <w:rsid w:val="00E603AF"/>
    <w:rsid w:val="00E60991"/>
    <w:rsid w:val="00E60C38"/>
    <w:rsid w:val="00E60C4A"/>
    <w:rsid w:val="00E61336"/>
    <w:rsid w:val="00E61727"/>
    <w:rsid w:val="00E61F88"/>
    <w:rsid w:val="00E626B9"/>
    <w:rsid w:val="00E62730"/>
    <w:rsid w:val="00E6284F"/>
    <w:rsid w:val="00E62B8B"/>
    <w:rsid w:val="00E630B8"/>
    <w:rsid w:val="00E63396"/>
    <w:rsid w:val="00E6360A"/>
    <w:rsid w:val="00E636D4"/>
    <w:rsid w:val="00E637AB"/>
    <w:rsid w:val="00E63D29"/>
    <w:rsid w:val="00E64355"/>
    <w:rsid w:val="00E64400"/>
    <w:rsid w:val="00E64567"/>
    <w:rsid w:val="00E645EF"/>
    <w:rsid w:val="00E64615"/>
    <w:rsid w:val="00E6498A"/>
    <w:rsid w:val="00E64A18"/>
    <w:rsid w:val="00E64BB0"/>
    <w:rsid w:val="00E65438"/>
    <w:rsid w:val="00E65841"/>
    <w:rsid w:val="00E65979"/>
    <w:rsid w:val="00E65A02"/>
    <w:rsid w:val="00E65B71"/>
    <w:rsid w:val="00E66176"/>
    <w:rsid w:val="00E66452"/>
    <w:rsid w:val="00E66ADA"/>
    <w:rsid w:val="00E674C1"/>
    <w:rsid w:val="00E6750B"/>
    <w:rsid w:val="00E679EF"/>
    <w:rsid w:val="00E7030D"/>
    <w:rsid w:val="00E70748"/>
    <w:rsid w:val="00E707FE"/>
    <w:rsid w:val="00E70E2D"/>
    <w:rsid w:val="00E70FF1"/>
    <w:rsid w:val="00E7125D"/>
    <w:rsid w:val="00E71723"/>
    <w:rsid w:val="00E71926"/>
    <w:rsid w:val="00E71AAB"/>
    <w:rsid w:val="00E71BB4"/>
    <w:rsid w:val="00E7221E"/>
    <w:rsid w:val="00E722BC"/>
    <w:rsid w:val="00E722C6"/>
    <w:rsid w:val="00E72A2C"/>
    <w:rsid w:val="00E72B09"/>
    <w:rsid w:val="00E72BC5"/>
    <w:rsid w:val="00E72DB8"/>
    <w:rsid w:val="00E7309D"/>
    <w:rsid w:val="00E734CB"/>
    <w:rsid w:val="00E735F2"/>
    <w:rsid w:val="00E73615"/>
    <w:rsid w:val="00E73841"/>
    <w:rsid w:val="00E73976"/>
    <w:rsid w:val="00E742CD"/>
    <w:rsid w:val="00E74FB6"/>
    <w:rsid w:val="00E75356"/>
    <w:rsid w:val="00E7537E"/>
    <w:rsid w:val="00E754BB"/>
    <w:rsid w:val="00E75896"/>
    <w:rsid w:val="00E75DAE"/>
    <w:rsid w:val="00E75F59"/>
    <w:rsid w:val="00E760DB"/>
    <w:rsid w:val="00E76429"/>
    <w:rsid w:val="00E766E3"/>
    <w:rsid w:val="00E76A87"/>
    <w:rsid w:val="00E76FCF"/>
    <w:rsid w:val="00E771F5"/>
    <w:rsid w:val="00E7793F"/>
    <w:rsid w:val="00E77E4B"/>
    <w:rsid w:val="00E80394"/>
    <w:rsid w:val="00E803FE"/>
    <w:rsid w:val="00E806C3"/>
    <w:rsid w:val="00E80C95"/>
    <w:rsid w:val="00E80CC0"/>
    <w:rsid w:val="00E81BB1"/>
    <w:rsid w:val="00E81C2E"/>
    <w:rsid w:val="00E81D02"/>
    <w:rsid w:val="00E82145"/>
    <w:rsid w:val="00E8273A"/>
    <w:rsid w:val="00E82A0E"/>
    <w:rsid w:val="00E82DBE"/>
    <w:rsid w:val="00E82EBA"/>
    <w:rsid w:val="00E82FCA"/>
    <w:rsid w:val="00E83232"/>
    <w:rsid w:val="00E833EC"/>
    <w:rsid w:val="00E8356B"/>
    <w:rsid w:val="00E83CF9"/>
    <w:rsid w:val="00E8417B"/>
    <w:rsid w:val="00E846B8"/>
    <w:rsid w:val="00E84D1C"/>
    <w:rsid w:val="00E84F38"/>
    <w:rsid w:val="00E852DD"/>
    <w:rsid w:val="00E8549B"/>
    <w:rsid w:val="00E859AB"/>
    <w:rsid w:val="00E85E42"/>
    <w:rsid w:val="00E8606E"/>
    <w:rsid w:val="00E86381"/>
    <w:rsid w:val="00E863CE"/>
    <w:rsid w:val="00E86515"/>
    <w:rsid w:val="00E87855"/>
    <w:rsid w:val="00E878EC"/>
    <w:rsid w:val="00E87C3E"/>
    <w:rsid w:val="00E87C51"/>
    <w:rsid w:val="00E87D08"/>
    <w:rsid w:val="00E87F1E"/>
    <w:rsid w:val="00E90436"/>
    <w:rsid w:val="00E908CF"/>
    <w:rsid w:val="00E90A69"/>
    <w:rsid w:val="00E91231"/>
    <w:rsid w:val="00E9138E"/>
    <w:rsid w:val="00E9159C"/>
    <w:rsid w:val="00E91649"/>
    <w:rsid w:val="00E91C5B"/>
    <w:rsid w:val="00E92811"/>
    <w:rsid w:val="00E92ADF"/>
    <w:rsid w:val="00E933AC"/>
    <w:rsid w:val="00E9497A"/>
    <w:rsid w:val="00E949D3"/>
    <w:rsid w:val="00E94B22"/>
    <w:rsid w:val="00E94D6A"/>
    <w:rsid w:val="00E94DF0"/>
    <w:rsid w:val="00E95199"/>
    <w:rsid w:val="00E953A5"/>
    <w:rsid w:val="00E95466"/>
    <w:rsid w:val="00E957A2"/>
    <w:rsid w:val="00E9584C"/>
    <w:rsid w:val="00E958F1"/>
    <w:rsid w:val="00E959E8"/>
    <w:rsid w:val="00E96455"/>
    <w:rsid w:val="00E965BC"/>
    <w:rsid w:val="00E965ED"/>
    <w:rsid w:val="00E96634"/>
    <w:rsid w:val="00E96855"/>
    <w:rsid w:val="00E975A4"/>
    <w:rsid w:val="00EA0CC4"/>
    <w:rsid w:val="00EA13BF"/>
    <w:rsid w:val="00EA13FD"/>
    <w:rsid w:val="00EA1656"/>
    <w:rsid w:val="00EA1BBB"/>
    <w:rsid w:val="00EA2380"/>
    <w:rsid w:val="00EA2C30"/>
    <w:rsid w:val="00EA2CB7"/>
    <w:rsid w:val="00EA2DD9"/>
    <w:rsid w:val="00EA3435"/>
    <w:rsid w:val="00EA43FC"/>
    <w:rsid w:val="00EA4E49"/>
    <w:rsid w:val="00EA51C2"/>
    <w:rsid w:val="00EA5582"/>
    <w:rsid w:val="00EA5A2A"/>
    <w:rsid w:val="00EA60EC"/>
    <w:rsid w:val="00EA6374"/>
    <w:rsid w:val="00EA669D"/>
    <w:rsid w:val="00EA6C55"/>
    <w:rsid w:val="00EA7446"/>
    <w:rsid w:val="00EB0679"/>
    <w:rsid w:val="00EB06B1"/>
    <w:rsid w:val="00EB06DD"/>
    <w:rsid w:val="00EB0959"/>
    <w:rsid w:val="00EB0B01"/>
    <w:rsid w:val="00EB0CE3"/>
    <w:rsid w:val="00EB15BE"/>
    <w:rsid w:val="00EB15E4"/>
    <w:rsid w:val="00EB1947"/>
    <w:rsid w:val="00EB1964"/>
    <w:rsid w:val="00EB1DD4"/>
    <w:rsid w:val="00EB2719"/>
    <w:rsid w:val="00EB2801"/>
    <w:rsid w:val="00EB312F"/>
    <w:rsid w:val="00EB33B1"/>
    <w:rsid w:val="00EB35D8"/>
    <w:rsid w:val="00EB367F"/>
    <w:rsid w:val="00EB3716"/>
    <w:rsid w:val="00EB378C"/>
    <w:rsid w:val="00EB3B93"/>
    <w:rsid w:val="00EB3C93"/>
    <w:rsid w:val="00EB3E6F"/>
    <w:rsid w:val="00EB3EF4"/>
    <w:rsid w:val="00EB4056"/>
    <w:rsid w:val="00EB43BA"/>
    <w:rsid w:val="00EB4894"/>
    <w:rsid w:val="00EB4FF7"/>
    <w:rsid w:val="00EB503F"/>
    <w:rsid w:val="00EB50FD"/>
    <w:rsid w:val="00EB575F"/>
    <w:rsid w:val="00EB59A8"/>
    <w:rsid w:val="00EB5AA6"/>
    <w:rsid w:val="00EB693F"/>
    <w:rsid w:val="00EB695C"/>
    <w:rsid w:val="00EB6C89"/>
    <w:rsid w:val="00EB6FA6"/>
    <w:rsid w:val="00EB7233"/>
    <w:rsid w:val="00EB7250"/>
    <w:rsid w:val="00EB7436"/>
    <w:rsid w:val="00EB7D3A"/>
    <w:rsid w:val="00EC005A"/>
    <w:rsid w:val="00EC0167"/>
    <w:rsid w:val="00EC0666"/>
    <w:rsid w:val="00EC0B95"/>
    <w:rsid w:val="00EC0CF2"/>
    <w:rsid w:val="00EC12D6"/>
    <w:rsid w:val="00EC20C9"/>
    <w:rsid w:val="00EC20CA"/>
    <w:rsid w:val="00EC2166"/>
    <w:rsid w:val="00EC272E"/>
    <w:rsid w:val="00EC273E"/>
    <w:rsid w:val="00EC475D"/>
    <w:rsid w:val="00EC4876"/>
    <w:rsid w:val="00EC4ED4"/>
    <w:rsid w:val="00EC5042"/>
    <w:rsid w:val="00EC50B7"/>
    <w:rsid w:val="00EC5607"/>
    <w:rsid w:val="00EC5899"/>
    <w:rsid w:val="00EC59A2"/>
    <w:rsid w:val="00EC60A2"/>
    <w:rsid w:val="00EC633F"/>
    <w:rsid w:val="00EC6416"/>
    <w:rsid w:val="00EC6600"/>
    <w:rsid w:val="00EC6D09"/>
    <w:rsid w:val="00EC70D3"/>
    <w:rsid w:val="00EC739D"/>
    <w:rsid w:val="00EC79AA"/>
    <w:rsid w:val="00EC7DD8"/>
    <w:rsid w:val="00EC7F35"/>
    <w:rsid w:val="00EC7FA3"/>
    <w:rsid w:val="00ED017D"/>
    <w:rsid w:val="00ED02AB"/>
    <w:rsid w:val="00ED02E6"/>
    <w:rsid w:val="00ED0328"/>
    <w:rsid w:val="00ED04FB"/>
    <w:rsid w:val="00ED0516"/>
    <w:rsid w:val="00ED0619"/>
    <w:rsid w:val="00ED163A"/>
    <w:rsid w:val="00ED17E7"/>
    <w:rsid w:val="00ED1893"/>
    <w:rsid w:val="00ED1D71"/>
    <w:rsid w:val="00ED2544"/>
    <w:rsid w:val="00ED2B7E"/>
    <w:rsid w:val="00ED36E6"/>
    <w:rsid w:val="00ED3705"/>
    <w:rsid w:val="00ED3B86"/>
    <w:rsid w:val="00ED417C"/>
    <w:rsid w:val="00ED4351"/>
    <w:rsid w:val="00ED47D4"/>
    <w:rsid w:val="00ED4955"/>
    <w:rsid w:val="00ED4971"/>
    <w:rsid w:val="00ED4AD7"/>
    <w:rsid w:val="00ED4C35"/>
    <w:rsid w:val="00ED5075"/>
    <w:rsid w:val="00ED5115"/>
    <w:rsid w:val="00ED5560"/>
    <w:rsid w:val="00ED56CC"/>
    <w:rsid w:val="00ED585E"/>
    <w:rsid w:val="00ED5E81"/>
    <w:rsid w:val="00ED6083"/>
    <w:rsid w:val="00ED613D"/>
    <w:rsid w:val="00ED6C45"/>
    <w:rsid w:val="00ED6EE6"/>
    <w:rsid w:val="00ED7245"/>
    <w:rsid w:val="00ED726E"/>
    <w:rsid w:val="00ED77DC"/>
    <w:rsid w:val="00ED7BB2"/>
    <w:rsid w:val="00ED7BBF"/>
    <w:rsid w:val="00ED7E8C"/>
    <w:rsid w:val="00EE0871"/>
    <w:rsid w:val="00EE0D6E"/>
    <w:rsid w:val="00EE0E5A"/>
    <w:rsid w:val="00EE1058"/>
    <w:rsid w:val="00EE1251"/>
    <w:rsid w:val="00EE130E"/>
    <w:rsid w:val="00EE148B"/>
    <w:rsid w:val="00EE16D8"/>
    <w:rsid w:val="00EE17BB"/>
    <w:rsid w:val="00EE19E7"/>
    <w:rsid w:val="00EE1B54"/>
    <w:rsid w:val="00EE1E16"/>
    <w:rsid w:val="00EE2153"/>
    <w:rsid w:val="00EE23B4"/>
    <w:rsid w:val="00EE2930"/>
    <w:rsid w:val="00EE3150"/>
    <w:rsid w:val="00EE3248"/>
    <w:rsid w:val="00EE3FDA"/>
    <w:rsid w:val="00EE4165"/>
    <w:rsid w:val="00EE44B0"/>
    <w:rsid w:val="00EE4BF8"/>
    <w:rsid w:val="00EE4D62"/>
    <w:rsid w:val="00EE5081"/>
    <w:rsid w:val="00EE5325"/>
    <w:rsid w:val="00EE539B"/>
    <w:rsid w:val="00EE5582"/>
    <w:rsid w:val="00EE564E"/>
    <w:rsid w:val="00EE5771"/>
    <w:rsid w:val="00EE5A01"/>
    <w:rsid w:val="00EE5C21"/>
    <w:rsid w:val="00EE602C"/>
    <w:rsid w:val="00EE60A5"/>
    <w:rsid w:val="00EE62E3"/>
    <w:rsid w:val="00EE6483"/>
    <w:rsid w:val="00EE687D"/>
    <w:rsid w:val="00EE6A95"/>
    <w:rsid w:val="00EE6C36"/>
    <w:rsid w:val="00EE6C44"/>
    <w:rsid w:val="00EE7646"/>
    <w:rsid w:val="00EE7AC0"/>
    <w:rsid w:val="00EE7DF4"/>
    <w:rsid w:val="00EF0218"/>
    <w:rsid w:val="00EF03DA"/>
    <w:rsid w:val="00EF0C96"/>
    <w:rsid w:val="00EF0D7F"/>
    <w:rsid w:val="00EF1AEC"/>
    <w:rsid w:val="00EF1B43"/>
    <w:rsid w:val="00EF1BB0"/>
    <w:rsid w:val="00EF1C74"/>
    <w:rsid w:val="00EF29F1"/>
    <w:rsid w:val="00EF2A1B"/>
    <w:rsid w:val="00EF2B0C"/>
    <w:rsid w:val="00EF2D67"/>
    <w:rsid w:val="00EF307C"/>
    <w:rsid w:val="00EF312E"/>
    <w:rsid w:val="00EF33CE"/>
    <w:rsid w:val="00EF3511"/>
    <w:rsid w:val="00EF35D4"/>
    <w:rsid w:val="00EF36DF"/>
    <w:rsid w:val="00EF38BF"/>
    <w:rsid w:val="00EF39A3"/>
    <w:rsid w:val="00EF3F7B"/>
    <w:rsid w:val="00EF4515"/>
    <w:rsid w:val="00EF4594"/>
    <w:rsid w:val="00EF4690"/>
    <w:rsid w:val="00EF476C"/>
    <w:rsid w:val="00EF4921"/>
    <w:rsid w:val="00EF4A7B"/>
    <w:rsid w:val="00EF4B8D"/>
    <w:rsid w:val="00EF4D37"/>
    <w:rsid w:val="00EF5501"/>
    <w:rsid w:val="00EF56FD"/>
    <w:rsid w:val="00EF5AEE"/>
    <w:rsid w:val="00EF5C07"/>
    <w:rsid w:val="00EF5EC7"/>
    <w:rsid w:val="00EF61DB"/>
    <w:rsid w:val="00EF695C"/>
    <w:rsid w:val="00EF6D9D"/>
    <w:rsid w:val="00EF732C"/>
    <w:rsid w:val="00EF7677"/>
    <w:rsid w:val="00EF7DCB"/>
    <w:rsid w:val="00EF7F83"/>
    <w:rsid w:val="00F0014F"/>
    <w:rsid w:val="00F0016F"/>
    <w:rsid w:val="00F006A7"/>
    <w:rsid w:val="00F006E4"/>
    <w:rsid w:val="00F00776"/>
    <w:rsid w:val="00F00B43"/>
    <w:rsid w:val="00F00C1D"/>
    <w:rsid w:val="00F00D0D"/>
    <w:rsid w:val="00F00EC4"/>
    <w:rsid w:val="00F00F38"/>
    <w:rsid w:val="00F00FBC"/>
    <w:rsid w:val="00F0132F"/>
    <w:rsid w:val="00F01512"/>
    <w:rsid w:val="00F01771"/>
    <w:rsid w:val="00F01A6C"/>
    <w:rsid w:val="00F01CD3"/>
    <w:rsid w:val="00F01EB6"/>
    <w:rsid w:val="00F0232F"/>
    <w:rsid w:val="00F023C6"/>
    <w:rsid w:val="00F02F7E"/>
    <w:rsid w:val="00F0318D"/>
    <w:rsid w:val="00F0321E"/>
    <w:rsid w:val="00F0361C"/>
    <w:rsid w:val="00F03A7B"/>
    <w:rsid w:val="00F03B86"/>
    <w:rsid w:val="00F03C1E"/>
    <w:rsid w:val="00F03D9C"/>
    <w:rsid w:val="00F03DD6"/>
    <w:rsid w:val="00F04214"/>
    <w:rsid w:val="00F043EF"/>
    <w:rsid w:val="00F05678"/>
    <w:rsid w:val="00F0567D"/>
    <w:rsid w:val="00F05BD3"/>
    <w:rsid w:val="00F06022"/>
    <w:rsid w:val="00F06190"/>
    <w:rsid w:val="00F062D7"/>
    <w:rsid w:val="00F06745"/>
    <w:rsid w:val="00F06B3F"/>
    <w:rsid w:val="00F06C4F"/>
    <w:rsid w:val="00F0719A"/>
    <w:rsid w:val="00F072AE"/>
    <w:rsid w:val="00F0730A"/>
    <w:rsid w:val="00F073EA"/>
    <w:rsid w:val="00F07896"/>
    <w:rsid w:val="00F07AC6"/>
    <w:rsid w:val="00F07BA8"/>
    <w:rsid w:val="00F101AC"/>
    <w:rsid w:val="00F1081A"/>
    <w:rsid w:val="00F10C55"/>
    <w:rsid w:val="00F110FA"/>
    <w:rsid w:val="00F11303"/>
    <w:rsid w:val="00F115EC"/>
    <w:rsid w:val="00F12691"/>
    <w:rsid w:val="00F13248"/>
    <w:rsid w:val="00F132A4"/>
    <w:rsid w:val="00F1347B"/>
    <w:rsid w:val="00F13564"/>
    <w:rsid w:val="00F136DD"/>
    <w:rsid w:val="00F13A19"/>
    <w:rsid w:val="00F13BB3"/>
    <w:rsid w:val="00F13D7E"/>
    <w:rsid w:val="00F14047"/>
    <w:rsid w:val="00F1490E"/>
    <w:rsid w:val="00F14AC9"/>
    <w:rsid w:val="00F152D6"/>
    <w:rsid w:val="00F1588B"/>
    <w:rsid w:val="00F159B9"/>
    <w:rsid w:val="00F15C7B"/>
    <w:rsid w:val="00F15EA4"/>
    <w:rsid w:val="00F1620C"/>
    <w:rsid w:val="00F1665C"/>
    <w:rsid w:val="00F17111"/>
    <w:rsid w:val="00F1754F"/>
    <w:rsid w:val="00F1755C"/>
    <w:rsid w:val="00F175FD"/>
    <w:rsid w:val="00F17781"/>
    <w:rsid w:val="00F178BE"/>
    <w:rsid w:val="00F17E1D"/>
    <w:rsid w:val="00F17FF9"/>
    <w:rsid w:val="00F20462"/>
    <w:rsid w:val="00F2065D"/>
    <w:rsid w:val="00F21B8C"/>
    <w:rsid w:val="00F21C72"/>
    <w:rsid w:val="00F21D0B"/>
    <w:rsid w:val="00F2210D"/>
    <w:rsid w:val="00F2216F"/>
    <w:rsid w:val="00F22578"/>
    <w:rsid w:val="00F23134"/>
    <w:rsid w:val="00F238D2"/>
    <w:rsid w:val="00F23AAB"/>
    <w:rsid w:val="00F2405E"/>
    <w:rsid w:val="00F2411C"/>
    <w:rsid w:val="00F24281"/>
    <w:rsid w:val="00F2450A"/>
    <w:rsid w:val="00F2465C"/>
    <w:rsid w:val="00F249D2"/>
    <w:rsid w:val="00F24C32"/>
    <w:rsid w:val="00F25109"/>
    <w:rsid w:val="00F25560"/>
    <w:rsid w:val="00F2581F"/>
    <w:rsid w:val="00F263D9"/>
    <w:rsid w:val="00F26475"/>
    <w:rsid w:val="00F26721"/>
    <w:rsid w:val="00F26865"/>
    <w:rsid w:val="00F26967"/>
    <w:rsid w:val="00F26D11"/>
    <w:rsid w:val="00F27156"/>
    <w:rsid w:val="00F2758F"/>
    <w:rsid w:val="00F279B8"/>
    <w:rsid w:val="00F27B13"/>
    <w:rsid w:val="00F3033A"/>
    <w:rsid w:val="00F3074E"/>
    <w:rsid w:val="00F30936"/>
    <w:rsid w:val="00F3115F"/>
    <w:rsid w:val="00F311BF"/>
    <w:rsid w:val="00F3175A"/>
    <w:rsid w:val="00F31CCE"/>
    <w:rsid w:val="00F31CD9"/>
    <w:rsid w:val="00F32149"/>
    <w:rsid w:val="00F3231E"/>
    <w:rsid w:val="00F32D6D"/>
    <w:rsid w:val="00F33681"/>
    <w:rsid w:val="00F3370B"/>
    <w:rsid w:val="00F33BD9"/>
    <w:rsid w:val="00F34707"/>
    <w:rsid w:val="00F34A91"/>
    <w:rsid w:val="00F34DCE"/>
    <w:rsid w:val="00F34F03"/>
    <w:rsid w:val="00F35039"/>
    <w:rsid w:val="00F35101"/>
    <w:rsid w:val="00F351DC"/>
    <w:rsid w:val="00F35BFD"/>
    <w:rsid w:val="00F35EBE"/>
    <w:rsid w:val="00F364A6"/>
    <w:rsid w:val="00F36EE2"/>
    <w:rsid w:val="00F3726A"/>
    <w:rsid w:val="00F37993"/>
    <w:rsid w:val="00F37DFB"/>
    <w:rsid w:val="00F404A2"/>
    <w:rsid w:val="00F4098A"/>
    <w:rsid w:val="00F40F05"/>
    <w:rsid w:val="00F41BA7"/>
    <w:rsid w:val="00F41C9A"/>
    <w:rsid w:val="00F42613"/>
    <w:rsid w:val="00F427EB"/>
    <w:rsid w:val="00F42A7B"/>
    <w:rsid w:val="00F42B39"/>
    <w:rsid w:val="00F42C9B"/>
    <w:rsid w:val="00F43160"/>
    <w:rsid w:val="00F4323A"/>
    <w:rsid w:val="00F43817"/>
    <w:rsid w:val="00F43A48"/>
    <w:rsid w:val="00F43A75"/>
    <w:rsid w:val="00F43C2F"/>
    <w:rsid w:val="00F43F5C"/>
    <w:rsid w:val="00F443C7"/>
    <w:rsid w:val="00F4444E"/>
    <w:rsid w:val="00F44657"/>
    <w:rsid w:val="00F44B7B"/>
    <w:rsid w:val="00F455F3"/>
    <w:rsid w:val="00F45CE7"/>
    <w:rsid w:val="00F45E2C"/>
    <w:rsid w:val="00F465B1"/>
    <w:rsid w:val="00F46756"/>
    <w:rsid w:val="00F46788"/>
    <w:rsid w:val="00F46A12"/>
    <w:rsid w:val="00F46A5E"/>
    <w:rsid w:val="00F46E18"/>
    <w:rsid w:val="00F47145"/>
    <w:rsid w:val="00F474C4"/>
    <w:rsid w:val="00F4755B"/>
    <w:rsid w:val="00F47572"/>
    <w:rsid w:val="00F477DE"/>
    <w:rsid w:val="00F47A07"/>
    <w:rsid w:val="00F47E33"/>
    <w:rsid w:val="00F502B4"/>
    <w:rsid w:val="00F50475"/>
    <w:rsid w:val="00F50A4F"/>
    <w:rsid w:val="00F51096"/>
    <w:rsid w:val="00F51413"/>
    <w:rsid w:val="00F515C9"/>
    <w:rsid w:val="00F51781"/>
    <w:rsid w:val="00F517B7"/>
    <w:rsid w:val="00F517FC"/>
    <w:rsid w:val="00F51994"/>
    <w:rsid w:val="00F51EE6"/>
    <w:rsid w:val="00F5247C"/>
    <w:rsid w:val="00F525CC"/>
    <w:rsid w:val="00F52858"/>
    <w:rsid w:val="00F52EC4"/>
    <w:rsid w:val="00F5331A"/>
    <w:rsid w:val="00F5354A"/>
    <w:rsid w:val="00F53720"/>
    <w:rsid w:val="00F53740"/>
    <w:rsid w:val="00F53817"/>
    <w:rsid w:val="00F538D8"/>
    <w:rsid w:val="00F53E5F"/>
    <w:rsid w:val="00F5406D"/>
    <w:rsid w:val="00F540C7"/>
    <w:rsid w:val="00F54129"/>
    <w:rsid w:val="00F5419A"/>
    <w:rsid w:val="00F545E0"/>
    <w:rsid w:val="00F545EE"/>
    <w:rsid w:val="00F546FD"/>
    <w:rsid w:val="00F54E1E"/>
    <w:rsid w:val="00F5501A"/>
    <w:rsid w:val="00F55251"/>
    <w:rsid w:val="00F553C5"/>
    <w:rsid w:val="00F5549C"/>
    <w:rsid w:val="00F55B06"/>
    <w:rsid w:val="00F55CAB"/>
    <w:rsid w:val="00F55DA0"/>
    <w:rsid w:val="00F55DF1"/>
    <w:rsid w:val="00F56007"/>
    <w:rsid w:val="00F564B1"/>
    <w:rsid w:val="00F56502"/>
    <w:rsid w:val="00F566AB"/>
    <w:rsid w:val="00F568AA"/>
    <w:rsid w:val="00F574D8"/>
    <w:rsid w:val="00F575E8"/>
    <w:rsid w:val="00F57956"/>
    <w:rsid w:val="00F57CEB"/>
    <w:rsid w:val="00F57E29"/>
    <w:rsid w:val="00F60330"/>
    <w:rsid w:val="00F6039C"/>
    <w:rsid w:val="00F609A0"/>
    <w:rsid w:val="00F60E04"/>
    <w:rsid w:val="00F61870"/>
    <w:rsid w:val="00F61893"/>
    <w:rsid w:val="00F61E8B"/>
    <w:rsid w:val="00F6288D"/>
    <w:rsid w:val="00F62E6F"/>
    <w:rsid w:val="00F630AF"/>
    <w:rsid w:val="00F632B5"/>
    <w:rsid w:val="00F633CD"/>
    <w:rsid w:val="00F63680"/>
    <w:rsid w:val="00F63A3C"/>
    <w:rsid w:val="00F63D77"/>
    <w:rsid w:val="00F63F6B"/>
    <w:rsid w:val="00F63FDF"/>
    <w:rsid w:val="00F64096"/>
    <w:rsid w:val="00F64964"/>
    <w:rsid w:val="00F64AEE"/>
    <w:rsid w:val="00F64D2F"/>
    <w:rsid w:val="00F6509A"/>
    <w:rsid w:val="00F6608E"/>
    <w:rsid w:val="00F6620B"/>
    <w:rsid w:val="00F6625F"/>
    <w:rsid w:val="00F66631"/>
    <w:rsid w:val="00F66722"/>
    <w:rsid w:val="00F66B82"/>
    <w:rsid w:val="00F66C8A"/>
    <w:rsid w:val="00F676F9"/>
    <w:rsid w:val="00F6775D"/>
    <w:rsid w:val="00F677EA"/>
    <w:rsid w:val="00F679DE"/>
    <w:rsid w:val="00F67D52"/>
    <w:rsid w:val="00F67DD2"/>
    <w:rsid w:val="00F70308"/>
    <w:rsid w:val="00F703BD"/>
    <w:rsid w:val="00F705EC"/>
    <w:rsid w:val="00F70602"/>
    <w:rsid w:val="00F70669"/>
    <w:rsid w:val="00F70F5B"/>
    <w:rsid w:val="00F7165F"/>
    <w:rsid w:val="00F71A12"/>
    <w:rsid w:val="00F71B1C"/>
    <w:rsid w:val="00F71B30"/>
    <w:rsid w:val="00F721F0"/>
    <w:rsid w:val="00F72482"/>
    <w:rsid w:val="00F72977"/>
    <w:rsid w:val="00F73476"/>
    <w:rsid w:val="00F7348B"/>
    <w:rsid w:val="00F73E97"/>
    <w:rsid w:val="00F73FA8"/>
    <w:rsid w:val="00F740C0"/>
    <w:rsid w:val="00F74539"/>
    <w:rsid w:val="00F74863"/>
    <w:rsid w:val="00F748AA"/>
    <w:rsid w:val="00F74E51"/>
    <w:rsid w:val="00F74F33"/>
    <w:rsid w:val="00F76162"/>
    <w:rsid w:val="00F761D4"/>
    <w:rsid w:val="00F764D0"/>
    <w:rsid w:val="00F764E9"/>
    <w:rsid w:val="00F76590"/>
    <w:rsid w:val="00F7665B"/>
    <w:rsid w:val="00F7688B"/>
    <w:rsid w:val="00F76C10"/>
    <w:rsid w:val="00F77977"/>
    <w:rsid w:val="00F77A4A"/>
    <w:rsid w:val="00F77A59"/>
    <w:rsid w:val="00F77DB5"/>
    <w:rsid w:val="00F80764"/>
    <w:rsid w:val="00F807EB"/>
    <w:rsid w:val="00F808CE"/>
    <w:rsid w:val="00F80A72"/>
    <w:rsid w:val="00F810C3"/>
    <w:rsid w:val="00F81370"/>
    <w:rsid w:val="00F816C4"/>
    <w:rsid w:val="00F81A28"/>
    <w:rsid w:val="00F81E5A"/>
    <w:rsid w:val="00F81FDD"/>
    <w:rsid w:val="00F821E8"/>
    <w:rsid w:val="00F82A66"/>
    <w:rsid w:val="00F82DD4"/>
    <w:rsid w:val="00F838D2"/>
    <w:rsid w:val="00F83BCA"/>
    <w:rsid w:val="00F83BCC"/>
    <w:rsid w:val="00F84160"/>
    <w:rsid w:val="00F844F2"/>
    <w:rsid w:val="00F84799"/>
    <w:rsid w:val="00F84C50"/>
    <w:rsid w:val="00F85925"/>
    <w:rsid w:val="00F85B3C"/>
    <w:rsid w:val="00F85F3E"/>
    <w:rsid w:val="00F865DF"/>
    <w:rsid w:val="00F86F69"/>
    <w:rsid w:val="00F871F7"/>
    <w:rsid w:val="00F8758B"/>
    <w:rsid w:val="00F87700"/>
    <w:rsid w:val="00F87947"/>
    <w:rsid w:val="00F87F06"/>
    <w:rsid w:val="00F900C1"/>
    <w:rsid w:val="00F9096C"/>
    <w:rsid w:val="00F90AC7"/>
    <w:rsid w:val="00F90CEE"/>
    <w:rsid w:val="00F9153D"/>
    <w:rsid w:val="00F91ADB"/>
    <w:rsid w:val="00F92078"/>
    <w:rsid w:val="00F9219F"/>
    <w:rsid w:val="00F924AD"/>
    <w:rsid w:val="00F92F39"/>
    <w:rsid w:val="00F93032"/>
    <w:rsid w:val="00F930BC"/>
    <w:rsid w:val="00F934ED"/>
    <w:rsid w:val="00F93A88"/>
    <w:rsid w:val="00F93D58"/>
    <w:rsid w:val="00F942DB"/>
    <w:rsid w:val="00F94560"/>
    <w:rsid w:val="00F946C9"/>
    <w:rsid w:val="00F94C1F"/>
    <w:rsid w:val="00F94FCA"/>
    <w:rsid w:val="00F9509C"/>
    <w:rsid w:val="00F95449"/>
    <w:rsid w:val="00F9562F"/>
    <w:rsid w:val="00F956D6"/>
    <w:rsid w:val="00F956F9"/>
    <w:rsid w:val="00F957B7"/>
    <w:rsid w:val="00F95A96"/>
    <w:rsid w:val="00F95B1C"/>
    <w:rsid w:val="00F960CD"/>
    <w:rsid w:val="00F96281"/>
    <w:rsid w:val="00F9680A"/>
    <w:rsid w:val="00F96869"/>
    <w:rsid w:val="00F9686B"/>
    <w:rsid w:val="00F96A38"/>
    <w:rsid w:val="00F96B17"/>
    <w:rsid w:val="00F96CBA"/>
    <w:rsid w:val="00F96E18"/>
    <w:rsid w:val="00F9701E"/>
    <w:rsid w:val="00F9751F"/>
    <w:rsid w:val="00F97943"/>
    <w:rsid w:val="00F97E6C"/>
    <w:rsid w:val="00FA0351"/>
    <w:rsid w:val="00FA0F6F"/>
    <w:rsid w:val="00FA1134"/>
    <w:rsid w:val="00FA16B9"/>
    <w:rsid w:val="00FA1726"/>
    <w:rsid w:val="00FA1980"/>
    <w:rsid w:val="00FA1D87"/>
    <w:rsid w:val="00FA284D"/>
    <w:rsid w:val="00FA296B"/>
    <w:rsid w:val="00FA2FFA"/>
    <w:rsid w:val="00FA3470"/>
    <w:rsid w:val="00FA3B3A"/>
    <w:rsid w:val="00FA42D5"/>
    <w:rsid w:val="00FA45E6"/>
    <w:rsid w:val="00FA4688"/>
    <w:rsid w:val="00FA48B7"/>
    <w:rsid w:val="00FA5060"/>
    <w:rsid w:val="00FA50F9"/>
    <w:rsid w:val="00FA5574"/>
    <w:rsid w:val="00FA5580"/>
    <w:rsid w:val="00FA558C"/>
    <w:rsid w:val="00FA5B47"/>
    <w:rsid w:val="00FA5C3E"/>
    <w:rsid w:val="00FA6138"/>
    <w:rsid w:val="00FA6649"/>
    <w:rsid w:val="00FA66B1"/>
    <w:rsid w:val="00FA6982"/>
    <w:rsid w:val="00FA6FDB"/>
    <w:rsid w:val="00FA7140"/>
    <w:rsid w:val="00FA7211"/>
    <w:rsid w:val="00FA72E3"/>
    <w:rsid w:val="00FA7CC5"/>
    <w:rsid w:val="00FA7D6D"/>
    <w:rsid w:val="00FA7E55"/>
    <w:rsid w:val="00FA7F80"/>
    <w:rsid w:val="00FB01A0"/>
    <w:rsid w:val="00FB08FC"/>
    <w:rsid w:val="00FB0D95"/>
    <w:rsid w:val="00FB140C"/>
    <w:rsid w:val="00FB23A3"/>
    <w:rsid w:val="00FB26F2"/>
    <w:rsid w:val="00FB270D"/>
    <w:rsid w:val="00FB2909"/>
    <w:rsid w:val="00FB2C62"/>
    <w:rsid w:val="00FB2F0D"/>
    <w:rsid w:val="00FB32B9"/>
    <w:rsid w:val="00FB38F2"/>
    <w:rsid w:val="00FB3B9A"/>
    <w:rsid w:val="00FB435C"/>
    <w:rsid w:val="00FB45F6"/>
    <w:rsid w:val="00FB4B19"/>
    <w:rsid w:val="00FB4CDD"/>
    <w:rsid w:val="00FB5287"/>
    <w:rsid w:val="00FB5789"/>
    <w:rsid w:val="00FB5B35"/>
    <w:rsid w:val="00FB62AA"/>
    <w:rsid w:val="00FB6858"/>
    <w:rsid w:val="00FB6928"/>
    <w:rsid w:val="00FB6AB1"/>
    <w:rsid w:val="00FB6EB9"/>
    <w:rsid w:val="00FB6ECD"/>
    <w:rsid w:val="00FB6F2E"/>
    <w:rsid w:val="00FB6F82"/>
    <w:rsid w:val="00FB7190"/>
    <w:rsid w:val="00FB731C"/>
    <w:rsid w:val="00FB76C8"/>
    <w:rsid w:val="00FB76E5"/>
    <w:rsid w:val="00FB7A17"/>
    <w:rsid w:val="00FC030F"/>
    <w:rsid w:val="00FC092D"/>
    <w:rsid w:val="00FC0D64"/>
    <w:rsid w:val="00FC137A"/>
    <w:rsid w:val="00FC158F"/>
    <w:rsid w:val="00FC1D68"/>
    <w:rsid w:val="00FC1E65"/>
    <w:rsid w:val="00FC2119"/>
    <w:rsid w:val="00FC37C5"/>
    <w:rsid w:val="00FC3893"/>
    <w:rsid w:val="00FC3BC2"/>
    <w:rsid w:val="00FC3D1F"/>
    <w:rsid w:val="00FC426A"/>
    <w:rsid w:val="00FC4326"/>
    <w:rsid w:val="00FC4B88"/>
    <w:rsid w:val="00FC4C25"/>
    <w:rsid w:val="00FC4F30"/>
    <w:rsid w:val="00FC5426"/>
    <w:rsid w:val="00FC5AD5"/>
    <w:rsid w:val="00FC5BF2"/>
    <w:rsid w:val="00FC5D55"/>
    <w:rsid w:val="00FC5E15"/>
    <w:rsid w:val="00FC5F7A"/>
    <w:rsid w:val="00FC6103"/>
    <w:rsid w:val="00FC6371"/>
    <w:rsid w:val="00FC657E"/>
    <w:rsid w:val="00FC6872"/>
    <w:rsid w:val="00FC6B31"/>
    <w:rsid w:val="00FC6C2F"/>
    <w:rsid w:val="00FC6C40"/>
    <w:rsid w:val="00FC6D65"/>
    <w:rsid w:val="00FC736F"/>
    <w:rsid w:val="00FC7D05"/>
    <w:rsid w:val="00FC7E74"/>
    <w:rsid w:val="00FD020F"/>
    <w:rsid w:val="00FD04E9"/>
    <w:rsid w:val="00FD09EE"/>
    <w:rsid w:val="00FD0BD2"/>
    <w:rsid w:val="00FD1304"/>
    <w:rsid w:val="00FD13FA"/>
    <w:rsid w:val="00FD1421"/>
    <w:rsid w:val="00FD19EA"/>
    <w:rsid w:val="00FD1FF2"/>
    <w:rsid w:val="00FD24E5"/>
    <w:rsid w:val="00FD2986"/>
    <w:rsid w:val="00FD31E6"/>
    <w:rsid w:val="00FD3590"/>
    <w:rsid w:val="00FD41D8"/>
    <w:rsid w:val="00FD437B"/>
    <w:rsid w:val="00FD446E"/>
    <w:rsid w:val="00FD4626"/>
    <w:rsid w:val="00FD4881"/>
    <w:rsid w:val="00FD5525"/>
    <w:rsid w:val="00FD5553"/>
    <w:rsid w:val="00FD56F5"/>
    <w:rsid w:val="00FD58D9"/>
    <w:rsid w:val="00FD5B0B"/>
    <w:rsid w:val="00FD5C08"/>
    <w:rsid w:val="00FD5CF6"/>
    <w:rsid w:val="00FD60F3"/>
    <w:rsid w:val="00FD6209"/>
    <w:rsid w:val="00FD6996"/>
    <w:rsid w:val="00FD7798"/>
    <w:rsid w:val="00FD7917"/>
    <w:rsid w:val="00FD7B33"/>
    <w:rsid w:val="00FD7CC4"/>
    <w:rsid w:val="00FD7EC9"/>
    <w:rsid w:val="00FE036D"/>
    <w:rsid w:val="00FE0B2E"/>
    <w:rsid w:val="00FE14EC"/>
    <w:rsid w:val="00FE1887"/>
    <w:rsid w:val="00FE1ECC"/>
    <w:rsid w:val="00FE2122"/>
    <w:rsid w:val="00FE23B6"/>
    <w:rsid w:val="00FE29AA"/>
    <w:rsid w:val="00FE2D10"/>
    <w:rsid w:val="00FE3067"/>
    <w:rsid w:val="00FE3957"/>
    <w:rsid w:val="00FE3A5A"/>
    <w:rsid w:val="00FE3EC2"/>
    <w:rsid w:val="00FE3F6B"/>
    <w:rsid w:val="00FE4003"/>
    <w:rsid w:val="00FE4E99"/>
    <w:rsid w:val="00FE519B"/>
    <w:rsid w:val="00FE53A1"/>
    <w:rsid w:val="00FE5673"/>
    <w:rsid w:val="00FE5866"/>
    <w:rsid w:val="00FE60CA"/>
    <w:rsid w:val="00FE60D6"/>
    <w:rsid w:val="00FE692B"/>
    <w:rsid w:val="00FE6AC5"/>
    <w:rsid w:val="00FE6D55"/>
    <w:rsid w:val="00FE6E8C"/>
    <w:rsid w:val="00FE6EA1"/>
    <w:rsid w:val="00FE6F14"/>
    <w:rsid w:val="00FE7437"/>
    <w:rsid w:val="00FE799B"/>
    <w:rsid w:val="00FE7EBD"/>
    <w:rsid w:val="00FF09D0"/>
    <w:rsid w:val="00FF0A58"/>
    <w:rsid w:val="00FF0A75"/>
    <w:rsid w:val="00FF0FBF"/>
    <w:rsid w:val="00FF1241"/>
    <w:rsid w:val="00FF14E7"/>
    <w:rsid w:val="00FF1892"/>
    <w:rsid w:val="00FF1915"/>
    <w:rsid w:val="00FF198C"/>
    <w:rsid w:val="00FF1A9B"/>
    <w:rsid w:val="00FF2C6E"/>
    <w:rsid w:val="00FF2E3D"/>
    <w:rsid w:val="00FF32FB"/>
    <w:rsid w:val="00FF3986"/>
    <w:rsid w:val="00FF3A27"/>
    <w:rsid w:val="00FF3AB2"/>
    <w:rsid w:val="00FF3CB7"/>
    <w:rsid w:val="00FF3F46"/>
    <w:rsid w:val="00FF409C"/>
    <w:rsid w:val="00FF43D5"/>
    <w:rsid w:val="00FF4FEE"/>
    <w:rsid w:val="00FF52F7"/>
    <w:rsid w:val="00FF5417"/>
    <w:rsid w:val="00FF5869"/>
    <w:rsid w:val="00FF5ADC"/>
    <w:rsid w:val="00FF5B3D"/>
    <w:rsid w:val="00FF5C6B"/>
    <w:rsid w:val="00FF5CAC"/>
    <w:rsid w:val="00FF5EEB"/>
    <w:rsid w:val="00FF6186"/>
    <w:rsid w:val="00FF65BC"/>
    <w:rsid w:val="00FF6A62"/>
    <w:rsid w:val="00FF6B1B"/>
    <w:rsid w:val="00FF703D"/>
    <w:rsid w:val="00FF711A"/>
    <w:rsid w:val="00FF7128"/>
    <w:rsid w:val="00FF7144"/>
    <w:rsid w:val="00FF7151"/>
    <w:rsid w:val="00FF71DE"/>
    <w:rsid w:val="00FF7592"/>
    <w:rsid w:val="00FF770B"/>
    <w:rsid w:val="00FF78EA"/>
    <w:rsid w:val="00FF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o:shapedefaults>
    <o:shapelayout v:ext="edit">
      <o:idmap v:ext="edit" data="2"/>
    </o:shapelayout>
  </w:shapeDefaults>
  <w:decimalSymbol w:val="."/>
  <w:listSeparator w:val=","/>
  <w14:docId w14:val="7CF701BA"/>
  <w15:docId w15:val="{0C79D343-7B09-445A-8A1B-CBC8D0AE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21E"/>
    <w:rPr>
      <w:rFonts w:ascii="Arial" w:hAnsi="Arial"/>
      <w:sz w:val="19"/>
      <w:szCs w:val="24"/>
    </w:rPr>
  </w:style>
  <w:style w:type="paragraph" w:styleId="Heading1">
    <w:name w:val="heading 1"/>
    <w:basedOn w:val="Normal"/>
    <w:next w:val="Normal"/>
    <w:link w:val="Heading1Char"/>
    <w:qFormat/>
    <w:rsid w:val="00F96869"/>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9661D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16A5A"/>
    <w:pPr>
      <w:tabs>
        <w:tab w:val="center" w:pos="4153"/>
        <w:tab w:val="right" w:pos="8306"/>
      </w:tabs>
    </w:pPr>
  </w:style>
  <w:style w:type="paragraph" w:styleId="Footer">
    <w:name w:val="footer"/>
    <w:basedOn w:val="Normal"/>
    <w:rsid w:val="00E16A5A"/>
    <w:pPr>
      <w:tabs>
        <w:tab w:val="center" w:pos="4153"/>
        <w:tab w:val="right" w:pos="8306"/>
      </w:tabs>
    </w:pPr>
  </w:style>
  <w:style w:type="character" w:styleId="Hyperlink">
    <w:name w:val="Hyperlink"/>
    <w:rsid w:val="00C61CDA"/>
    <w:rPr>
      <w:rFonts w:ascii="Verdana" w:hAnsi="Verdana"/>
      <w:color w:val="000080"/>
      <w:sz w:val="18"/>
      <w:szCs w:val="18"/>
      <w:u w:val="single" w:color="000080"/>
    </w:rPr>
  </w:style>
  <w:style w:type="character" w:styleId="FollowedHyperlink">
    <w:name w:val="FollowedHyperlink"/>
    <w:rsid w:val="00C61CDA"/>
    <w:rPr>
      <w:rFonts w:ascii="Verdana" w:hAnsi="Verdana"/>
      <w:color w:val="800080"/>
      <w:sz w:val="18"/>
      <w:szCs w:val="18"/>
      <w:u w:val="single" w:color="800080"/>
    </w:rPr>
  </w:style>
  <w:style w:type="paragraph" w:styleId="BalloonText">
    <w:name w:val="Balloon Text"/>
    <w:basedOn w:val="Normal"/>
    <w:semiHidden/>
    <w:rsid w:val="00B53715"/>
    <w:rPr>
      <w:rFonts w:ascii="Tahoma" w:hAnsi="Tahoma" w:cs="Tahoma"/>
      <w:sz w:val="16"/>
      <w:szCs w:val="16"/>
    </w:rPr>
  </w:style>
  <w:style w:type="paragraph" w:customStyle="1" w:styleId="Default">
    <w:name w:val="Default"/>
    <w:rsid w:val="0076397D"/>
    <w:pPr>
      <w:autoSpaceDE w:val="0"/>
      <w:autoSpaceDN w:val="0"/>
      <w:adjustRightInd w:val="0"/>
    </w:pPr>
    <w:rPr>
      <w:rFonts w:ascii="Verdana" w:hAnsi="Verdana" w:cs="Verdana"/>
      <w:color w:val="000000"/>
      <w:sz w:val="24"/>
      <w:szCs w:val="24"/>
    </w:rPr>
  </w:style>
  <w:style w:type="character" w:styleId="CommentReference">
    <w:name w:val="annotation reference"/>
    <w:rsid w:val="00C273F9"/>
    <w:rPr>
      <w:sz w:val="16"/>
      <w:szCs w:val="16"/>
    </w:rPr>
  </w:style>
  <w:style w:type="paragraph" w:styleId="CommentText">
    <w:name w:val="annotation text"/>
    <w:basedOn w:val="Normal"/>
    <w:link w:val="CommentTextChar"/>
    <w:rsid w:val="00C273F9"/>
    <w:rPr>
      <w:sz w:val="20"/>
      <w:szCs w:val="20"/>
    </w:rPr>
  </w:style>
  <w:style w:type="character" w:customStyle="1" w:styleId="CommentTextChar">
    <w:name w:val="Comment Text Char"/>
    <w:basedOn w:val="DefaultParagraphFont"/>
    <w:link w:val="CommentText"/>
    <w:rsid w:val="00C273F9"/>
  </w:style>
  <w:style w:type="paragraph" w:styleId="CommentSubject">
    <w:name w:val="annotation subject"/>
    <w:basedOn w:val="CommentText"/>
    <w:next w:val="CommentText"/>
    <w:link w:val="CommentSubjectChar"/>
    <w:rsid w:val="00C273F9"/>
    <w:rPr>
      <w:b/>
      <w:bCs/>
    </w:rPr>
  </w:style>
  <w:style w:type="character" w:customStyle="1" w:styleId="CommentSubjectChar">
    <w:name w:val="Comment Subject Char"/>
    <w:link w:val="CommentSubject"/>
    <w:rsid w:val="00C273F9"/>
    <w:rPr>
      <w:b/>
      <w:bCs/>
    </w:rPr>
  </w:style>
  <w:style w:type="character" w:customStyle="1" w:styleId="Heading3Char">
    <w:name w:val="Heading 3 Char"/>
    <w:link w:val="Heading3"/>
    <w:semiHidden/>
    <w:rsid w:val="009661D0"/>
    <w:rPr>
      <w:rFonts w:ascii="Cambria" w:eastAsia="Times New Roman" w:hAnsi="Cambria" w:cs="Times New Roman"/>
      <w:b/>
      <w:bCs/>
      <w:sz w:val="26"/>
      <w:szCs w:val="26"/>
    </w:rPr>
  </w:style>
  <w:style w:type="character" w:customStyle="1" w:styleId="Heading1Char">
    <w:name w:val="Heading 1 Char"/>
    <w:link w:val="Heading1"/>
    <w:rsid w:val="00F96869"/>
    <w:rPr>
      <w:rFonts w:ascii="Cambria" w:eastAsia="Times New Roman" w:hAnsi="Cambria" w:cs="Times New Roman"/>
      <w:b/>
      <w:bCs/>
      <w:kern w:val="32"/>
      <w:sz w:val="32"/>
      <w:szCs w:val="32"/>
    </w:rPr>
  </w:style>
  <w:style w:type="paragraph" w:customStyle="1" w:styleId="Explanatorytext">
    <w:name w:val="Explanatory text"/>
    <w:basedOn w:val="Normal"/>
    <w:link w:val="ExplanatorytextChar"/>
    <w:qFormat/>
    <w:rsid w:val="00CD021E"/>
    <w:pPr>
      <w:tabs>
        <w:tab w:val="center" w:pos="3152"/>
      </w:tabs>
    </w:pPr>
    <w:rPr>
      <w:rFonts w:cs="Arial"/>
      <w:sz w:val="16"/>
      <w:szCs w:val="19"/>
      <w:lang w:val="en-US"/>
    </w:rPr>
  </w:style>
  <w:style w:type="character" w:customStyle="1" w:styleId="ExplanatorytextChar">
    <w:name w:val="Explanatory text Char"/>
    <w:basedOn w:val="DefaultParagraphFont"/>
    <w:link w:val="Explanatorytext"/>
    <w:rsid w:val="00CD021E"/>
    <w:rPr>
      <w:rFonts w:ascii="Arial" w:hAnsi="Arial" w:cs="Arial"/>
      <w:sz w:val="16"/>
      <w:szCs w:val="19"/>
      <w:lang w:val="en-US"/>
    </w:rPr>
  </w:style>
  <w:style w:type="character" w:styleId="UnresolvedMention">
    <w:name w:val="Unresolved Mention"/>
    <w:basedOn w:val="DefaultParagraphFont"/>
    <w:uiPriority w:val="99"/>
    <w:semiHidden/>
    <w:unhideWhenUsed/>
    <w:rsid w:val="009D3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655">
      <w:bodyDiv w:val="1"/>
      <w:marLeft w:val="0"/>
      <w:marRight w:val="0"/>
      <w:marTop w:val="0"/>
      <w:marBottom w:val="0"/>
      <w:divBdr>
        <w:top w:val="none" w:sz="0" w:space="0" w:color="auto"/>
        <w:left w:val="none" w:sz="0" w:space="0" w:color="auto"/>
        <w:bottom w:val="none" w:sz="0" w:space="0" w:color="auto"/>
        <w:right w:val="none" w:sz="0" w:space="0" w:color="auto"/>
      </w:divBdr>
    </w:div>
    <w:div w:id="18940625">
      <w:bodyDiv w:val="1"/>
      <w:marLeft w:val="0"/>
      <w:marRight w:val="0"/>
      <w:marTop w:val="0"/>
      <w:marBottom w:val="0"/>
      <w:divBdr>
        <w:top w:val="none" w:sz="0" w:space="0" w:color="auto"/>
        <w:left w:val="none" w:sz="0" w:space="0" w:color="auto"/>
        <w:bottom w:val="none" w:sz="0" w:space="0" w:color="auto"/>
        <w:right w:val="none" w:sz="0" w:space="0" w:color="auto"/>
      </w:divBdr>
    </w:div>
    <w:div w:id="36780126">
      <w:bodyDiv w:val="1"/>
      <w:marLeft w:val="0"/>
      <w:marRight w:val="0"/>
      <w:marTop w:val="0"/>
      <w:marBottom w:val="0"/>
      <w:divBdr>
        <w:top w:val="none" w:sz="0" w:space="0" w:color="auto"/>
        <w:left w:val="none" w:sz="0" w:space="0" w:color="auto"/>
        <w:bottom w:val="none" w:sz="0" w:space="0" w:color="auto"/>
        <w:right w:val="none" w:sz="0" w:space="0" w:color="auto"/>
      </w:divBdr>
    </w:div>
    <w:div w:id="44254406">
      <w:bodyDiv w:val="1"/>
      <w:marLeft w:val="0"/>
      <w:marRight w:val="0"/>
      <w:marTop w:val="0"/>
      <w:marBottom w:val="0"/>
      <w:divBdr>
        <w:top w:val="none" w:sz="0" w:space="0" w:color="auto"/>
        <w:left w:val="none" w:sz="0" w:space="0" w:color="auto"/>
        <w:bottom w:val="none" w:sz="0" w:space="0" w:color="auto"/>
        <w:right w:val="none" w:sz="0" w:space="0" w:color="auto"/>
      </w:divBdr>
    </w:div>
    <w:div w:id="49577063">
      <w:bodyDiv w:val="1"/>
      <w:marLeft w:val="0"/>
      <w:marRight w:val="0"/>
      <w:marTop w:val="0"/>
      <w:marBottom w:val="0"/>
      <w:divBdr>
        <w:top w:val="none" w:sz="0" w:space="0" w:color="auto"/>
        <w:left w:val="none" w:sz="0" w:space="0" w:color="auto"/>
        <w:bottom w:val="none" w:sz="0" w:space="0" w:color="auto"/>
        <w:right w:val="none" w:sz="0" w:space="0" w:color="auto"/>
      </w:divBdr>
    </w:div>
    <w:div w:id="50203157">
      <w:bodyDiv w:val="1"/>
      <w:marLeft w:val="0"/>
      <w:marRight w:val="0"/>
      <w:marTop w:val="0"/>
      <w:marBottom w:val="0"/>
      <w:divBdr>
        <w:top w:val="none" w:sz="0" w:space="0" w:color="auto"/>
        <w:left w:val="none" w:sz="0" w:space="0" w:color="auto"/>
        <w:bottom w:val="none" w:sz="0" w:space="0" w:color="auto"/>
        <w:right w:val="none" w:sz="0" w:space="0" w:color="auto"/>
      </w:divBdr>
    </w:div>
    <w:div w:id="75133025">
      <w:bodyDiv w:val="1"/>
      <w:marLeft w:val="0"/>
      <w:marRight w:val="0"/>
      <w:marTop w:val="0"/>
      <w:marBottom w:val="0"/>
      <w:divBdr>
        <w:top w:val="none" w:sz="0" w:space="0" w:color="auto"/>
        <w:left w:val="none" w:sz="0" w:space="0" w:color="auto"/>
        <w:bottom w:val="none" w:sz="0" w:space="0" w:color="auto"/>
        <w:right w:val="none" w:sz="0" w:space="0" w:color="auto"/>
      </w:divBdr>
    </w:div>
    <w:div w:id="105078129">
      <w:bodyDiv w:val="1"/>
      <w:marLeft w:val="0"/>
      <w:marRight w:val="0"/>
      <w:marTop w:val="0"/>
      <w:marBottom w:val="0"/>
      <w:divBdr>
        <w:top w:val="none" w:sz="0" w:space="0" w:color="auto"/>
        <w:left w:val="none" w:sz="0" w:space="0" w:color="auto"/>
        <w:bottom w:val="none" w:sz="0" w:space="0" w:color="auto"/>
        <w:right w:val="none" w:sz="0" w:space="0" w:color="auto"/>
      </w:divBdr>
    </w:div>
    <w:div w:id="166293802">
      <w:bodyDiv w:val="1"/>
      <w:marLeft w:val="0"/>
      <w:marRight w:val="0"/>
      <w:marTop w:val="0"/>
      <w:marBottom w:val="0"/>
      <w:divBdr>
        <w:top w:val="none" w:sz="0" w:space="0" w:color="auto"/>
        <w:left w:val="none" w:sz="0" w:space="0" w:color="auto"/>
        <w:bottom w:val="none" w:sz="0" w:space="0" w:color="auto"/>
        <w:right w:val="none" w:sz="0" w:space="0" w:color="auto"/>
      </w:divBdr>
    </w:div>
    <w:div w:id="182062482">
      <w:bodyDiv w:val="1"/>
      <w:marLeft w:val="0"/>
      <w:marRight w:val="0"/>
      <w:marTop w:val="0"/>
      <w:marBottom w:val="0"/>
      <w:divBdr>
        <w:top w:val="none" w:sz="0" w:space="0" w:color="auto"/>
        <w:left w:val="none" w:sz="0" w:space="0" w:color="auto"/>
        <w:bottom w:val="none" w:sz="0" w:space="0" w:color="auto"/>
        <w:right w:val="none" w:sz="0" w:space="0" w:color="auto"/>
      </w:divBdr>
    </w:div>
    <w:div w:id="188568170">
      <w:bodyDiv w:val="1"/>
      <w:marLeft w:val="0"/>
      <w:marRight w:val="0"/>
      <w:marTop w:val="0"/>
      <w:marBottom w:val="0"/>
      <w:divBdr>
        <w:top w:val="none" w:sz="0" w:space="0" w:color="auto"/>
        <w:left w:val="none" w:sz="0" w:space="0" w:color="auto"/>
        <w:bottom w:val="none" w:sz="0" w:space="0" w:color="auto"/>
        <w:right w:val="none" w:sz="0" w:space="0" w:color="auto"/>
      </w:divBdr>
    </w:div>
    <w:div w:id="196285041">
      <w:bodyDiv w:val="1"/>
      <w:marLeft w:val="0"/>
      <w:marRight w:val="0"/>
      <w:marTop w:val="0"/>
      <w:marBottom w:val="0"/>
      <w:divBdr>
        <w:top w:val="none" w:sz="0" w:space="0" w:color="auto"/>
        <w:left w:val="none" w:sz="0" w:space="0" w:color="auto"/>
        <w:bottom w:val="none" w:sz="0" w:space="0" w:color="auto"/>
        <w:right w:val="none" w:sz="0" w:space="0" w:color="auto"/>
      </w:divBdr>
    </w:div>
    <w:div w:id="205456442">
      <w:bodyDiv w:val="1"/>
      <w:marLeft w:val="0"/>
      <w:marRight w:val="0"/>
      <w:marTop w:val="0"/>
      <w:marBottom w:val="0"/>
      <w:divBdr>
        <w:top w:val="none" w:sz="0" w:space="0" w:color="auto"/>
        <w:left w:val="none" w:sz="0" w:space="0" w:color="auto"/>
        <w:bottom w:val="none" w:sz="0" w:space="0" w:color="auto"/>
        <w:right w:val="none" w:sz="0" w:space="0" w:color="auto"/>
      </w:divBdr>
    </w:div>
    <w:div w:id="225457942">
      <w:bodyDiv w:val="1"/>
      <w:marLeft w:val="0"/>
      <w:marRight w:val="0"/>
      <w:marTop w:val="0"/>
      <w:marBottom w:val="0"/>
      <w:divBdr>
        <w:top w:val="none" w:sz="0" w:space="0" w:color="auto"/>
        <w:left w:val="none" w:sz="0" w:space="0" w:color="auto"/>
        <w:bottom w:val="none" w:sz="0" w:space="0" w:color="auto"/>
        <w:right w:val="none" w:sz="0" w:space="0" w:color="auto"/>
      </w:divBdr>
    </w:div>
    <w:div w:id="241646439">
      <w:bodyDiv w:val="1"/>
      <w:marLeft w:val="0"/>
      <w:marRight w:val="0"/>
      <w:marTop w:val="0"/>
      <w:marBottom w:val="0"/>
      <w:divBdr>
        <w:top w:val="none" w:sz="0" w:space="0" w:color="auto"/>
        <w:left w:val="none" w:sz="0" w:space="0" w:color="auto"/>
        <w:bottom w:val="none" w:sz="0" w:space="0" w:color="auto"/>
        <w:right w:val="none" w:sz="0" w:space="0" w:color="auto"/>
      </w:divBdr>
    </w:div>
    <w:div w:id="262612622">
      <w:bodyDiv w:val="1"/>
      <w:marLeft w:val="0"/>
      <w:marRight w:val="0"/>
      <w:marTop w:val="0"/>
      <w:marBottom w:val="0"/>
      <w:divBdr>
        <w:top w:val="none" w:sz="0" w:space="0" w:color="auto"/>
        <w:left w:val="none" w:sz="0" w:space="0" w:color="auto"/>
        <w:bottom w:val="none" w:sz="0" w:space="0" w:color="auto"/>
        <w:right w:val="none" w:sz="0" w:space="0" w:color="auto"/>
      </w:divBdr>
    </w:div>
    <w:div w:id="268316975">
      <w:bodyDiv w:val="1"/>
      <w:marLeft w:val="0"/>
      <w:marRight w:val="0"/>
      <w:marTop w:val="0"/>
      <w:marBottom w:val="0"/>
      <w:divBdr>
        <w:top w:val="none" w:sz="0" w:space="0" w:color="auto"/>
        <w:left w:val="none" w:sz="0" w:space="0" w:color="auto"/>
        <w:bottom w:val="none" w:sz="0" w:space="0" w:color="auto"/>
        <w:right w:val="none" w:sz="0" w:space="0" w:color="auto"/>
      </w:divBdr>
    </w:div>
    <w:div w:id="271980019">
      <w:bodyDiv w:val="1"/>
      <w:marLeft w:val="0"/>
      <w:marRight w:val="0"/>
      <w:marTop w:val="0"/>
      <w:marBottom w:val="0"/>
      <w:divBdr>
        <w:top w:val="none" w:sz="0" w:space="0" w:color="auto"/>
        <w:left w:val="none" w:sz="0" w:space="0" w:color="auto"/>
        <w:bottom w:val="none" w:sz="0" w:space="0" w:color="auto"/>
        <w:right w:val="none" w:sz="0" w:space="0" w:color="auto"/>
      </w:divBdr>
    </w:div>
    <w:div w:id="281309733">
      <w:bodyDiv w:val="1"/>
      <w:marLeft w:val="0"/>
      <w:marRight w:val="0"/>
      <w:marTop w:val="0"/>
      <w:marBottom w:val="0"/>
      <w:divBdr>
        <w:top w:val="none" w:sz="0" w:space="0" w:color="auto"/>
        <w:left w:val="none" w:sz="0" w:space="0" w:color="auto"/>
        <w:bottom w:val="none" w:sz="0" w:space="0" w:color="auto"/>
        <w:right w:val="none" w:sz="0" w:space="0" w:color="auto"/>
      </w:divBdr>
    </w:div>
    <w:div w:id="299922167">
      <w:bodyDiv w:val="1"/>
      <w:marLeft w:val="0"/>
      <w:marRight w:val="0"/>
      <w:marTop w:val="0"/>
      <w:marBottom w:val="0"/>
      <w:divBdr>
        <w:top w:val="none" w:sz="0" w:space="0" w:color="auto"/>
        <w:left w:val="none" w:sz="0" w:space="0" w:color="auto"/>
        <w:bottom w:val="none" w:sz="0" w:space="0" w:color="auto"/>
        <w:right w:val="none" w:sz="0" w:space="0" w:color="auto"/>
      </w:divBdr>
    </w:div>
    <w:div w:id="301160891">
      <w:bodyDiv w:val="1"/>
      <w:marLeft w:val="0"/>
      <w:marRight w:val="0"/>
      <w:marTop w:val="0"/>
      <w:marBottom w:val="0"/>
      <w:divBdr>
        <w:top w:val="none" w:sz="0" w:space="0" w:color="auto"/>
        <w:left w:val="none" w:sz="0" w:space="0" w:color="auto"/>
        <w:bottom w:val="none" w:sz="0" w:space="0" w:color="auto"/>
        <w:right w:val="none" w:sz="0" w:space="0" w:color="auto"/>
      </w:divBdr>
    </w:div>
    <w:div w:id="304697955">
      <w:bodyDiv w:val="1"/>
      <w:marLeft w:val="0"/>
      <w:marRight w:val="0"/>
      <w:marTop w:val="0"/>
      <w:marBottom w:val="0"/>
      <w:divBdr>
        <w:top w:val="none" w:sz="0" w:space="0" w:color="auto"/>
        <w:left w:val="none" w:sz="0" w:space="0" w:color="auto"/>
        <w:bottom w:val="none" w:sz="0" w:space="0" w:color="auto"/>
        <w:right w:val="none" w:sz="0" w:space="0" w:color="auto"/>
      </w:divBdr>
    </w:div>
    <w:div w:id="313025055">
      <w:bodyDiv w:val="1"/>
      <w:marLeft w:val="0"/>
      <w:marRight w:val="0"/>
      <w:marTop w:val="0"/>
      <w:marBottom w:val="0"/>
      <w:divBdr>
        <w:top w:val="none" w:sz="0" w:space="0" w:color="auto"/>
        <w:left w:val="none" w:sz="0" w:space="0" w:color="auto"/>
        <w:bottom w:val="none" w:sz="0" w:space="0" w:color="auto"/>
        <w:right w:val="none" w:sz="0" w:space="0" w:color="auto"/>
      </w:divBdr>
    </w:div>
    <w:div w:id="329790941">
      <w:bodyDiv w:val="1"/>
      <w:marLeft w:val="0"/>
      <w:marRight w:val="0"/>
      <w:marTop w:val="0"/>
      <w:marBottom w:val="0"/>
      <w:divBdr>
        <w:top w:val="none" w:sz="0" w:space="0" w:color="auto"/>
        <w:left w:val="none" w:sz="0" w:space="0" w:color="auto"/>
        <w:bottom w:val="none" w:sz="0" w:space="0" w:color="auto"/>
        <w:right w:val="none" w:sz="0" w:space="0" w:color="auto"/>
      </w:divBdr>
    </w:div>
    <w:div w:id="350422774">
      <w:bodyDiv w:val="1"/>
      <w:marLeft w:val="0"/>
      <w:marRight w:val="0"/>
      <w:marTop w:val="0"/>
      <w:marBottom w:val="0"/>
      <w:divBdr>
        <w:top w:val="none" w:sz="0" w:space="0" w:color="auto"/>
        <w:left w:val="none" w:sz="0" w:space="0" w:color="auto"/>
        <w:bottom w:val="none" w:sz="0" w:space="0" w:color="auto"/>
        <w:right w:val="none" w:sz="0" w:space="0" w:color="auto"/>
      </w:divBdr>
    </w:div>
    <w:div w:id="353506112">
      <w:bodyDiv w:val="1"/>
      <w:marLeft w:val="0"/>
      <w:marRight w:val="0"/>
      <w:marTop w:val="0"/>
      <w:marBottom w:val="0"/>
      <w:divBdr>
        <w:top w:val="none" w:sz="0" w:space="0" w:color="auto"/>
        <w:left w:val="none" w:sz="0" w:space="0" w:color="auto"/>
        <w:bottom w:val="none" w:sz="0" w:space="0" w:color="auto"/>
        <w:right w:val="none" w:sz="0" w:space="0" w:color="auto"/>
      </w:divBdr>
    </w:div>
    <w:div w:id="357661603">
      <w:bodyDiv w:val="1"/>
      <w:marLeft w:val="0"/>
      <w:marRight w:val="0"/>
      <w:marTop w:val="0"/>
      <w:marBottom w:val="0"/>
      <w:divBdr>
        <w:top w:val="none" w:sz="0" w:space="0" w:color="auto"/>
        <w:left w:val="none" w:sz="0" w:space="0" w:color="auto"/>
        <w:bottom w:val="none" w:sz="0" w:space="0" w:color="auto"/>
        <w:right w:val="none" w:sz="0" w:space="0" w:color="auto"/>
      </w:divBdr>
    </w:div>
    <w:div w:id="410395297">
      <w:bodyDiv w:val="1"/>
      <w:marLeft w:val="0"/>
      <w:marRight w:val="0"/>
      <w:marTop w:val="0"/>
      <w:marBottom w:val="0"/>
      <w:divBdr>
        <w:top w:val="none" w:sz="0" w:space="0" w:color="auto"/>
        <w:left w:val="none" w:sz="0" w:space="0" w:color="auto"/>
        <w:bottom w:val="none" w:sz="0" w:space="0" w:color="auto"/>
        <w:right w:val="none" w:sz="0" w:space="0" w:color="auto"/>
      </w:divBdr>
    </w:div>
    <w:div w:id="440492896">
      <w:bodyDiv w:val="1"/>
      <w:marLeft w:val="0"/>
      <w:marRight w:val="0"/>
      <w:marTop w:val="0"/>
      <w:marBottom w:val="0"/>
      <w:divBdr>
        <w:top w:val="none" w:sz="0" w:space="0" w:color="auto"/>
        <w:left w:val="none" w:sz="0" w:space="0" w:color="auto"/>
        <w:bottom w:val="none" w:sz="0" w:space="0" w:color="auto"/>
        <w:right w:val="none" w:sz="0" w:space="0" w:color="auto"/>
      </w:divBdr>
    </w:div>
    <w:div w:id="470828134">
      <w:bodyDiv w:val="1"/>
      <w:marLeft w:val="0"/>
      <w:marRight w:val="0"/>
      <w:marTop w:val="0"/>
      <w:marBottom w:val="0"/>
      <w:divBdr>
        <w:top w:val="none" w:sz="0" w:space="0" w:color="auto"/>
        <w:left w:val="none" w:sz="0" w:space="0" w:color="auto"/>
        <w:bottom w:val="none" w:sz="0" w:space="0" w:color="auto"/>
        <w:right w:val="none" w:sz="0" w:space="0" w:color="auto"/>
      </w:divBdr>
    </w:div>
    <w:div w:id="480464002">
      <w:bodyDiv w:val="1"/>
      <w:marLeft w:val="0"/>
      <w:marRight w:val="0"/>
      <w:marTop w:val="0"/>
      <w:marBottom w:val="0"/>
      <w:divBdr>
        <w:top w:val="none" w:sz="0" w:space="0" w:color="auto"/>
        <w:left w:val="none" w:sz="0" w:space="0" w:color="auto"/>
        <w:bottom w:val="none" w:sz="0" w:space="0" w:color="auto"/>
        <w:right w:val="none" w:sz="0" w:space="0" w:color="auto"/>
      </w:divBdr>
    </w:div>
    <w:div w:id="496532464">
      <w:bodyDiv w:val="1"/>
      <w:marLeft w:val="0"/>
      <w:marRight w:val="0"/>
      <w:marTop w:val="0"/>
      <w:marBottom w:val="0"/>
      <w:divBdr>
        <w:top w:val="none" w:sz="0" w:space="0" w:color="auto"/>
        <w:left w:val="none" w:sz="0" w:space="0" w:color="auto"/>
        <w:bottom w:val="none" w:sz="0" w:space="0" w:color="auto"/>
        <w:right w:val="none" w:sz="0" w:space="0" w:color="auto"/>
      </w:divBdr>
    </w:div>
    <w:div w:id="505635167">
      <w:bodyDiv w:val="1"/>
      <w:marLeft w:val="0"/>
      <w:marRight w:val="0"/>
      <w:marTop w:val="0"/>
      <w:marBottom w:val="0"/>
      <w:divBdr>
        <w:top w:val="none" w:sz="0" w:space="0" w:color="auto"/>
        <w:left w:val="none" w:sz="0" w:space="0" w:color="auto"/>
        <w:bottom w:val="none" w:sz="0" w:space="0" w:color="auto"/>
        <w:right w:val="none" w:sz="0" w:space="0" w:color="auto"/>
      </w:divBdr>
    </w:div>
    <w:div w:id="526722528">
      <w:bodyDiv w:val="1"/>
      <w:marLeft w:val="0"/>
      <w:marRight w:val="0"/>
      <w:marTop w:val="0"/>
      <w:marBottom w:val="0"/>
      <w:divBdr>
        <w:top w:val="none" w:sz="0" w:space="0" w:color="auto"/>
        <w:left w:val="none" w:sz="0" w:space="0" w:color="auto"/>
        <w:bottom w:val="none" w:sz="0" w:space="0" w:color="auto"/>
        <w:right w:val="none" w:sz="0" w:space="0" w:color="auto"/>
      </w:divBdr>
    </w:div>
    <w:div w:id="546260429">
      <w:bodyDiv w:val="1"/>
      <w:marLeft w:val="0"/>
      <w:marRight w:val="0"/>
      <w:marTop w:val="0"/>
      <w:marBottom w:val="0"/>
      <w:divBdr>
        <w:top w:val="none" w:sz="0" w:space="0" w:color="auto"/>
        <w:left w:val="none" w:sz="0" w:space="0" w:color="auto"/>
        <w:bottom w:val="none" w:sz="0" w:space="0" w:color="auto"/>
        <w:right w:val="none" w:sz="0" w:space="0" w:color="auto"/>
      </w:divBdr>
    </w:div>
    <w:div w:id="576134585">
      <w:bodyDiv w:val="1"/>
      <w:marLeft w:val="0"/>
      <w:marRight w:val="0"/>
      <w:marTop w:val="0"/>
      <w:marBottom w:val="0"/>
      <w:divBdr>
        <w:top w:val="none" w:sz="0" w:space="0" w:color="auto"/>
        <w:left w:val="none" w:sz="0" w:space="0" w:color="auto"/>
        <w:bottom w:val="none" w:sz="0" w:space="0" w:color="auto"/>
        <w:right w:val="none" w:sz="0" w:space="0" w:color="auto"/>
      </w:divBdr>
    </w:div>
    <w:div w:id="596445269">
      <w:bodyDiv w:val="1"/>
      <w:marLeft w:val="0"/>
      <w:marRight w:val="0"/>
      <w:marTop w:val="0"/>
      <w:marBottom w:val="0"/>
      <w:divBdr>
        <w:top w:val="none" w:sz="0" w:space="0" w:color="auto"/>
        <w:left w:val="none" w:sz="0" w:space="0" w:color="auto"/>
        <w:bottom w:val="none" w:sz="0" w:space="0" w:color="auto"/>
        <w:right w:val="none" w:sz="0" w:space="0" w:color="auto"/>
      </w:divBdr>
    </w:div>
    <w:div w:id="604581575">
      <w:bodyDiv w:val="1"/>
      <w:marLeft w:val="0"/>
      <w:marRight w:val="0"/>
      <w:marTop w:val="0"/>
      <w:marBottom w:val="0"/>
      <w:divBdr>
        <w:top w:val="none" w:sz="0" w:space="0" w:color="auto"/>
        <w:left w:val="none" w:sz="0" w:space="0" w:color="auto"/>
        <w:bottom w:val="none" w:sz="0" w:space="0" w:color="auto"/>
        <w:right w:val="none" w:sz="0" w:space="0" w:color="auto"/>
      </w:divBdr>
    </w:div>
    <w:div w:id="641154061">
      <w:bodyDiv w:val="1"/>
      <w:marLeft w:val="0"/>
      <w:marRight w:val="0"/>
      <w:marTop w:val="0"/>
      <w:marBottom w:val="0"/>
      <w:divBdr>
        <w:top w:val="none" w:sz="0" w:space="0" w:color="auto"/>
        <w:left w:val="none" w:sz="0" w:space="0" w:color="auto"/>
        <w:bottom w:val="none" w:sz="0" w:space="0" w:color="auto"/>
        <w:right w:val="none" w:sz="0" w:space="0" w:color="auto"/>
      </w:divBdr>
    </w:div>
    <w:div w:id="651788207">
      <w:bodyDiv w:val="1"/>
      <w:marLeft w:val="0"/>
      <w:marRight w:val="0"/>
      <w:marTop w:val="0"/>
      <w:marBottom w:val="0"/>
      <w:divBdr>
        <w:top w:val="none" w:sz="0" w:space="0" w:color="auto"/>
        <w:left w:val="none" w:sz="0" w:space="0" w:color="auto"/>
        <w:bottom w:val="none" w:sz="0" w:space="0" w:color="auto"/>
        <w:right w:val="none" w:sz="0" w:space="0" w:color="auto"/>
      </w:divBdr>
    </w:div>
    <w:div w:id="686950297">
      <w:bodyDiv w:val="1"/>
      <w:marLeft w:val="0"/>
      <w:marRight w:val="0"/>
      <w:marTop w:val="0"/>
      <w:marBottom w:val="0"/>
      <w:divBdr>
        <w:top w:val="none" w:sz="0" w:space="0" w:color="auto"/>
        <w:left w:val="none" w:sz="0" w:space="0" w:color="auto"/>
        <w:bottom w:val="none" w:sz="0" w:space="0" w:color="auto"/>
        <w:right w:val="none" w:sz="0" w:space="0" w:color="auto"/>
      </w:divBdr>
    </w:div>
    <w:div w:id="716705382">
      <w:bodyDiv w:val="1"/>
      <w:marLeft w:val="0"/>
      <w:marRight w:val="0"/>
      <w:marTop w:val="0"/>
      <w:marBottom w:val="0"/>
      <w:divBdr>
        <w:top w:val="none" w:sz="0" w:space="0" w:color="auto"/>
        <w:left w:val="none" w:sz="0" w:space="0" w:color="auto"/>
        <w:bottom w:val="none" w:sz="0" w:space="0" w:color="auto"/>
        <w:right w:val="none" w:sz="0" w:space="0" w:color="auto"/>
      </w:divBdr>
    </w:div>
    <w:div w:id="719551592">
      <w:bodyDiv w:val="1"/>
      <w:marLeft w:val="0"/>
      <w:marRight w:val="0"/>
      <w:marTop w:val="0"/>
      <w:marBottom w:val="0"/>
      <w:divBdr>
        <w:top w:val="none" w:sz="0" w:space="0" w:color="auto"/>
        <w:left w:val="none" w:sz="0" w:space="0" w:color="auto"/>
        <w:bottom w:val="none" w:sz="0" w:space="0" w:color="auto"/>
        <w:right w:val="none" w:sz="0" w:space="0" w:color="auto"/>
      </w:divBdr>
    </w:div>
    <w:div w:id="768159267">
      <w:bodyDiv w:val="1"/>
      <w:marLeft w:val="0"/>
      <w:marRight w:val="0"/>
      <w:marTop w:val="0"/>
      <w:marBottom w:val="0"/>
      <w:divBdr>
        <w:top w:val="none" w:sz="0" w:space="0" w:color="auto"/>
        <w:left w:val="none" w:sz="0" w:space="0" w:color="auto"/>
        <w:bottom w:val="none" w:sz="0" w:space="0" w:color="auto"/>
        <w:right w:val="none" w:sz="0" w:space="0" w:color="auto"/>
      </w:divBdr>
    </w:div>
    <w:div w:id="775758363">
      <w:bodyDiv w:val="1"/>
      <w:marLeft w:val="0"/>
      <w:marRight w:val="0"/>
      <w:marTop w:val="0"/>
      <w:marBottom w:val="0"/>
      <w:divBdr>
        <w:top w:val="none" w:sz="0" w:space="0" w:color="auto"/>
        <w:left w:val="none" w:sz="0" w:space="0" w:color="auto"/>
        <w:bottom w:val="none" w:sz="0" w:space="0" w:color="auto"/>
        <w:right w:val="none" w:sz="0" w:space="0" w:color="auto"/>
      </w:divBdr>
    </w:div>
    <w:div w:id="775835043">
      <w:bodyDiv w:val="1"/>
      <w:marLeft w:val="0"/>
      <w:marRight w:val="0"/>
      <w:marTop w:val="0"/>
      <w:marBottom w:val="0"/>
      <w:divBdr>
        <w:top w:val="none" w:sz="0" w:space="0" w:color="auto"/>
        <w:left w:val="none" w:sz="0" w:space="0" w:color="auto"/>
        <w:bottom w:val="none" w:sz="0" w:space="0" w:color="auto"/>
        <w:right w:val="none" w:sz="0" w:space="0" w:color="auto"/>
      </w:divBdr>
    </w:div>
    <w:div w:id="812259928">
      <w:bodyDiv w:val="1"/>
      <w:marLeft w:val="0"/>
      <w:marRight w:val="0"/>
      <w:marTop w:val="0"/>
      <w:marBottom w:val="0"/>
      <w:divBdr>
        <w:top w:val="none" w:sz="0" w:space="0" w:color="auto"/>
        <w:left w:val="none" w:sz="0" w:space="0" w:color="auto"/>
        <w:bottom w:val="none" w:sz="0" w:space="0" w:color="auto"/>
        <w:right w:val="none" w:sz="0" w:space="0" w:color="auto"/>
      </w:divBdr>
    </w:div>
    <w:div w:id="836308796">
      <w:bodyDiv w:val="1"/>
      <w:marLeft w:val="0"/>
      <w:marRight w:val="0"/>
      <w:marTop w:val="0"/>
      <w:marBottom w:val="0"/>
      <w:divBdr>
        <w:top w:val="none" w:sz="0" w:space="0" w:color="auto"/>
        <w:left w:val="none" w:sz="0" w:space="0" w:color="auto"/>
        <w:bottom w:val="none" w:sz="0" w:space="0" w:color="auto"/>
        <w:right w:val="none" w:sz="0" w:space="0" w:color="auto"/>
      </w:divBdr>
    </w:div>
    <w:div w:id="845486405">
      <w:bodyDiv w:val="1"/>
      <w:marLeft w:val="0"/>
      <w:marRight w:val="0"/>
      <w:marTop w:val="0"/>
      <w:marBottom w:val="0"/>
      <w:divBdr>
        <w:top w:val="none" w:sz="0" w:space="0" w:color="auto"/>
        <w:left w:val="none" w:sz="0" w:space="0" w:color="auto"/>
        <w:bottom w:val="none" w:sz="0" w:space="0" w:color="auto"/>
        <w:right w:val="none" w:sz="0" w:space="0" w:color="auto"/>
      </w:divBdr>
    </w:div>
    <w:div w:id="850342537">
      <w:bodyDiv w:val="1"/>
      <w:marLeft w:val="0"/>
      <w:marRight w:val="0"/>
      <w:marTop w:val="0"/>
      <w:marBottom w:val="0"/>
      <w:divBdr>
        <w:top w:val="none" w:sz="0" w:space="0" w:color="auto"/>
        <w:left w:val="none" w:sz="0" w:space="0" w:color="auto"/>
        <w:bottom w:val="none" w:sz="0" w:space="0" w:color="auto"/>
        <w:right w:val="none" w:sz="0" w:space="0" w:color="auto"/>
      </w:divBdr>
    </w:div>
    <w:div w:id="893154804">
      <w:bodyDiv w:val="1"/>
      <w:marLeft w:val="0"/>
      <w:marRight w:val="0"/>
      <w:marTop w:val="0"/>
      <w:marBottom w:val="0"/>
      <w:divBdr>
        <w:top w:val="none" w:sz="0" w:space="0" w:color="auto"/>
        <w:left w:val="none" w:sz="0" w:space="0" w:color="auto"/>
        <w:bottom w:val="none" w:sz="0" w:space="0" w:color="auto"/>
        <w:right w:val="none" w:sz="0" w:space="0" w:color="auto"/>
      </w:divBdr>
    </w:div>
    <w:div w:id="901251177">
      <w:bodyDiv w:val="1"/>
      <w:marLeft w:val="0"/>
      <w:marRight w:val="0"/>
      <w:marTop w:val="0"/>
      <w:marBottom w:val="0"/>
      <w:divBdr>
        <w:top w:val="none" w:sz="0" w:space="0" w:color="auto"/>
        <w:left w:val="none" w:sz="0" w:space="0" w:color="auto"/>
        <w:bottom w:val="none" w:sz="0" w:space="0" w:color="auto"/>
        <w:right w:val="none" w:sz="0" w:space="0" w:color="auto"/>
      </w:divBdr>
    </w:div>
    <w:div w:id="937711592">
      <w:bodyDiv w:val="1"/>
      <w:marLeft w:val="0"/>
      <w:marRight w:val="0"/>
      <w:marTop w:val="0"/>
      <w:marBottom w:val="0"/>
      <w:divBdr>
        <w:top w:val="none" w:sz="0" w:space="0" w:color="auto"/>
        <w:left w:val="none" w:sz="0" w:space="0" w:color="auto"/>
        <w:bottom w:val="none" w:sz="0" w:space="0" w:color="auto"/>
        <w:right w:val="none" w:sz="0" w:space="0" w:color="auto"/>
      </w:divBdr>
    </w:div>
    <w:div w:id="960039579">
      <w:bodyDiv w:val="1"/>
      <w:marLeft w:val="0"/>
      <w:marRight w:val="0"/>
      <w:marTop w:val="0"/>
      <w:marBottom w:val="0"/>
      <w:divBdr>
        <w:top w:val="none" w:sz="0" w:space="0" w:color="auto"/>
        <w:left w:val="none" w:sz="0" w:space="0" w:color="auto"/>
        <w:bottom w:val="none" w:sz="0" w:space="0" w:color="auto"/>
        <w:right w:val="none" w:sz="0" w:space="0" w:color="auto"/>
      </w:divBdr>
    </w:div>
    <w:div w:id="990794495">
      <w:bodyDiv w:val="1"/>
      <w:marLeft w:val="0"/>
      <w:marRight w:val="0"/>
      <w:marTop w:val="0"/>
      <w:marBottom w:val="0"/>
      <w:divBdr>
        <w:top w:val="none" w:sz="0" w:space="0" w:color="auto"/>
        <w:left w:val="none" w:sz="0" w:space="0" w:color="auto"/>
        <w:bottom w:val="none" w:sz="0" w:space="0" w:color="auto"/>
        <w:right w:val="none" w:sz="0" w:space="0" w:color="auto"/>
      </w:divBdr>
    </w:div>
    <w:div w:id="1000737428">
      <w:bodyDiv w:val="1"/>
      <w:marLeft w:val="0"/>
      <w:marRight w:val="0"/>
      <w:marTop w:val="0"/>
      <w:marBottom w:val="0"/>
      <w:divBdr>
        <w:top w:val="none" w:sz="0" w:space="0" w:color="auto"/>
        <w:left w:val="none" w:sz="0" w:space="0" w:color="auto"/>
        <w:bottom w:val="none" w:sz="0" w:space="0" w:color="auto"/>
        <w:right w:val="none" w:sz="0" w:space="0" w:color="auto"/>
      </w:divBdr>
    </w:div>
    <w:div w:id="1011302341">
      <w:bodyDiv w:val="1"/>
      <w:marLeft w:val="0"/>
      <w:marRight w:val="0"/>
      <w:marTop w:val="0"/>
      <w:marBottom w:val="0"/>
      <w:divBdr>
        <w:top w:val="none" w:sz="0" w:space="0" w:color="auto"/>
        <w:left w:val="none" w:sz="0" w:space="0" w:color="auto"/>
        <w:bottom w:val="none" w:sz="0" w:space="0" w:color="auto"/>
        <w:right w:val="none" w:sz="0" w:space="0" w:color="auto"/>
      </w:divBdr>
    </w:div>
    <w:div w:id="1037196896">
      <w:bodyDiv w:val="1"/>
      <w:marLeft w:val="0"/>
      <w:marRight w:val="0"/>
      <w:marTop w:val="0"/>
      <w:marBottom w:val="0"/>
      <w:divBdr>
        <w:top w:val="none" w:sz="0" w:space="0" w:color="auto"/>
        <w:left w:val="none" w:sz="0" w:space="0" w:color="auto"/>
        <w:bottom w:val="none" w:sz="0" w:space="0" w:color="auto"/>
        <w:right w:val="none" w:sz="0" w:space="0" w:color="auto"/>
      </w:divBdr>
    </w:div>
    <w:div w:id="1043209617">
      <w:bodyDiv w:val="1"/>
      <w:marLeft w:val="0"/>
      <w:marRight w:val="0"/>
      <w:marTop w:val="0"/>
      <w:marBottom w:val="0"/>
      <w:divBdr>
        <w:top w:val="none" w:sz="0" w:space="0" w:color="auto"/>
        <w:left w:val="none" w:sz="0" w:space="0" w:color="auto"/>
        <w:bottom w:val="none" w:sz="0" w:space="0" w:color="auto"/>
        <w:right w:val="none" w:sz="0" w:space="0" w:color="auto"/>
      </w:divBdr>
    </w:div>
    <w:div w:id="1095320843">
      <w:bodyDiv w:val="1"/>
      <w:marLeft w:val="0"/>
      <w:marRight w:val="0"/>
      <w:marTop w:val="0"/>
      <w:marBottom w:val="0"/>
      <w:divBdr>
        <w:top w:val="none" w:sz="0" w:space="0" w:color="auto"/>
        <w:left w:val="none" w:sz="0" w:space="0" w:color="auto"/>
        <w:bottom w:val="none" w:sz="0" w:space="0" w:color="auto"/>
        <w:right w:val="none" w:sz="0" w:space="0" w:color="auto"/>
      </w:divBdr>
    </w:div>
    <w:div w:id="1115445023">
      <w:bodyDiv w:val="1"/>
      <w:marLeft w:val="0"/>
      <w:marRight w:val="0"/>
      <w:marTop w:val="0"/>
      <w:marBottom w:val="0"/>
      <w:divBdr>
        <w:top w:val="none" w:sz="0" w:space="0" w:color="auto"/>
        <w:left w:val="none" w:sz="0" w:space="0" w:color="auto"/>
        <w:bottom w:val="none" w:sz="0" w:space="0" w:color="auto"/>
        <w:right w:val="none" w:sz="0" w:space="0" w:color="auto"/>
      </w:divBdr>
    </w:div>
    <w:div w:id="1154033411">
      <w:bodyDiv w:val="1"/>
      <w:marLeft w:val="0"/>
      <w:marRight w:val="0"/>
      <w:marTop w:val="0"/>
      <w:marBottom w:val="0"/>
      <w:divBdr>
        <w:top w:val="none" w:sz="0" w:space="0" w:color="auto"/>
        <w:left w:val="none" w:sz="0" w:space="0" w:color="auto"/>
        <w:bottom w:val="none" w:sz="0" w:space="0" w:color="auto"/>
        <w:right w:val="none" w:sz="0" w:space="0" w:color="auto"/>
      </w:divBdr>
    </w:div>
    <w:div w:id="1185905074">
      <w:bodyDiv w:val="1"/>
      <w:marLeft w:val="0"/>
      <w:marRight w:val="0"/>
      <w:marTop w:val="0"/>
      <w:marBottom w:val="0"/>
      <w:divBdr>
        <w:top w:val="none" w:sz="0" w:space="0" w:color="auto"/>
        <w:left w:val="none" w:sz="0" w:space="0" w:color="auto"/>
        <w:bottom w:val="none" w:sz="0" w:space="0" w:color="auto"/>
        <w:right w:val="none" w:sz="0" w:space="0" w:color="auto"/>
      </w:divBdr>
    </w:div>
    <w:div w:id="1198087235">
      <w:bodyDiv w:val="1"/>
      <w:marLeft w:val="0"/>
      <w:marRight w:val="0"/>
      <w:marTop w:val="0"/>
      <w:marBottom w:val="0"/>
      <w:divBdr>
        <w:top w:val="none" w:sz="0" w:space="0" w:color="auto"/>
        <w:left w:val="none" w:sz="0" w:space="0" w:color="auto"/>
        <w:bottom w:val="none" w:sz="0" w:space="0" w:color="auto"/>
        <w:right w:val="none" w:sz="0" w:space="0" w:color="auto"/>
      </w:divBdr>
    </w:div>
    <w:div w:id="1207252199">
      <w:bodyDiv w:val="1"/>
      <w:marLeft w:val="0"/>
      <w:marRight w:val="0"/>
      <w:marTop w:val="0"/>
      <w:marBottom w:val="0"/>
      <w:divBdr>
        <w:top w:val="none" w:sz="0" w:space="0" w:color="auto"/>
        <w:left w:val="none" w:sz="0" w:space="0" w:color="auto"/>
        <w:bottom w:val="none" w:sz="0" w:space="0" w:color="auto"/>
        <w:right w:val="none" w:sz="0" w:space="0" w:color="auto"/>
      </w:divBdr>
    </w:div>
    <w:div w:id="1234967197">
      <w:bodyDiv w:val="1"/>
      <w:marLeft w:val="0"/>
      <w:marRight w:val="0"/>
      <w:marTop w:val="0"/>
      <w:marBottom w:val="0"/>
      <w:divBdr>
        <w:top w:val="none" w:sz="0" w:space="0" w:color="auto"/>
        <w:left w:val="none" w:sz="0" w:space="0" w:color="auto"/>
        <w:bottom w:val="none" w:sz="0" w:space="0" w:color="auto"/>
        <w:right w:val="none" w:sz="0" w:space="0" w:color="auto"/>
      </w:divBdr>
    </w:div>
    <w:div w:id="1265074049">
      <w:bodyDiv w:val="1"/>
      <w:marLeft w:val="0"/>
      <w:marRight w:val="0"/>
      <w:marTop w:val="0"/>
      <w:marBottom w:val="0"/>
      <w:divBdr>
        <w:top w:val="none" w:sz="0" w:space="0" w:color="auto"/>
        <w:left w:val="none" w:sz="0" w:space="0" w:color="auto"/>
        <w:bottom w:val="none" w:sz="0" w:space="0" w:color="auto"/>
        <w:right w:val="none" w:sz="0" w:space="0" w:color="auto"/>
      </w:divBdr>
    </w:div>
    <w:div w:id="1282154651">
      <w:bodyDiv w:val="1"/>
      <w:marLeft w:val="0"/>
      <w:marRight w:val="0"/>
      <w:marTop w:val="0"/>
      <w:marBottom w:val="0"/>
      <w:divBdr>
        <w:top w:val="none" w:sz="0" w:space="0" w:color="auto"/>
        <w:left w:val="none" w:sz="0" w:space="0" w:color="auto"/>
        <w:bottom w:val="none" w:sz="0" w:space="0" w:color="auto"/>
        <w:right w:val="none" w:sz="0" w:space="0" w:color="auto"/>
      </w:divBdr>
    </w:div>
    <w:div w:id="1294480727">
      <w:bodyDiv w:val="1"/>
      <w:marLeft w:val="0"/>
      <w:marRight w:val="0"/>
      <w:marTop w:val="0"/>
      <w:marBottom w:val="0"/>
      <w:divBdr>
        <w:top w:val="none" w:sz="0" w:space="0" w:color="auto"/>
        <w:left w:val="none" w:sz="0" w:space="0" w:color="auto"/>
        <w:bottom w:val="none" w:sz="0" w:space="0" w:color="auto"/>
        <w:right w:val="none" w:sz="0" w:space="0" w:color="auto"/>
      </w:divBdr>
    </w:div>
    <w:div w:id="1296526062">
      <w:bodyDiv w:val="1"/>
      <w:marLeft w:val="0"/>
      <w:marRight w:val="0"/>
      <w:marTop w:val="0"/>
      <w:marBottom w:val="0"/>
      <w:divBdr>
        <w:top w:val="none" w:sz="0" w:space="0" w:color="auto"/>
        <w:left w:val="none" w:sz="0" w:space="0" w:color="auto"/>
        <w:bottom w:val="none" w:sz="0" w:space="0" w:color="auto"/>
        <w:right w:val="none" w:sz="0" w:space="0" w:color="auto"/>
      </w:divBdr>
    </w:div>
    <w:div w:id="1389257293">
      <w:bodyDiv w:val="1"/>
      <w:marLeft w:val="0"/>
      <w:marRight w:val="0"/>
      <w:marTop w:val="0"/>
      <w:marBottom w:val="0"/>
      <w:divBdr>
        <w:top w:val="none" w:sz="0" w:space="0" w:color="auto"/>
        <w:left w:val="none" w:sz="0" w:space="0" w:color="auto"/>
        <w:bottom w:val="none" w:sz="0" w:space="0" w:color="auto"/>
        <w:right w:val="none" w:sz="0" w:space="0" w:color="auto"/>
      </w:divBdr>
    </w:div>
    <w:div w:id="1392968968">
      <w:bodyDiv w:val="1"/>
      <w:marLeft w:val="0"/>
      <w:marRight w:val="0"/>
      <w:marTop w:val="0"/>
      <w:marBottom w:val="0"/>
      <w:divBdr>
        <w:top w:val="none" w:sz="0" w:space="0" w:color="auto"/>
        <w:left w:val="none" w:sz="0" w:space="0" w:color="auto"/>
        <w:bottom w:val="none" w:sz="0" w:space="0" w:color="auto"/>
        <w:right w:val="none" w:sz="0" w:space="0" w:color="auto"/>
      </w:divBdr>
    </w:div>
    <w:div w:id="1397703627">
      <w:bodyDiv w:val="1"/>
      <w:marLeft w:val="0"/>
      <w:marRight w:val="0"/>
      <w:marTop w:val="0"/>
      <w:marBottom w:val="0"/>
      <w:divBdr>
        <w:top w:val="none" w:sz="0" w:space="0" w:color="auto"/>
        <w:left w:val="none" w:sz="0" w:space="0" w:color="auto"/>
        <w:bottom w:val="none" w:sz="0" w:space="0" w:color="auto"/>
        <w:right w:val="none" w:sz="0" w:space="0" w:color="auto"/>
      </w:divBdr>
    </w:div>
    <w:div w:id="1404990067">
      <w:bodyDiv w:val="1"/>
      <w:marLeft w:val="0"/>
      <w:marRight w:val="0"/>
      <w:marTop w:val="0"/>
      <w:marBottom w:val="0"/>
      <w:divBdr>
        <w:top w:val="none" w:sz="0" w:space="0" w:color="auto"/>
        <w:left w:val="none" w:sz="0" w:space="0" w:color="auto"/>
        <w:bottom w:val="none" w:sz="0" w:space="0" w:color="auto"/>
        <w:right w:val="none" w:sz="0" w:space="0" w:color="auto"/>
      </w:divBdr>
    </w:div>
    <w:div w:id="1429694291">
      <w:bodyDiv w:val="1"/>
      <w:marLeft w:val="0"/>
      <w:marRight w:val="0"/>
      <w:marTop w:val="0"/>
      <w:marBottom w:val="0"/>
      <w:divBdr>
        <w:top w:val="none" w:sz="0" w:space="0" w:color="auto"/>
        <w:left w:val="none" w:sz="0" w:space="0" w:color="auto"/>
        <w:bottom w:val="none" w:sz="0" w:space="0" w:color="auto"/>
        <w:right w:val="none" w:sz="0" w:space="0" w:color="auto"/>
      </w:divBdr>
    </w:div>
    <w:div w:id="1430420429">
      <w:bodyDiv w:val="1"/>
      <w:marLeft w:val="0"/>
      <w:marRight w:val="0"/>
      <w:marTop w:val="0"/>
      <w:marBottom w:val="0"/>
      <w:divBdr>
        <w:top w:val="none" w:sz="0" w:space="0" w:color="auto"/>
        <w:left w:val="none" w:sz="0" w:space="0" w:color="auto"/>
        <w:bottom w:val="none" w:sz="0" w:space="0" w:color="auto"/>
        <w:right w:val="none" w:sz="0" w:space="0" w:color="auto"/>
      </w:divBdr>
    </w:div>
    <w:div w:id="1461341093">
      <w:bodyDiv w:val="1"/>
      <w:marLeft w:val="0"/>
      <w:marRight w:val="0"/>
      <w:marTop w:val="0"/>
      <w:marBottom w:val="0"/>
      <w:divBdr>
        <w:top w:val="none" w:sz="0" w:space="0" w:color="auto"/>
        <w:left w:val="none" w:sz="0" w:space="0" w:color="auto"/>
        <w:bottom w:val="none" w:sz="0" w:space="0" w:color="auto"/>
        <w:right w:val="none" w:sz="0" w:space="0" w:color="auto"/>
      </w:divBdr>
    </w:div>
    <w:div w:id="1468546754">
      <w:bodyDiv w:val="1"/>
      <w:marLeft w:val="0"/>
      <w:marRight w:val="0"/>
      <w:marTop w:val="0"/>
      <w:marBottom w:val="0"/>
      <w:divBdr>
        <w:top w:val="none" w:sz="0" w:space="0" w:color="auto"/>
        <w:left w:val="none" w:sz="0" w:space="0" w:color="auto"/>
        <w:bottom w:val="none" w:sz="0" w:space="0" w:color="auto"/>
        <w:right w:val="none" w:sz="0" w:space="0" w:color="auto"/>
      </w:divBdr>
    </w:div>
    <w:div w:id="1493332429">
      <w:bodyDiv w:val="1"/>
      <w:marLeft w:val="0"/>
      <w:marRight w:val="0"/>
      <w:marTop w:val="0"/>
      <w:marBottom w:val="0"/>
      <w:divBdr>
        <w:top w:val="none" w:sz="0" w:space="0" w:color="auto"/>
        <w:left w:val="none" w:sz="0" w:space="0" w:color="auto"/>
        <w:bottom w:val="none" w:sz="0" w:space="0" w:color="auto"/>
        <w:right w:val="none" w:sz="0" w:space="0" w:color="auto"/>
      </w:divBdr>
    </w:div>
    <w:div w:id="1507793962">
      <w:bodyDiv w:val="1"/>
      <w:marLeft w:val="0"/>
      <w:marRight w:val="0"/>
      <w:marTop w:val="0"/>
      <w:marBottom w:val="0"/>
      <w:divBdr>
        <w:top w:val="none" w:sz="0" w:space="0" w:color="auto"/>
        <w:left w:val="none" w:sz="0" w:space="0" w:color="auto"/>
        <w:bottom w:val="none" w:sz="0" w:space="0" w:color="auto"/>
        <w:right w:val="none" w:sz="0" w:space="0" w:color="auto"/>
      </w:divBdr>
    </w:div>
    <w:div w:id="1594124303">
      <w:bodyDiv w:val="1"/>
      <w:marLeft w:val="0"/>
      <w:marRight w:val="0"/>
      <w:marTop w:val="0"/>
      <w:marBottom w:val="0"/>
      <w:divBdr>
        <w:top w:val="none" w:sz="0" w:space="0" w:color="auto"/>
        <w:left w:val="none" w:sz="0" w:space="0" w:color="auto"/>
        <w:bottom w:val="none" w:sz="0" w:space="0" w:color="auto"/>
        <w:right w:val="none" w:sz="0" w:space="0" w:color="auto"/>
      </w:divBdr>
    </w:div>
    <w:div w:id="1611013285">
      <w:bodyDiv w:val="1"/>
      <w:marLeft w:val="0"/>
      <w:marRight w:val="0"/>
      <w:marTop w:val="0"/>
      <w:marBottom w:val="0"/>
      <w:divBdr>
        <w:top w:val="none" w:sz="0" w:space="0" w:color="auto"/>
        <w:left w:val="none" w:sz="0" w:space="0" w:color="auto"/>
        <w:bottom w:val="none" w:sz="0" w:space="0" w:color="auto"/>
        <w:right w:val="none" w:sz="0" w:space="0" w:color="auto"/>
      </w:divBdr>
    </w:div>
    <w:div w:id="1615209440">
      <w:bodyDiv w:val="1"/>
      <w:marLeft w:val="0"/>
      <w:marRight w:val="0"/>
      <w:marTop w:val="0"/>
      <w:marBottom w:val="0"/>
      <w:divBdr>
        <w:top w:val="none" w:sz="0" w:space="0" w:color="auto"/>
        <w:left w:val="none" w:sz="0" w:space="0" w:color="auto"/>
        <w:bottom w:val="none" w:sz="0" w:space="0" w:color="auto"/>
        <w:right w:val="none" w:sz="0" w:space="0" w:color="auto"/>
      </w:divBdr>
    </w:div>
    <w:div w:id="1639795843">
      <w:bodyDiv w:val="1"/>
      <w:marLeft w:val="0"/>
      <w:marRight w:val="0"/>
      <w:marTop w:val="0"/>
      <w:marBottom w:val="0"/>
      <w:divBdr>
        <w:top w:val="none" w:sz="0" w:space="0" w:color="auto"/>
        <w:left w:val="none" w:sz="0" w:space="0" w:color="auto"/>
        <w:bottom w:val="none" w:sz="0" w:space="0" w:color="auto"/>
        <w:right w:val="none" w:sz="0" w:space="0" w:color="auto"/>
      </w:divBdr>
    </w:div>
    <w:div w:id="1645811258">
      <w:bodyDiv w:val="1"/>
      <w:marLeft w:val="0"/>
      <w:marRight w:val="0"/>
      <w:marTop w:val="0"/>
      <w:marBottom w:val="0"/>
      <w:divBdr>
        <w:top w:val="none" w:sz="0" w:space="0" w:color="auto"/>
        <w:left w:val="none" w:sz="0" w:space="0" w:color="auto"/>
        <w:bottom w:val="none" w:sz="0" w:space="0" w:color="auto"/>
        <w:right w:val="none" w:sz="0" w:space="0" w:color="auto"/>
      </w:divBdr>
    </w:div>
    <w:div w:id="1651712236">
      <w:bodyDiv w:val="1"/>
      <w:marLeft w:val="0"/>
      <w:marRight w:val="0"/>
      <w:marTop w:val="0"/>
      <w:marBottom w:val="0"/>
      <w:divBdr>
        <w:top w:val="none" w:sz="0" w:space="0" w:color="auto"/>
        <w:left w:val="none" w:sz="0" w:space="0" w:color="auto"/>
        <w:bottom w:val="none" w:sz="0" w:space="0" w:color="auto"/>
        <w:right w:val="none" w:sz="0" w:space="0" w:color="auto"/>
      </w:divBdr>
    </w:div>
    <w:div w:id="1674604773">
      <w:bodyDiv w:val="1"/>
      <w:marLeft w:val="0"/>
      <w:marRight w:val="0"/>
      <w:marTop w:val="0"/>
      <w:marBottom w:val="0"/>
      <w:divBdr>
        <w:top w:val="none" w:sz="0" w:space="0" w:color="auto"/>
        <w:left w:val="none" w:sz="0" w:space="0" w:color="auto"/>
        <w:bottom w:val="none" w:sz="0" w:space="0" w:color="auto"/>
        <w:right w:val="none" w:sz="0" w:space="0" w:color="auto"/>
      </w:divBdr>
    </w:div>
    <w:div w:id="1681465060">
      <w:bodyDiv w:val="1"/>
      <w:marLeft w:val="0"/>
      <w:marRight w:val="0"/>
      <w:marTop w:val="0"/>
      <w:marBottom w:val="0"/>
      <w:divBdr>
        <w:top w:val="none" w:sz="0" w:space="0" w:color="auto"/>
        <w:left w:val="none" w:sz="0" w:space="0" w:color="auto"/>
        <w:bottom w:val="none" w:sz="0" w:space="0" w:color="auto"/>
        <w:right w:val="none" w:sz="0" w:space="0" w:color="auto"/>
      </w:divBdr>
    </w:div>
    <w:div w:id="1694334174">
      <w:bodyDiv w:val="1"/>
      <w:marLeft w:val="0"/>
      <w:marRight w:val="0"/>
      <w:marTop w:val="0"/>
      <w:marBottom w:val="0"/>
      <w:divBdr>
        <w:top w:val="none" w:sz="0" w:space="0" w:color="auto"/>
        <w:left w:val="none" w:sz="0" w:space="0" w:color="auto"/>
        <w:bottom w:val="none" w:sz="0" w:space="0" w:color="auto"/>
        <w:right w:val="none" w:sz="0" w:space="0" w:color="auto"/>
      </w:divBdr>
    </w:div>
    <w:div w:id="1702977027">
      <w:bodyDiv w:val="1"/>
      <w:marLeft w:val="0"/>
      <w:marRight w:val="0"/>
      <w:marTop w:val="0"/>
      <w:marBottom w:val="0"/>
      <w:divBdr>
        <w:top w:val="none" w:sz="0" w:space="0" w:color="auto"/>
        <w:left w:val="none" w:sz="0" w:space="0" w:color="auto"/>
        <w:bottom w:val="none" w:sz="0" w:space="0" w:color="auto"/>
        <w:right w:val="none" w:sz="0" w:space="0" w:color="auto"/>
      </w:divBdr>
    </w:div>
    <w:div w:id="1714771540">
      <w:bodyDiv w:val="1"/>
      <w:marLeft w:val="0"/>
      <w:marRight w:val="0"/>
      <w:marTop w:val="0"/>
      <w:marBottom w:val="0"/>
      <w:divBdr>
        <w:top w:val="none" w:sz="0" w:space="0" w:color="auto"/>
        <w:left w:val="none" w:sz="0" w:space="0" w:color="auto"/>
        <w:bottom w:val="none" w:sz="0" w:space="0" w:color="auto"/>
        <w:right w:val="none" w:sz="0" w:space="0" w:color="auto"/>
      </w:divBdr>
    </w:div>
    <w:div w:id="1717970674">
      <w:bodyDiv w:val="1"/>
      <w:marLeft w:val="0"/>
      <w:marRight w:val="0"/>
      <w:marTop w:val="0"/>
      <w:marBottom w:val="0"/>
      <w:divBdr>
        <w:top w:val="none" w:sz="0" w:space="0" w:color="auto"/>
        <w:left w:val="none" w:sz="0" w:space="0" w:color="auto"/>
        <w:bottom w:val="none" w:sz="0" w:space="0" w:color="auto"/>
        <w:right w:val="none" w:sz="0" w:space="0" w:color="auto"/>
      </w:divBdr>
    </w:div>
    <w:div w:id="1718627999">
      <w:bodyDiv w:val="1"/>
      <w:marLeft w:val="0"/>
      <w:marRight w:val="0"/>
      <w:marTop w:val="0"/>
      <w:marBottom w:val="0"/>
      <w:divBdr>
        <w:top w:val="none" w:sz="0" w:space="0" w:color="auto"/>
        <w:left w:val="none" w:sz="0" w:space="0" w:color="auto"/>
        <w:bottom w:val="none" w:sz="0" w:space="0" w:color="auto"/>
        <w:right w:val="none" w:sz="0" w:space="0" w:color="auto"/>
      </w:divBdr>
    </w:div>
    <w:div w:id="1760364207">
      <w:bodyDiv w:val="1"/>
      <w:marLeft w:val="0"/>
      <w:marRight w:val="0"/>
      <w:marTop w:val="0"/>
      <w:marBottom w:val="0"/>
      <w:divBdr>
        <w:top w:val="none" w:sz="0" w:space="0" w:color="auto"/>
        <w:left w:val="none" w:sz="0" w:space="0" w:color="auto"/>
        <w:bottom w:val="none" w:sz="0" w:space="0" w:color="auto"/>
        <w:right w:val="none" w:sz="0" w:space="0" w:color="auto"/>
      </w:divBdr>
    </w:div>
    <w:div w:id="1788500207">
      <w:bodyDiv w:val="1"/>
      <w:marLeft w:val="0"/>
      <w:marRight w:val="0"/>
      <w:marTop w:val="0"/>
      <w:marBottom w:val="0"/>
      <w:divBdr>
        <w:top w:val="none" w:sz="0" w:space="0" w:color="auto"/>
        <w:left w:val="none" w:sz="0" w:space="0" w:color="auto"/>
        <w:bottom w:val="none" w:sz="0" w:space="0" w:color="auto"/>
        <w:right w:val="none" w:sz="0" w:space="0" w:color="auto"/>
      </w:divBdr>
    </w:div>
    <w:div w:id="1791583748">
      <w:bodyDiv w:val="1"/>
      <w:marLeft w:val="0"/>
      <w:marRight w:val="0"/>
      <w:marTop w:val="0"/>
      <w:marBottom w:val="0"/>
      <w:divBdr>
        <w:top w:val="none" w:sz="0" w:space="0" w:color="auto"/>
        <w:left w:val="none" w:sz="0" w:space="0" w:color="auto"/>
        <w:bottom w:val="none" w:sz="0" w:space="0" w:color="auto"/>
        <w:right w:val="none" w:sz="0" w:space="0" w:color="auto"/>
      </w:divBdr>
    </w:div>
    <w:div w:id="1820268103">
      <w:bodyDiv w:val="1"/>
      <w:marLeft w:val="0"/>
      <w:marRight w:val="0"/>
      <w:marTop w:val="0"/>
      <w:marBottom w:val="0"/>
      <w:divBdr>
        <w:top w:val="none" w:sz="0" w:space="0" w:color="auto"/>
        <w:left w:val="none" w:sz="0" w:space="0" w:color="auto"/>
        <w:bottom w:val="none" w:sz="0" w:space="0" w:color="auto"/>
        <w:right w:val="none" w:sz="0" w:space="0" w:color="auto"/>
      </w:divBdr>
    </w:div>
    <w:div w:id="1870605754">
      <w:bodyDiv w:val="1"/>
      <w:marLeft w:val="0"/>
      <w:marRight w:val="0"/>
      <w:marTop w:val="0"/>
      <w:marBottom w:val="0"/>
      <w:divBdr>
        <w:top w:val="none" w:sz="0" w:space="0" w:color="auto"/>
        <w:left w:val="none" w:sz="0" w:space="0" w:color="auto"/>
        <w:bottom w:val="none" w:sz="0" w:space="0" w:color="auto"/>
        <w:right w:val="none" w:sz="0" w:space="0" w:color="auto"/>
      </w:divBdr>
    </w:div>
    <w:div w:id="1871601511">
      <w:bodyDiv w:val="1"/>
      <w:marLeft w:val="0"/>
      <w:marRight w:val="0"/>
      <w:marTop w:val="0"/>
      <w:marBottom w:val="0"/>
      <w:divBdr>
        <w:top w:val="none" w:sz="0" w:space="0" w:color="auto"/>
        <w:left w:val="none" w:sz="0" w:space="0" w:color="auto"/>
        <w:bottom w:val="none" w:sz="0" w:space="0" w:color="auto"/>
        <w:right w:val="none" w:sz="0" w:space="0" w:color="auto"/>
      </w:divBdr>
    </w:div>
    <w:div w:id="1914509998">
      <w:bodyDiv w:val="1"/>
      <w:marLeft w:val="0"/>
      <w:marRight w:val="0"/>
      <w:marTop w:val="0"/>
      <w:marBottom w:val="0"/>
      <w:divBdr>
        <w:top w:val="none" w:sz="0" w:space="0" w:color="auto"/>
        <w:left w:val="none" w:sz="0" w:space="0" w:color="auto"/>
        <w:bottom w:val="none" w:sz="0" w:space="0" w:color="auto"/>
        <w:right w:val="none" w:sz="0" w:space="0" w:color="auto"/>
      </w:divBdr>
    </w:div>
    <w:div w:id="1919703644">
      <w:bodyDiv w:val="1"/>
      <w:marLeft w:val="0"/>
      <w:marRight w:val="0"/>
      <w:marTop w:val="0"/>
      <w:marBottom w:val="0"/>
      <w:divBdr>
        <w:top w:val="none" w:sz="0" w:space="0" w:color="auto"/>
        <w:left w:val="none" w:sz="0" w:space="0" w:color="auto"/>
        <w:bottom w:val="none" w:sz="0" w:space="0" w:color="auto"/>
        <w:right w:val="none" w:sz="0" w:space="0" w:color="auto"/>
      </w:divBdr>
    </w:div>
    <w:div w:id="1963149470">
      <w:bodyDiv w:val="1"/>
      <w:marLeft w:val="0"/>
      <w:marRight w:val="0"/>
      <w:marTop w:val="0"/>
      <w:marBottom w:val="0"/>
      <w:divBdr>
        <w:top w:val="none" w:sz="0" w:space="0" w:color="auto"/>
        <w:left w:val="none" w:sz="0" w:space="0" w:color="auto"/>
        <w:bottom w:val="none" w:sz="0" w:space="0" w:color="auto"/>
        <w:right w:val="none" w:sz="0" w:space="0" w:color="auto"/>
      </w:divBdr>
    </w:div>
    <w:div w:id="1981298860">
      <w:bodyDiv w:val="1"/>
      <w:marLeft w:val="0"/>
      <w:marRight w:val="0"/>
      <w:marTop w:val="0"/>
      <w:marBottom w:val="0"/>
      <w:divBdr>
        <w:top w:val="none" w:sz="0" w:space="0" w:color="auto"/>
        <w:left w:val="none" w:sz="0" w:space="0" w:color="auto"/>
        <w:bottom w:val="none" w:sz="0" w:space="0" w:color="auto"/>
        <w:right w:val="none" w:sz="0" w:space="0" w:color="auto"/>
      </w:divBdr>
    </w:div>
    <w:div w:id="2027242316">
      <w:bodyDiv w:val="1"/>
      <w:marLeft w:val="0"/>
      <w:marRight w:val="0"/>
      <w:marTop w:val="0"/>
      <w:marBottom w:val="0"/>
      <w:divBdr>
        <w:top w:val="none" w:sz="0" w:space="0" w:color="auto"/>
        <w:left w:val="none" w:sz="0" w:space="0" w:color="auto"/>
        <w:bottom w:val="none" w:sz="0" w:space="0" w:color="auto"/>
        <w:right w:val="none" w:sz="0" w:space="0" w:color="auto"/>
      </w:divBdr>
    </w:div>
    <w:div w:id="2029721901">
      <w:bodyDiv w:val="1"/>
      <w:marLeft w:val="0"/>
      <w:marRight w:val="0"/>
      <w:marTop w:val="0"/>
      <w:marBottom w:val="0"/>
      <w:divBdr>
        <w:top w:val="none" w:sz="0" w:space="0" w:color="auto"/>
        <w:left w:val="none" w:sz="0" w:space="0" w:color="auto"/>
        <w:bottom w:val="none" w:sz="0" w:space="0" w:color="auto"/>
        <w:right w:val="none" w:sz="0" w:space="0" w:color="auto"/>
      </w:divBdr>
    </w:div>
    <w:div w:id="2135370551">
      <w:bodyDiv w:val="1"/>
      <w:marLeft w:val="0"/>
      <w:marRight w:val="0"/>
      <w:marTop w:val="0"/>
      <w:marBottom w:val="0"/>
      <w:divBdr>
        <w:top w:val="none" w:sz="0" w:space="0" w:color="auto"/>
        <w:left w:val="none" w:sz="0" w:space="0" w:color="auto"/>
        <w:bottom w:val="none" w:sz="0" w:space="0" w:color="auto"/>
        <w:right w:val="none" w:sz="0" w:space="0" w:color="auto"/>
      </w:divBdr>
      <w:divsChild>
        <w:div w:id="482041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s.nhs.uk"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ma.europa.eu/en/documents/public-statement/public-statement-blenrep-belantamab-mafodotin-non-renewal-conditional-marketing-authorisation-european-union_en.pdf" TargetMode="Externa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nwmedinfo@nhs.net?subject=New%20Medicines%20Newslette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ukmi.nhs.uk/nd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wmedinfo@nhs.net?subject=New%20Medicines%20Newslett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wmedinfo@nhs.net?subject=New%20Medicines%20Newslette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www.sps.nhs.uk/articles/sps-horizon-scanning/" TargetMode="External"/><Relationship Id="rId2" Type="http://schemas.openxmlformats.org/officeDocument/2006/relationships/image" Target="media/image4.png"/><Relationship Id="rId1" Type="http://schemas.openxmlformats.org/officeDocument/2006/relationships/image" Target="media/image2.jpeg"/><Relationship Id="rId4" Type="http://schemas.openxmlformats.org/officeDocument/2006/relationships/hyperlink" Target="https://www.sps.nhs.uk/home/planning/annual-medicines-planning/"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PPU\MedicinesInfo\Publications%20NWMIC\New%20Medicines%20News%20(incl%20Clinical%20Pharmacist)\Admin\New%20Medicines%20New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E074-DAC3-464B-8E55-38477415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Medicines News template 2024</Template>
  <TotalTime>262</TotalTime>
  <Pages>7</Pages>
  <Words>3541</Words>
  <Characters>22564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NDO home | Contact | Register for NDO access</vt:lpstr>
    </vt:vector>
  </TitlesOfParts>
  <Company>NMHIS</Company>
  <LinksUpToDate>false</LinksUpToDate>
  <CharactersWithSpaces>26053</CharactersWithSpaces>
  <SharedDoc>false</SharedDoc>
  <HLinks>
    <vt:vector size="498" baseType="variant">
      <vt:variant>
        <vt:i4>458841</vt:i4>
      </vt:variant>
      <vt:variant>
        <vt:i4>228</vt:i4>
      </vt:variant>
      <vt:variant>
        <vt:i4>0</vt:i4>
      </vt:variant>
      <vt:variant>
        <vt:i4>5</vt:i4>
      </vt:variant>
      <vt:variant>
        <vt:lpwstr>https://www.sps.nhs.uk/medicines/zuranolone/</vt:lpwstr>
      </vt:variant>
      <vt:variant>
        <vt:lpwstr/>
      </vt:variant>
      <vt:variant>
        <vt:i4>7602219</vt:i4>
      </vt:variant>
      <vt:variant>
        <vt:i4>225</vt:i4>
      </vt:variant>
      <vt:variant>
        <vt:i4>0</vt:i4>
      </vt:variant>
      <vt:variant>
        <vt:i4>5</vt:i4>
      </vt:variant>
      <vt:variant>
        <vt:lpwstr>https://www.sps.nhs.uk/medicines/zoliflodacin/</vt:lpwstr>
      </vt:variant>
      <vt:variant>
        <vt:lpwstr/>
      </vt:variant>
      <vt:variant>
        <vt:i4>8323111</vt:i4>
      </vt:variant>
      <vt:variant>
        <vt:i4>222</vt:i4>
      </vt:variant>
      <vt:variant>
        <vt:i4>0</vt:i4>
      </vt:variant>
      <vt:variant>
        <vt:i4>5</vt:i4>
      </vt:variant>
      <vt:variant>
        <vt:lpwstr>https://www.sps.nhs.uk/medicines/upadacitinib/</vt:lpwstr>
      </vt:variant>
      <vt:variant>
        <vt:lpwstr/>
      </vt:variant>
      <vt:variant>
        <vt:i4>5570648</vt:i4>
      </vt:variant>
      <vt:variant>
        <vt:i4>219</vt:i4>
      </vt:variant>
      <vt:variant>
        <vt:i4>0</vt:i4>
      </vt:variant>
      <vt:variant>
        <vt:i4>5</vt:i4>
      </vt:variant>
      <vt:variant>
        <vt:lpwstr>https://www.sps.nhs.uk/medicines/sep-363856/</vt:lpwstr>
      </vt:variant>
      <vt:variant>
        <vt:lpwstr/>
      </vt:variant>
      <vt:variant>
        <vt:i4>131160</vt:i4>
      </vt:variant>
      <vt:variant>
        <vt:i4>216</vt:i4>
      </vt:variant>
      <vt:variant>
        <vt:i4>0</vt:i4>
      </vt:variant>
      <vt:variant>
        <vt:i4>5</vt:i4>
      </vt:variant>
      <vt:variant>
        <vt:lpwstr>https://www.sps.nhs.uk/medicines/padesvonil/</vt:lpwstr>
      </vt:variant>
      <vt:variant>
        <vt:lpwstr/>
      </vt:variant>
      <vt:variant>
        <vt:i4>4456520</vt:i4>
      </vt:variant>
      <vt:variant>
        <vt:i4>213</vt:i4>
      </vt:variant>
      <vt:variant>
        <vt:i4>0</vt:i4>
      </vt:variant>
      <vt:variant>
        <vt:i4>5</vt:i4>
      </vt:variant>
      <vt:variant>
        <vt:lpwstr>https://www.sps.nhs.uk/medicines/opiranserin/</vt:lpwstr>
      </vt:variant>
      <vt:variant>
        <vt:lpwstr/>
      </vt:variant>
      <vt:variant>
        <vt:i4>2555944</vt:i4>
      </vt:variant>
      <vt:variant>
        <vt:i4>210</vt:i4>
      </vt:variant>
      <vt:variant>
        <vt:i4>0</vt:i4>
      </vt:variant>
      <vt:variant>
        <vt:i4>5</vt:i4>
      </vt:variant>
      <vt:variant>
        <vt:lpwstr>https://www.sps.nhs.uk/medicines/mitapivat/</vt:lpwstr>
      </vt:variant>
      <vt:variant>
        <vt:lpwstr/>
      </vt:variant>
      <vt:variant>
        <vt:i4>393288</vt:i4>
      </vt:variant>
      <vt:variant>
        <vt:i4>207</vt:i4>
      </vt:variant>
      <vt:variant>
        <vt:i4>0</vt:i4>
      </vt:variant>
      <vt:variant>
        <vt:i4>5</vt:i4>
      </vt:variant>
      <vt:variant>
        <vt:lpwstr>https://www.sps.nhs.uk/medicines/linzagolix/</vt:lpwstr>
      </vt:variant>
      <vt:variant>
        <vt:lpwstr/>
      </vt:variant>
      <vt:variant>
        <vt:i4>3604520</vt:i4>
      </vt:variant>
      <vt:variant>
        <vt:i4>204</vt:i4>
      </vt:variant>
      <vt:variant>
        <vt:i4>0</vt:i4>
      </vt:variant>
      <vt:variant>
        <vt:i4>5</vt:i4>
      </vt:variant>
      <vt:variant>
        <vt:lpwstr>https://www.sps.nhs.uk/medicines/leriglitazone/</vt:lpwstr>
      </vt:variant>
      <vt:variant>
        <vt:lpwstr/>
      </vt:variant>
      <vt:variant>
        <vt:i4>7929889</vt:i4>
      </vt:variant>
      <vt:variant>
        <vt:i4>201</vt:i4>
      </vt:variant>
      <vt:variant>
        <vt:i4>0</vt:i4>
      </vt:variant>
      <vt:variant>
        <vt:i4>5</vt:i4>
      </vt:variant>
      <vt:variant>
        <vt:lpwstr>https://www.sps.nhs.uk/medicines/lebrikizumab/</vt:lpwstr>
      </vt:variant>
      <vt:variant>
        <vt:lpwstr/>
      </vt:variant>
      <vt:variant>
        <vt:i4>524381</vt:i4>
      </vt:variant>
      <vt:variant>
        <vt:i4>198</vt:i4>
      </vt:variant>
      <vt:variant>
        <vt:i4>0</vt:i4>
      </vt:variant>
      <vt:variant>
        <vt:i4>5</vt:i4>
      </vt:variant>
      <vt:variant>
        <vt:lpwstr>https://www.sps.nhs.uk/medicines/glatiramer/</vt:lpwstr>
      </vt:variant>
      <vt:variant>
        <vt:lpwstr/>
      </vt:variant>
      <vt:variant>
        <vt:i4>5832790</vt:i4>
      </vt:variant>
      <vt:variant>
        <vt:i4>195</vt:i4>
      </vt:variant>
      <vt:variant>
        <vt:i4>0</vt:i4>
      </vt:variant>
      <vt:variant>
        <vt:i4>5</vt:i4>
      </vt:variant>
      <vt:variant>
        <vt:lpwstr>https://www.sps.nhs.uk/medicines/fcr-001/</vt:lpwstr>
      </vt:variant>
      <vt:variant>
        <vt:lpwstr/>
      </vt:variant>
      <vt:variant>
        <vt:i4>3080232</vt:i4>
      </vt:variant>
      <vt:variant>
        <vt:i4>192</vt:i4>
      </vt:variant>
      <vt:variant>
        <vt:i4>0</vt:i4>
      </vt:variant>
      <vt:variant>
        <vt:i4>5</vt:i4>
      </vt:variant>
      <vt:variant>
        <vt:lpwstr>https://www.sps.nhs.uk/medicines/empagliflozin/</vt:lpwstr>
      </vt:variant>
      <vt:variant>
        <vt:lpwstr/>
      </vt:variant>
      <vt:variant>
        <vt:i4>2752551</vt:i4>
      </vt:variant>
      <vt:variant>
        <vt:i4>189</vt:i4>
      </vt:variant>
      <vt:variant>
        <vt:i4>0</vt:i4>
      </vt:variant>
      <vt:variant>
        <vt:i4>5</vt:i4>
      </vt:variant>
      <vt:variant>
        <vt:lpwstr>https://www.sps.nhs.uk/medicines/diazoxide/</vt:lpwstr>
      </vt:variant>
      <vt:variant>
        <vt:lpwstr/>
      </vt:variant>
      <vt:variant>
        <vt:i4>6815782</vt:i4>
      </vt:variant>
      <vt:variant>
        <vt:i4>186</vt:i4>
      </vt:variant>
      <vt:variant>
        <vt:i4>0</vt:i4>
      </vt:variant>
      <vt:variant>
        <vt:i4>5</vt:i4>
      </vt:variant>
      <vt:variant>
        <vt:lpwstr>https://www.sps.nhs.uk/medicines/dasiglucagon/</vt:lpwstr>
      </vt:variant>
      <vt:variant>
        <vt:lpwstr/>
      </vt:variant>
      <vt:variant>
        <vt:i4>4194380</vt:i4>
      </vt:variant>
      <vt:variant>
        <vt:i4>183</vt:i4>
      </vt:variant>
      <vt:variant>
        <vt:i4>0</vt:i4>
      </vt:variant>
      <vt:variant>
        <vt:i4>5</vt:i4>
      </vt:variant>
      <vt:variant>
        <vt:lpwstr>https://www.sps.nhs.uk/medicines/cyclobenzaprine/</vt:lpwstr>
      </vt:variant>
      <vt:variant>
        <vt:lpwstr/>
      </vt:variant>
      <vt:variant>
        <vt:i4>1179733</vt:i4>
      </vt:variant>
      <vt:variant>
        <vt:i4>180</vt:i4>
      </vt:variant>
      <vt:variant>
        <vt:i4>0</vt:i4>
      </vt:variant>
      <vt:variant>
        <vt:i4>5</vt:i4>
      </vt:variant>
      <vt:variant>
        <vt:lpwstr>https://www.sps.nhs.uk/medicines/bumetanide/</vt:lpwstr>
      </vt:variant>
      <vt:variant>
        <vt:lpwstr/>
      </vt:variant>
      <vt:variant>
        <vt:i4>1835099</vt:i4>
      </vt:variant>
      <vt:variant>
        <vt:i4>177</vt:i4>
      </vt:variant>
      <vt:variant>
        <vt:i4>0</vt:i4>
      </vt:variant>
      <vt:variant>
        <vt:i4>5</vt:i4>
      </vt:variant>
      <vt:variant>
        <vt:lpwstr>https://www.sps.nhs.uk/medicines/budesonide/</vt:lpwstr>
      </vt:variant>
      <vt:variant>
        <vt:lpwstr/>
      </vt:variant>
      <vt:variant>
        <vt:i4>1638427</vt:i4>
      </vt:variant>
      <vt:variant>
        <vt:i4>174</vt:i4>
      </vt:variant>
      <vt:variant>
        <vt:i4>0</vt:i4>
      </vt:variant>
      <vt:variant>
        <vt:i4>5</vt:i4>
      </vt:variant>
      <vt:variant>
        <vt:lpwstr>https://www.sps.nhs.uk/medicines/bardoxolone-methyl/</vt:lpwstr>
      </vt:variant>
      <vt:variant>
        <vt:lpwstr/>
      </vt:variant>
      <vt:variant>
        <vt:i4>5767195</vt:i4>
      </vt:variant>
      <vt:variant>
        <vt:i4>171</vt:i4>
      </vt:variant>
      <vt:variant>
        <vt:i4>0</vt:i4>
      </vt:variant>
      <vt:variant>
        <vt:i4>5</vt:i4>
      </vt:variant>
      <vt:variant>
        <vt:lpwstr>https://www.sps.nhs.uk/medicines/autologous-bm-derived-stem-cell-therapy/</vt:lpwstr>
      </vt:variant>
      <vt:variant>
        <vt:lpwstr/>
      </vt:variant>
      <vt:variant>
        <vt:i4>4587591</vt:i4>
      </vt:variant>
      <vt:variant>
        <vt:i4>168</vt:i4>
      </vt:variant>
      <vt:variant>
        <vt:i4>0</vt:i4>
      </vt:variant>
      <vt:variant>
        <vt:i4>5</vt:i4>
      </vt:variant>
      <vt:variant>
        <vt:lpwstr>https://www.sps.nhs.uk/medicines/at-gtx-501/</vt:lpwstr>
      </vt:variant>
      <vt:variant>
        <vt:lpwstr/>
      </vt:variant>
      <vt:variant>
        <vt:i4>7864359</vt:i4>
      </vt:variant>
      <vt:variant>
        <vt:i4>165</vt:i4>
      </vt:variant>
      <vt:variant>
        <vt:i4>0</vt:i4>
      </vt:variant>
      <vt:variant>
        <vt:i4>5</vt:i4>
      </vt:variant>
      <vt:variant>
        <vt:lpwstr>https://www.sps.nhs.uk/medicines/telapristone/</vt:lpwstr>
      </vt:variant>
      <vt:variant>
        <vt:lpwstr/>
      </vt:variant>
      <vt:variant>
        <vt:i4>7864359</vt:i4>
      </vt:variant>
      <vt:variant>
        <vt:i4>162</vt:i4>
      </vt:variant>
      <vt:variant>
        <vt:i4>0</vt:i4>
      </vt:variant>
      <vt:variant>
        <vt:i4>5</vt:i4>
      </vt:variant>
      <vt:variant>
        <vt:lpwstr>https://www.sps.nhs.uk/medicines/telapristone/</vt:lpwstr>
      </vt:variant>
      <vt:variant>
        <vt:lpwstr/>
      </vt:variant>
      <vt:variant>
        <vt:i4>1769490</vt:i4>
      </vt:variant>
      <vt:variant>
        <vt:i4>159</vt:i4>
      </vt:variant>
      <vt:variant>
        <vt:i4>0</vt:i4>
      </vt:variant>
      <vt:variant>
        <vt:i4>5</vt:i4>
      </vt:variant>
      <vt:variant>
        <vt:lpwstr>https://www.sps.nhs.uk/medicines/t-cell-replacement-therapy/</vt:lpwstr>
      </vt:variant>
      <vt:variant>
        <vt:lpwstr/>
      </vt:variant>
      <vt:variant>
        <vt:i4>1245262</vt:i4>
      </vt:variant>
      <vt:variant>
        <vt:i4>156</vt:i4>
      </vt:variant>
      <vt:variant>
        <vt:i4>0</vt:i4>
      </vt:variant>
      <vt:variant>
        <vt:i4>5</vt:i4>
      </vt:variant>
      <vt:variant>
        <vt:lpwstr>https://www.sps.nhs.uk/medicines/salmeterol/</vt:lpwstr>
      </vt:variant>
      <vt:variant>
        <vt:lpwstr/>
      </vt:variant>
      <vt:variant>
        <vt:i4>1966174</vt:i4>
      </vt:variant>
      <vt:variant>
        <vt:i4>153</vt:i4>
      </vt:variant>
      <vt:variant>
        <vt:i4>0</vt:i4>
      </vt:variant>
      <vt:variant>
        <vt:i4>5</vt:i4>
      </vt:variant>
      <vt:variant>
        <vt:lpwstr>https://www.sps.nhs.uk/medicines/rapastinel/</vt:lpwstr>
      </vt:variant>
      <vt:variant>
        <vt:lpwstr/>
      </vt:variant>
      <vt:variant>
        <vt:i4>3276927</vt:i4>
      </vt:variant>
      <vt:variant>
        <vt:i4>150</vt:i4>
      </vt:variant>
      <vt:variant>
        <vt:i4>0</vt:i4>
      </vt:variant>
      <vt:variant>
        <vt:i4>5</vt:i4>
      </vt:variant>
      <vt:variant>
        <vt:lpwstr>https://www.sps.nhs.uk/medicines/pegylated-recombinant-human-hyaluronidase/</vt:lpwstr>
      </vt:variant>
      <vt:variant>
        <vt:lpwstr/>
      </vt:variant>
      <vt:variant>
        <vt:i4>4849741</vt:i4>
      </vt:variant>
      <vt:variant>
        <vt:i4>147</vt:i4>
      </vt:variant>
      <vt:variant>
        <vt:i4>0</vt:i4>
      </vt:variant>
      <vt:variant>
        <vt:i4>5</vt:i4>
      </vt:variant>
      <vt:variant>
        <vt:lpwstr>https://www.sps.nhs.uk/medicines/nilvadipine/</vt:lpwstr>
      </vt:variant>
      <vt:variant>
        <vt:lpwstr/>
      </vt:variant>
      <vt:variant>
        <vt:i4>7798828</vt:i4>
      </vt:variant>
      <vt:variant>
        <vt:i4>144</vt:i4>
      </vt:variant>
      <vt:variant>
        <vt:i4>0</vt:i4>
      </vt:variant>
      <vt:variant>
        <vt:i4>5</vt:i4>
      </vt:variant>
      <vt:variant>
        <vt:lpwstr>https://www.sps.nhs.uk/medicines/naloxone/</vt:lpwstr>
      </vt:variant>
      <vt:variant>
        <vt:lpwstr/>
      </vt:variant>
      <vt:variant>
        <vt:i4>1441887</vt:i4>
      </vt:variant>
      <vt:variant>
        <vt:i4>141</vt:i4>
      </vt:variant>
      <vt:variant>
        <vt:i4>0</vt:i4>
      </vt:variant>
      <vt:variant>
        <vt:i4>5</vt:i4>
      </vt:variant>
      <vt:variant>
        <vt:lpwstr>https://www.sps.nhs.uk/medicines/macitentan/</vt:lpwstr>
      </vt:variant>
      <vt:variant>
        <vt:lpwstr/>
      </vt:variant>
      <vt:variant>
        <vt:i4>6225993</vt:i4>
      </vt:variant>
      <vt:variant>
        <vt:i4>138</vt:i4>
      </vt:variant>
      <vt:variant>
        <vt:i4>0</vt:i4>
      </vt:variant>
      <vt:variant>
        <vt:i4>5</vt:i4>
      </vt:variant>
      <vt:variant>
        <vt:lpwstr>https://www.sps.nhs.uk/medicines/hydroxyprogesterone/</vt:lpwstr>
      </vt:variant>
      <vt:variant>
        <vt:lpwstr/>
      </vt:variant>
      <vt:variant>
        <vt:i4>2687026</vt:i4>
      </vt:variant>
      <vt:variant>
        <vt:i4>135</vt:i4>
      </vt:variant>
      <vt:variant>
        <vt:i4>0</vt:i4>
      </vt:variant>
      <vt:variant>
        <vt:i4>5</vt:i4>
      </vt:variant>
      <vt:variant>
        <vt:lpwstr>https://www.sps.nhs.uk/medicines/ciprofloxacin/</vt:lpwstr>
      </vt:variant>
      <vt:variant>
        <vt:lpwstr/>
      </vt:variant>
      <vt:variant>
        <vt:i4>196702</vt:i4>
      </vt:variant>
      <vt:variant>
        <vt:i4>132</vt:i4>
      </vt:variant>
      <vt:variant>
        <vt:i4>0</vt:i4>
      </vt:variant>
      <vt:variant>
        <vt:i4>5</vt:i4>
      </vt:variant>
      <vt:variant>
        <vt:lpwstr>https://www.sps.nhs.uk/medicines/calcitonin/</vt:lpwstr>
      </vt:variant>
      <vt:variant>
        <vt:lpwstr/>
      </vt:variant>
      <vt:variant>
        <vt:i4>7667749</vt:i4>
      </vt:variant>
      <vt:variant>
        <vt:i4>129</vt:i4>
      </vt:variant>
      <vt:variant>
        <vt:i4>0</vt:i4>
      </vt:variant>
      <vt:variant>
        <vt:i4>5</vt:i4>
      </vt:variant>
      <vt:variant>
        <vt:lpwstr>https://www.sps.nhs.uk/medicines/c1-esterase-inhibitor/</vt:lpwstr>
      </vt:variant>
      <vt:variant>
        <vt:lpwstr/>
      </vt:variant>
      <vt:variant>
        <vt:i4>2490478</vt:i4>
      </vt:variant>
      <vt:variant>
        <vt:i4>126</vt:i4>
      </vt:variant>
      <vt:variant>
        <vt:i4>0</vt:i4>
      </vt:variant>
      <vt:variant>
        <vt:i4>5</vt:i4>
      </vt:variant>
      <vt:variant>
        <vt:lpwstr>https://www.sps.nhs.uk/medicines/buprenorphine-samidorphan/</vt:lpwstr>
      </vt:variant>
      <vt:variant>
        <vt:lpwstr/>
      </vt:variant>
      <vt:variant>
        <vt:i4>2621493</vt:i4>
      </vt:variant>
      <vt:variant>
        <vt:i4>123</vt:i4>
      </vt:variant>
      <vt:variant>
        <vt:i4>0</vt:i4>
      </vt:variant>
      <vt:variant>
        <vt:i4>5</vt:i4>
      </vt:variant>
      <vt:variant>
        <vt:lpwstr>https://www.sps.nhs.uk/medicines/buprenorphine/</vt:lpwstr>
      </vt:variant>
      <vt:variant>
        <vt:lpwstr/>
      </vt:variant>
      <vt:variant>
        <vt:i4>3538984</vt:i4>
      </vt:variant>
      <vt:variant>
        <vt:i4>120</vt:i4>
      </vt:variant>
      <vt:variant>
        <vt:i4>0</vt:i4>
      </vt:variant>
      <vt:variant>
        <vt:i4>5</vt:i4>
      </vt:variant>
      <vt:variant>
        <vt:lpwstr>https://www.sps.nhs.uk/medicines/botulinum-a-toxin/</vt:lpwstr>
      </vt:variant>
      <vt:variant>
        <vt:lpwstr/>
      </vt:variant>
      <vt:variant>
        <vt:i4>458843</vt:i4>
      </vt:variant>
      <vt:variant>
        <vt:i4>117</vt:i4>
      </vt:variant>
      <vt:variant>
        <vt:i4>0</vt:i4>
      </vt:variant>
      <vt:variant>
        <vt:i4>5</vt:i4>
      </vt:variant>
      <vt:variant>
        <vt:lpwstr>https://www.sps.nhs.uk/medicines/biotin/</vt:lpwstr>
      </vt:variant>
      <vt:variant>
        <vt:lpwstr/>
      </vt:variant>
      <vt:variant>
        <vt:i4>3145761</vt:i4>
      </vt:variant>
      <vt:variant>
        <vt:i4>114</vt:i4>
      </vt:variant>
      <vt:variant>
        <vt:i4>0</vt:i4>
      </vt:variant>
      <vt:variant>
        <vt:i4>5</vt:i4>
      </vt:variant>
      <vt:variant>
        <vt:lpwstr>https://www.sps.nhs.uk/medicines/arbaclofen-placarbil/</vt:lpwstr>
      </vt:variant>
      <vt:variant>
        <vt:lpwstr/>
      </vt:variant>
      <vt:variant>
        <vt:i4>1572889</vt:i4>
      </vt:variant>
      <vt:variant>
        <vt:i4>111</vt:i4>
      </vt:variant>
      <vt:variant>
        <vt:i4>0</vt:i4>
      </vt:variant>
      <vt:variant>
        <vt:i4>5</vt:i4>
      </vt:variant>
      <vt:variant>
        <vt:lpwstr>https://www.sps.nhs.uk/medicines/valoctocogene-roxaparvovec/</vt:lpwstr>
      </vt:variant>
      <vt:variant>
        <vt:lpwstr/>
      </vt:variant>
      <vt:variant>
        <vt:i4>2031697</vt:i4>
      </vt:variant>
      <vt:variant>
        <vt:i4>108</vt:i4>
      </vt:variant>
      <vt:variant>
        <vt:i4>0</vt:i4>
      </vt:variant>
      <vt:variant>
        <vt:i4>5</vt:i4>
      </vt:variant>
      <vt:variant>
        <vt:lpwstr>https://www.sps.nhs.uk/medicines/meningococcal-groups-a-c-w135-y-vaccine/</vt:lpwstr>
      </vt:variant>
      <vt:variant>
        <vt:lpwstr/>
      </vt:variant>
      <vt:variant>
        <vt:i4>5374020</vt:i4>
      </vt:variant>
      <vt:variant>
        <vt:i4>105</vt:i4>
      </vt:variant>
      <vt:variant>
        <vt:i4>0</vt:i4>
      </vt:variant>
      <vt:variant>
        <vt:i4>5</vt:i4>
      </vt:variant>
      <vt:variant>
        <vt:lpwstr>https://www.sps.nhs.uk/medicines/encorafenib/</vt:lpwstr>
      </vt:variant>
      <vt:variant>
        <vt:lpwstr/>
      </vt:variant>
      <vt:variant>
        <vt:i4>7209001</vt:i4>
      </vt:variant>
      <vt:variant>
        <vt:i4>102</vt:i4>
      </vt:variant>
      <vt:variant>
        <vt:i4>0</vt:i4>
      </vt:variant>
      <vt:variant>
        <vt:i4>5</vt:i4>
      </vt:variant>
      <vt:variant>
        <vt:lpwstr>https://www.sps.nhs.uk/medicines/elexacaftor-ivacaftor-tezacaftor/</vt:lpwstr>
      </vt:variant>
      <vt:variant>
        <vt:lpwstr/>
      </vt:variant>
      <vt:variant>
        <vt:i4>4849729</vt:i4>
      </vt:variant>
      <vt:variant>
        <vt:i4>99</vt:i4>
      </vt:variant>
      <vt:variant>
        <vt:i4>0</vt:i4>
      </vt:variant>
      <vt:variant>
        <vt:i4>5</vt:i4>
      </vt:variant>
      <vt:variant>
        <vt:lpwstr>https://www.sps.nhs.uk/medicines/bulevirtide/</vt:lpwstr>
      </vt:variant>
      <vt:variant>
        <vt:lpwstr/>
      </vt:variant>
      <vt:variant>
        <vt:i4>5570637</vt:i4>
      </vt:variant>
      <vt:variant>
        <vt:i4>96</vt:i4>
      </vt:variant>
      <vt:variant>
        <vt:i4>0</vt:i4>
      </vt:variant>
      <vt:variant>
        <vt:i4>5</vt:i4>
      </vt:variant>
      <vt:variant>
        <vt:lpwstr>https://www.sps.nhs.uk/medicines/binimetinib/</vt:lpwstr>
      </vt:variant>
      <vt:variant>
        <vt:lpwstr/>
      </vt:variant>
      <vt:variant>
        <vt:i4>4128817</vt:i4>
      </vt:variant>
      <vt:variant>
        <vt:i4>93</vt:i4>
      </vt:variant>
      <vt:variant>
        <vt:i4>0</vt:i4>
      </vt:variant>
      <vt:variant>
        <vt:i4>5</vt:i4>
      </vt:variant>
      <vt:variant>
        <vt:lpwstr>https://www.sps.nhs.uk/medicines/ad26-ebov-vaccine/</vt:lpwstr>
      </vt:variant>
      <vt:variant>
        <vt:lpwstr/>
      </vt:variant>
      <vt:variant>
        <vt:i4>2555952</vt:i4>
      </vt:variant>
      <vt:variant>
        <vt:i4>90</vt:i4>
      </vt:variant>
      <vt:variant>
        <vt:i4>0</vt:i4>
      </vt:variant>
      <vt:variant>
        <vt:i4>5</vt:i4>
      </vt:variant>
      <vt:variant>
        <vt:lpwstr>https://www.sps.nhs.uk/medicines/acalabrutinib/</vt:lpwstr>
      </vt:variant>
      <vt:variant>
        <vt:lpwstr/>
      </vt:variant>
      <vt:variant>
        <vt:i4>2818164</vt:i4>
      </vt:variant>
      <vt:variant>
        <vt:i4>87</vt:i4>
      </vt:variant>
      <vt:variant>
        <vt:i4>0</vt:i4>
      </vt:variant>
      <vt:variant>
        <vt:i4>5</vt:i4>
      </vt:variant>
      <vt:variant>
        <vt:lpwstr>https://www.sps.nhs.uk/medicines/trastuzumab-emtansine/</vt:lpwstr>
      </vt:variant>
      <vt:variant>
        <vt:lpwstr/>
      </vt:variant>
      <vt:variant>
        <vt:i4>7471146</vt:i4>
      </vt:variant>
      <vt:variant>
        <vt:i4>84</vt:i4>
      </vt:variant>
      <vt:variant>
        <vt:i4>0</vt:i4>
      </vt:variant>
      <vt:variant>
        <vt:i4>5</vt:i4>
      </vt:variant>
      <vt:variant>
        <vt:lpwstr>https://www.sps.nhs.uk/medicines/solriamfetol/</vt:lpwstr>
      </vt:variant>
      <vt:variant>
        <vt:lpwstr/>
      </vt:variant>
      <vt:variant>
        <vt:i4>2621480</vt:i4>
      </vt:variant>
      <vt:variant>
        <vt:i4>81</vt:i4>
      </vt:variant>
      <vt:variant>
        <vt:i4>0</vt:i4>
      </vt:variant>
      <vt:variant>
        <vt:i4>5</vt:i4>
      </vt:variant>
      <vt:variant>
        <vt:lpwstr>https://www.sps.nhs.uk/medicines/siponimod/</vt:lpwstr>
      </vt:variant>
      <vt:variant>
        <vt:lpwstr/>
      </vt:variant>
      <vt:variant>
        <vt:i4>5308487</vt:i4>
      </vt:variant>
      <vt:variant>
        <vt:i4>78</vt:i4>
      </vt:variant>
      <vt:variant>
        <vt:i4>0</vt:i4>
      </vt:variant>
      <vt:variant>
        <vt:i4>5</vt:i4>
      </vt:variant>
      <vt:variant>
        <vt:lpwstr>https://www.sps.nhs.uk/medicines/polatuzumab/</vt:lpwstr>
      </vt:variant>
      <vt:variant>
        <vt:lpwstr/>
      </vt:variant>
      <vt:variant>
        <vt:i4>6946876</vt:i4>
      </vt:variant>
      <vt:variant>
        <vt:i4>75</vt:i4>
      </vt:variant>
      <vt:variant>
        <vt:i4>0</vt:i4>
      </vt:variant>
      <vt:variant>
        <vt:i4>5</vt:i4>
      </vt:variant>
      <vt:variant>
        <vt:lpwstr>https://www.sps.nhs.uk/medicines/osilodrostat/</vt:lpwstr>
      </vt:variant>
      <vt:variant>
        <vt:lpwstr/>
      </vt:variant>
      <vt:variant>
        <vt:i4>6291494</vt:i4>
      </vt:variant>
      <vt:variant>
        <vt:i4>72</vt:i4>
      </vt:variant>
      <vt:variant>
        <vt:i4>0</vt:i4>
      </vt:variant>
      <vt:variant>
        <vt:i4>5</vt:i4>
      </vt:variant>
      <vt:variant>
        <vt:lpwstr>https://www.sps.nhs.uk/medicines/lenalidomide/</vt:lpwstr>
      </vt:variant>
      <vt:variant>
        <vt:lpwstr/>
      </vt:variant>
      <vt:variant>
        <vt:i4>7733280</vt:i4>
      </vt:variant>
      <vt:variant>
        <vt:i4>69</vt:i4>
      </vt:variant>
      <vt:variant>
        <vt:i4>0</vt:i4>
      </vt:variant>
      <vt:variant>
        <vt:i4>5</vt:i4>
      </vt:variant>
      <vt:variant>
        <vt:lpwstr>https://www.sps.nhs.uk/medicines/fostamatinib-disodium/</vt:lpwstr>
      </vt:variant>
      <vt:variant>
        <vt:lpwstr/>
      </vt:variant>
      <vt:variant>
        <vt:i4>3342373</vt:i4>
      </vt:variant>
      <vt:variant>
        <vt:i4>66</vt:i4>
      </vt:variant>
      <vt:variant>
        <vt:i4>0</vt:i4>
      </vt:variant>
      <vt:variant>
        <vt:i4>5</vt:i4>
      </vt:variant>
      <vt:variant>
        <vt:lpwstr>https://www.sps.nhs.uk/medicines/trientine/</vt:lpwstr>
      </vt:variant>
      <vt:variant>
        <vt:lpwstr/>
      </vt:variant>
      <vt:variant>
        <vt:i4>1900625</vt:i4>
      </vt:variant>
      <vt:variant>
        <vt:i4>63</vt:i4>
      </vt:variant>
      <vt:variant>
        <vt:i4>0</vt:i4>
      </vt:variant>
      <vt:variant>
        <vt:i4>5</vt:i4>
      </vt:variant>
      <vt:variant>
        <vt:lpwstr>https://www.sps.nhs.uk/medicines/netarsudil-mesilate/</vt:lpwstr>
      </vt:variant>
      <vt:variant>
        <vt:lpwstr/>
      </vt:variant>
      <vt:variant>
        <vt:i4>7143468</vt:i4>
      </vt:variant>
      <vt:variant>
        <vt:i4>60</vt:i4>
      </vt:variant>
      <vt:variant>
        <vt:i4>0</vt:i4>
      </vt:variant>
      <vt:variant>
        <vt:i4>5</vt:i4>
      </vt:variant>
      <vt:variant>
        <vt:lpwstr>https://www.sps.nhs.uk/medicines/levodopa/</vt:lpwstr>
      </vt:variant>
      <vt:variant>
        <vt:lpwstr/>
      </vt:variant>
      <vt:variant>
        <vt:i4>852061</vt:i4>
      </vt:variant>
      <vt:variant>
        <vt:i4>57</vt:i4>
      </vt:variant>
      <vt:variant>
        <vt:i4>0</vt:i4>
      </vt:variant>
      <vt:variant>
        <vt:i4>5</vt:i4>
      </vt:variant>
      <vt:variant>
        <vt:lpwstr>https://www.sps.nhs.uk/medicines/infliximab/</vt:lpwstr>
      </vt:variant>
      <vt:variant>
        <vt:lpwstr/>
      </vt:variant>
      <vt:variant>
        <vt:i4>4063335</vt:i4>
      </vt:variant>
      <vt:variant>
        <vt:i4>54</vt:i4>
      </vt:variant>
      <vt:variant>
        <vt:i4>0</vt:i4>
      </vt:variant>
      <vt:variant>
        <vt:i4>5</vt:i4>
      </vt:variant>
      <vt:variant>
        <vt:lpwstr>https://www.sps.nhs.uk/medicines/ebola-vaccine/</vt:lpwstr>
      </vt:variant>
      <vt:variant>
        <vt:lpwstr/>
      </vt:variant>
      <vt:variant>
        <vt:i4>2621493</vt:i4>
      </vt:variant>
      <vt:variant>
        <vt:i4>51</vt:i4>
      </vt:variant>
      <vt:variant>
        <vt:i4>0</vt:i4>
      </vt:variant>
      <vt:variant>
        <vt:i4>5</vt:i4>
      </vt:variant>
      <vt:variant>
        <vt:lpwstr>https://www.sps.nhs.uk/medicines/buprenorphine/</vt:lpwstr>
      </vt:variant>
      <vt:variant>
        <vt:lpwstr/>
      </vt:variant>
      <vt:variant>
        <vt:i4>1179726</vt:i4>
      </vt:variant>
      <vt:variant>
        <vt:i4>48</vt:i4>
      </vt:variant>
      <vt:variant>
        <vt:i4>0</vt:i4>
      </vt:variant>
      <vt:variant>
        <vt:i4>5</vt:i4>
      </vt:variant>
      <vt:variant>
        <vt:lpwstr>https://www.sps.nhs.uk/medicines/arginine-lysine/</vt:lpwstr>
      </vt:variant>
      <vt:variant>
        <vt:lpwstr/>
      </vt:variant>
      <vt:variant>
        <vt:i4>7798824</vt:i4>
      </vt:variant>
      <vt:variant>
        <vt:i4>45</vt:i4>
      </vt:variant>
      <vt:variant>
        <vt:i4>0</vt:i4>
      </vt:variant>
      <vt:variant>
        <vt:i4>5</vt:i4>
      </vt:variant>
      <vt:variant>
        <vt:lpwstr>https://www.sps.nhs.uk/medicines/teriparatide/</vt:lpwstr>
      </vt:variant>
      <vt:variant>
        <vt:lpwstr/>
      </vt:variant>
      <vt:variant>
        <vt:i4>5767235</vt:i4>
      </vt:variant>
      <vt:variant>
        <vt:i4>42</vt:i4>
      </vt:variant>
      <vt:variant>
        <vt:i4>0</vt:i4>
      </vt:variant>
      <vt:variant>
        <vt:i4>5</vt:i4>
      </vt:variant>
      <vt:variant>
        <vt:lpwstr>https://www.sps.nhs.uk/medicines/paracetamol/</vt:lpwstr>
      </vt:variant>
      <vt:variant>
        <vt:lpwstr/>
      </vt:variant>
      <vt:variant>
        <vt:i4>2162736</vt:i4>
      </vt:variant>
      <vt:variant>
        <vt:i4>39</vt:i4>
      </vt:variant>
      <vt:variant>
        <vt:i4>0</vt:i4>
      </vt:variant>
      <vt:variant>
        <vt:i4>5</vt:i4>
      </vt:variant>
      <vt:variant>
        <vt:lpwstr>https://www.sps.nhs.uk/articles/ukmi-product-safety-assessments-2/</vt:lpwstr>
      </vt:variant>
      <vt:variant>
        <vt:lpwstr/>
      </vt:variant>
      <vt:variant>
        <vt:i4>5767196</vt:i4>
      </vt:variant>
      <vt:variant>
        <vt:i4>36</vt:i4>
      </vt:variant>
      <vt:variant>
        <vt:i4>0</vt:i4>
      </vt:variant>
      <vt:variant>
        <vt:i4>5</vt:i4>
      </vt:variant>
      <vt:variant>
        <vt:lpwstr>https://www.sps.nhs.uk/articles/prioritising-new-products-for-a-ukmi-product-safety-assessment-a-resource-for-ukmi-patient-safety-working-group/</vt:lpwstr>
      </vt:variant>
      <vt:variant>
        <vt:lpwstr/>
      </vt:variant>
      <vt:variant>
        <vt:i4>3211304</vt:i4>
      </vt:variant>
      <vt:variant>
        <vt:i4>33</vt:i4>
      </vt:variant>
      <vt:variant>
        <vt:i4>0</vt:i4>
      </vt:variant>
      <vt:variant>
        <vt:i4>5</vt:i4>
      </vt:variant>
      <vt:variant>
        <vt:lpwstr>https://www.sps.nhs.uk/medicines/zanamivir/</vt:lpwstr>
      </vt:variant>
      <vt:variant>
        <vt:lpwstr/>
      </vt:variant>
      <vt:variant>
        <vt:i4>5111887</vt:i4>
      </vt:variant>
      <vt:variant>
        <vt:i4>30</vt:i4>
      </vt:variant>
      <vt:variant>
        <vt:i4>0</vt:i4>
      </vt:variant>
      <vt:variant>
        <vt:i4>5</vt:i4>
      </vt:variant>
      <vt:variant>
        <vt:lpwstr>https://www.sps.nhs.uk/medicines/talazoparib/</vt:lpwstr>
      </vt:variant>
      <vt:variant>
        <vt:lpwstr/>
      </vt:variant>
      <vt:variant>
        <vt:i4>4653149</vt:i4>
      </vt:variant>
      <vt:variant>
        <vt:i4>27</vt:i4>
      </vt:variant>
      <vt:variant>
        <vt:i4>0</vt:i4>
      </vt:variant>
      <vt:variant>
        <vt:i4>5</vt:i4>
      </vt:variant>
      <vt:variant>
        <vt:lpwstr>https://www.sps.nhs.uk/medicines/ranibizumab/</vt:lpwstr>
      </vt:variant>
      <vt:variant>
        <vt:lpwstr/>
      </vt:variant>
      <vt:variant>
        <vt:i4>3801149</vt:i4>
      </vt:variant>
      <vt:variant>
        <vt:i4>24</vt:i4>
      </vt:variant>
      <vt:variant>
        <vt:i4>0</vt:i4>
      </vt:variant>
      <vt:variant>
        <vt:i4>5</vt:i4>
      </vt:variant>
      <vt:variant>
        <vt:lpwstr>https://www.sps.nhs.uk/medicines/pembrolizumab/</vt:lpwstr>
      </vt:variant>
      <vt:variant>
        <vt:lpwstr/>
      </vt:variant>
      <vt:variant>
        <vt:i4>7602210</vt:i4>
      </vt:variant>
      <vt:variant>
        <vt:i4>21</vt:i4>
      </vt:variant>
      <vt:variant>
        <vt:i4>0</vt:i4>
      </vt:variant>
      <vt:variant>
        <vt:i4>5</vt:i4>
      </vt:variant>
      <vt:variant>
        <vt:lpwstr>https://www.sps.nhs.uk/medicines/nicotine/</vt:lpwstr>
      </vt:variant>
      <vt:variant>
        <vt:lpwstr/>
      </vt:variant>
      <vt:variant>
        <vt:i4>4063329</vt:i4>
      </vt:variant>
      <vt:variant>
        <vt:i4>18</vt:i4>
      </vt:variant>
      <vt:variant>
        <vt:i4>0</vt:i4>
      </vt:variant>
      <vt:variant>
        <vt:i4>5</vt:i4>
      </vt:variant>
      <vt:variant>
        <vt:lpwstr>https://www.sps.nhs.uk/medicines/meropenem-vaborbactam/</vt:lpwstr>
      </vt:variant>
      <vt:variant>
        <vt:lpwstr/>
      </vt:variant>
      <vt:variant>
        <vt:i4>4980828</vt:i4>
      </vt:variant>
      <vt:variant>
        <vt:i4>15</vt:i4>
      </vt:variant>
      <vt:variant>
        <vt:i4>0</vt:i4>
      </vt:variant>
      <vt:variant>
        <vt:i4>5</vt:i4>
      </vt:variant>
      <vt:variant>
        <vt:lpwstr>https://www.sps.nhs.uk/medicines/liraglutide/</vt:lpwstr>
      </vt:variant>
      <vt:variant>
        <vt:lpwstr/>
      </vt:variant>
      <vt:variant>
        <vt:i4>6553663</vt:i4>
      </vt:variant>
      <vt:variant>
        <vt:i4>12</vt:i4>
      </vt:variant>
      <vt:variant>
        <vt:i4>0</vt:i4>
      </vt:variant>
      <vt:variant>
        <vt:i4>5</vt:i4>
      </vt:variant>
      <vt:variant>
        <vt:lpwstr>https://www.sps.nhs.uk/medicines/gilteritinib/</vt:lpwstr>
      </vt:variant>
      <vt:variant>
        <vt:lpwstr/>
      </vt:variant>
      <vt:variant>
        <vt:i4>4980809</vt:i4>
      </vt:variant>
      <vt:variant>
        <vt:i4>9</vt:i4>
      </vt:variant>
      <vt:variant>
        <vt:i4>0</vt:i4>
      </vt:variant>
      <vt:variant>
        <vt:i4>5</vt:i4>
      </vt:variant>
      <vt:variant>
        <vt:lpwstr>https://www.sps.nhs.uk/medicines/daratumumab/</vt:lpwstr>
      </vt:variant>
      <vt:variant>
        <vt:lpwstr/>
      </vt:variant>
      <vt:variant>
        <vt:i4>2883621</vt:i4>
      </vt:variant>
      <vt:variant>
        <vt:i4>6</vt:i4>
      </vt:variant>
      <vt:variant>
        <vt:i4>0</vt:i4>
      </vt:variant>
      <vt:variant>
        <vt:i4>5</vt:i4>
      </vt:variant>
      <vt:variant>
        <vt:lpwstr>https://www.sps.nhs.uk/medicines/beclometasone/</vt:lpwstr>
      </vt:variant>
      <vt:variant>
        <vt:lpwstr/>
      </vt:variant>
      <vt:variant>
        <vt:i4>589864</vt:i4>
      </vt:variant>
      <vt:variant>
        <vt:i4>3</vt:i4>
      </vt:variant>
      <vt:variant>
        <vt:i4>0</vt:i4>
      </vt:variant>
      <vt:variant>
        <vt:i4>5</vt:i4>
      </vt:variant>
      <vt:variant>
        <vt:lpwstr>mailto:nwmedinfo@nhs.net?subject=New%20Medicines%20Newsletter</vt:lpwstr>
      </vt:variant>
      <vt:variant>
        <vt:lpwstr/>
      </vt:variant>
      <vt:variant>
        <vt:i4>7077923</vt:i4>
      </vt:variant>
      <vt:variant>
        <vt:i4>0</vt:i4>
      </vt:variant>
      <vt:variant>
        <vt:i4>0</vt:i4>
      </vt:variant>
      <vt:variant>
        <vt:i4>5</vt:i4>
      </vt:variant>
      <vt:variant>
        <vt:lpwstr>http://www.sps.nhs.uk/</vt:lpwstr>
      </vt:variant>
      <vt:variant>
        <vt:lpwstr/>
      </vt:variant>
      <vt:variant>
        <vt:i4>589864</vt:i4>
      </vt:variant>
      <vt:variant>
        <vt:i4>18</vt:i4>
      </vt:variant>
      <vt:variant>
        <vt:i4>0</vt:i4>
      </vt:variant>
      <vt:variant>
        <vt:i4>5</vt:i4>
      </vt:variant>
      <vt:variant>
        <vt:lpwstr>mailto:nwmedinfo@nhs.net?subject=New%20Medicines%20Newsletter</vt:lpwstr>
      </vt:variant>
      <vt:variant>
        <vt:lpwstr/>
      </vt:variant>
      <vt:variant>
        <vt:i4>7929901</vt:i4>
      </vt:variant>
      <vt:variant>
        <vt:i4>15</vt:i4>
      </vt:variant>
      <vt:variant>
        <vt:i4>0</vt:i4>
      </vt:variant>
      <vt:variant>
        <vt:i4>5</vt:i4>
      </vt:variant>
      <vt:variant>
        <vt:lpwstr>https://www.sps.nhs.uk/wp-login.php?action=register</vt:lpwstr>
      </vt:variant>
      <vt:variant>
        <vt:lpwstr/>
      </vt:variant>
      <vt:variant>
        <vt:i4>7077923</vt:i4>
      </vt:variant>
      <vt:variant>
        <vt:i4>12</vt:i4>
      </vt:variant>
      <vt:variant>
        <vt:i4>0</vt:i4>
      </vt:variant>
      <vt:variant>
        <vt:i4>5</vt:i4>
      </vt:variant>
      <vt:variant>
        <vt:lpwstr>http://www.sps.nhs.uk/</vt:lpwstr>
      </vt:variant>
      <vt:variant>
        <vt:lpwstr/>
      </vt:variant>
      <vt:variant>
        <vt:i4>3211377</vt:i4>
      </vt:variant>
      <vt:variant>
        <vt:i4>9</vt:i4>
      </vt:variant>
      <vt:variant>
        <vt:i4>0</vt:i4>
      </vt:variant>
      <vt:variant>
        <vt:i4>5</vt:i4>
      </vt:variant>
      <vt:variant>
        <vt:lpwstr>http://www.ukmi.nhs.uk/ndo</vt:lpwstr>
      </vt:variant>
      <vt:variant>
        <vt:lpwstr/>
      </vt:variant>
      <vt:variant>
        <vt:i4>1638407</vt:i4>
      </vt:variant>
      <vt:variant>
        <vt:i4>6</vt:i4>
      </vt:variant>
      <vt:variant>
        <vt:i4>0</vt:i4>
      </vt:variant>
      <vt:variant>
        <vt:i4>5</vt:i4>
      </vt:variant>
      <vt:variant>
        <vt:lpwstr>https://www.sps.nhs.uk/prescribing-outlook-2019/</vt:lpwstr>
      </vt:variant>
      <vt:variant>
        <vt:lpwstr/>
      </vt:variant>
      <vt:variant>
        <vt:i4>7405691</vt:i4>
      </vt:variant>
      <vt:variant>
        <vt:i4>3</vt:i4>
      </vt:variant>
      <vt:variant>
        <vt:i4>0</vt:i4>
      </vt:variant>
      <vt:variant>
        <vt:i4>5</vt:i4>
      </vt:variant>
      <vt:variant>
        <vt:lpwstr>https://www.sps.nhs.uk/category/new-medicines/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NDO home | Contact | Register for NDO access</dc:title>
  <dc:creator>McEntee Joanne (RQ6) RLBUHT</dc:creator>
  <cp:lastModifiedBy>Joanne McEntee</cp:lastModifiedBy>
  <cp:revision>8</cp:revision>
  <cp:lastPrinted>2019-12-09T12:59:00Z</cp:lastPrinted>
  <dcterms:created xsi:type="dcterms:W3CDTF">2024-08-05T09:08:00Z</dcterms:created>
  <dcterms:modified xsi:type="dcterms:W3CDTF">2024-08-07T22:22:00Z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