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AB97" w14:textId="77777777" w:rsidR="00D00B34" w:rsidRPr="00D00B34" w:rsidRDefault="00D00B34" w:rsidP="00D00B34">
      <w:pPr>
        <w:spacing w:before="240" w:after="240" w:line="240" w:lineRule="auto"/>
        <w:jc w:val="center"/>
        <w:rPr>
          <w:rFonts w:ascii="Arial" w:eastAsia="Times New Roman" w:hAnsi="Arial" w:cs="Times New Roman"/>
          <w:b/>
          <w:sz w:val="32"/>
          <w:szCs w:val="32"/>
        </w:rPr>
      </w:pPr>
      <w:bookmarkStart w:id="0" w:name="paracetamol"/>
      <w:r w:rsidRPr="00D00B34">
        <w:rPr>
          <w:rFonts w:ascii="Arial" w:eastAsia="Times New Roman" w:hAnsi="Arial" w:cs="Times New Roman"/>
          <w:b/>
          <w:bCs/>
          <w:kern w:val="28"/>
          <w:sz w:val="32"/>
          <w:szCs w:val="32"/>
        </w:rPr>
        <w:t xml:space="preserve">Template protocol for the </w:t>
      </w:r>
      <w:r w:rsidR="00AB06DF" w:rsidRPr="00AB06DF">
        <w:rPr>
          <w:rFonts w:ascii="Arial" w:hAnsi="Arial"/>
          <w:b/>
          <w:bCs/>
          <w:kern w:val="28"/>
          <w:sz w:val="32"/>
          <w:szCs w:val="32"/>
        </w:rPr>
        <w:t xml:space="preserve">Insertion of Copper Intrauterine Devices (Cu-IUDs) </w:t>
      </w:r>
      <w:r w:rsidRPr="00AB06DF">
        <w:rPr>
          <w:rFonts w:ascii="Arial" w:eastAsia="Times New Roman" w:hAnsi="Arial" w:cs="Times New Roman"/>
          <w:b/>
          <w:sz w:val="32"/>
          <w:szCs w:val="32"/>
        </w:rPr>
        <w:t>in</w:t>
      </w:r>
      <w:r w:rsidRPr="00D00B34">
        <w:rPr>
          <w:rFonts w:ascii="Arial" w:eastAsia="Times New Roman" w:hAnsi="Arial" w:cs="Times New Roman"/>
          <w:b/>
          <w:sz w:val="32"/>
          <w:szCs w:val="32"/>
        </w:rPr>
        <w:t xml:space="preserve"> </w:t>
      </w:r>
      <w:r w:rsidRPr="00DA1288">
        <w:rPr>
          <w:rFonts w:ascii="Arial" w:eastAsia="Times New Roman" w:hAnsi="Arial" w:cs="Times New Roman"/>
          <w:b/>
          <w:sz w:val="32"/>
          <w:szCs w:val="32"/>
          <w:highlight w:val="yellow"/>
        </w:rPr>
        <w:t>location/service/</w:t>
      </w:r>
      <w:proofErr w:type="gramStart"/>
      <w:r w:rsidRPr="00DA1288">
        <w:rPr>
          <w:rFonts w:ascii="Arial" w:eastAsia="Times New Roman" w:hAnsi="Arial" w:cs="Times New Roman"/>
          <w:b/>
          <w:sz w:val="32"/>
          <w:szCs w:val="32"/>
          <w:highlight w:val="yellow"/>
        </w:rPr>
        <w:t>organisation</w:t>
      </w:r>
      <w:proofErr w:type="gramEnd"/>
    </w:p>
    <w:p w14:paraId="40C4A9E1" w14:textId="7B40CB53" w:rsidR="00D00B34" w:rsidRPr="00B40193" w:rsidRDefault="00D00B34" w:rsidP="00D00B34">
      <w:pPr>
        <w:spacing w:after="0" w:line="240" w:lineRule="auto"/>
        <w:jc w:val="center"/>
        <w:rPr>
          <w:rFonts w:ascii="Arial" w:eastAsia="Times New Roman" w:hAnsi="Arial" w:cs="Arial"/>
          <w:b/>
          <w:sz w:val="28"/>
          <w:szCs w:val="28"/>
        </w:rPr>
      </w:pPr>
      <w:r w:rsidRPr="00D00B34">
        <w:rPr>
          <w:rFonts w:ascii="Arial" w:eastAsia="Times New Roman" w:hAnsi="Arial" w:cs="Arial"/>
          <w:sz w:val="28"/>
          <w:szCs w:val="28"/>
        </w:rPr>
        <w:t xml:space="preserve">Version </w:t>
      </w:r>
      <w:r w:rsidRPr="00B40193">
        <w:rPr>
          <w:rFonts w:ascii="Arial" w:eastAsia="Times New Roman" w:hAnsi="Arial" w:cs="Arial"/>
          <w:sz w:val="28"/>
          <w:szCs w:val="28"/>
        </w:rPr>
        <w:t>Number 1.</w:t>
      </w:r>
      <w:r w:rsidR="002B4F54" w:rsidRPr="00B40193">
        <w:rPr>
          <w:rFonts w:ascii="Arial" w:eastAsia="Times New Roman" w:hAnsi="Arial" w:cs="Arial"/>
          <w:sz w:val="28"/>
          <w:szCs w:val="28"/>
        </w:rPr>
        <w:t>1</w:t>
      </w:r>
    </w:p>
    <w:p w14:paraId="53B5F767" w14:textId="77777777" w:rsidR="00D00B34" w:rsidRPr="00B40193" w:rsidRDefault="00D00B34" w:rsidP="00D00B34">
      <w:pPr>
        <w:spacing w:after="0" w:line="240" w:lineRule="auto"/>
        <w:rPr>
          <w:rFonts w:ascii="Arial" w:eastAsia="Times New Roman"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B40193" w:rsidRPr="00B40193" w14:paraId="0030F7E1" w14:textId="77777777" w:rsidTr="00AD316F">
        <w:trPr>
          <w:trHeight w:val="442"/>
        </w:trPr>
        <w:tc>
          <w:tcPr>
            <w:tcW w:w="88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E0FC05"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Change History</w:t>
            </w:r>
          </w:p>
        </w:tc>
      </w:tr>
      <w:tr w:rsidR="00B40193" w:rsidRPr="00B40193" w14:paraId="46E2DA61" w14:textId="77777777" w:rsidTr="00AD316F">
        <w:trPr>
          <w:trHeight w:val="442"/>
        </w:trPr>
        <w:tc>
          <w:tcPr>
            <w:tcW w:w="1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A21EB8"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816A95" w14:textId="77777777" w:rsidR="00D00B34" w:rsidRPr="00B40193" w:rsidRDefault="00D00B34" w:rsidP="00D00B34">
            <w:pPr>
              <w:spacing w:after="0" w:line="240" w:lineRule="auto"/>
              <w:jc w:val="center"/>
              <w:rPr>
                <w:rFonts w:ascii="Arial" w:eastAsia="Times New Roman" w:hAnsi="Arial" w:cs="Arial"/>
                <w:b/>
              </w:rPr>
            </w:pPr>
            <w:r w:rsidRPr="00B40193">
              <w:rPr>
                <w:rFonts w:ascii="Arial" w:eastAsia="Times New Roman" w:hAnsi="Arial" w:cs="Arial"/>
                <w:b/>
              </w:rPr>
              <w:t>Change details</w:t>
            </w:r>
          </w:p>
        </w:tc>
      </w:tr>
      <w:tr w:rsidR="00B40193" w:rsidRPr="00B40193" w14:paraId="1A1B3B39" w14:textId="77777777" w:rsidTr="00B6653F">
        <w:trPr>
          <w:trHeight w:val="442"/>
        </w:trPr>
        <w:tc>
          <w:tcPr>
            <w:tcW w:w="1781" w:type="dxa"/>
            <w:tcBorders>
              <w:top w:val="single" w:sz="4" w:space="0" w:color="auto"/>
              <w:left w:val="single" w:sz="4" w:space="0" w:color="auto"/>
              <w:bottom w:val="single" w:sz="4" w:space="0" w:color="auto"/>
              <w:right w:val="single" w:sz="4" w:space="0" w:color="auto"/>
            </w:tcBorders>
          </w:tcPr>
          <w:p w14:paraId="07E085A5" w14:textId="4F16D365" w:rsidR="00D00B34" w:rsidRPr="00B40193" w:rsidRDefault="00D00B34"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Version 1</w:t>
            </w:r>
            <w:r w:rsidR="00AD316F" w:rsidRPr="00B40193">
              <w:rPr>
                <w:rFonts w:ascii="Arial" w:eastAsia="Times New Roman" w:hAnsi="Arial" w:cs="Arial"/>
                <w:sz w:val="20"/>
                <w:szCs w:val="20"/>
              </w:rPr>
              <w:t>.0</w:t>
            </w:r>
          </w:p>
          <w:p w14:paraId="4B73CC94" w14:textId="70E74EFD" w:rsidR="00D00B34" w:rsidRPr="00B40193" w:rsidRDefault="00AD316F"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October</w:t>
            </w:r>
            <w:r w:rsidR="00AB06DF" w:rsidRPr="00B40193">
              <w:rPr>
                <w:rFonts w:ascii="Arial" w:eastAsia="Times New Roman" w:hAnsi="Arial" w:cs="Arial"/>
                <w:sz w:val="20"/>
                <w:szCs w:val="20"/>
              </w:rPr>
              <w:t xml:space="preserve"> 2023</w:t>
            </w:r>
          </w:p>
        </w:tc>
        <w:tc>
          <w:tcPr>
            <w:tcW w:w="7020" w:type="dxa"/>
            <w:tcBorders>
              <w:top w:val="single" w:sz="4" w:space="0" w:color="auto"/>
              <w:left w:val="single" w:sz="4" w:space="0" w:color="auto"/>
              <w:bottom w:val="single" w:sz="4" w:space="0" w:color="auto"/>
              <w:right w:val="single" w:sz="4" w:space="0" w:color="auto"/>
            </w:tcBorders>
          </w:tcPr>
          <w:p w14:paraId="347C281A" w14:textId="77777777" w:rsidR="00D00B34" w:rsidRPr="00B40193" w:rsidRDefault="00D00B34" w:rsidP="00D00B34">
            <w:pPr>
              <w:spacing w:after="0" w:line="240" w:lineRule="auto"/>
              <w:rPr>
                <w:rFonts w:ascii="Arial" w:eastAsia="Times New Roman" w:hAnsi="Arial" w:cs="Arial"/>
                <w:sz w:val="20"/>
                <w:szCs w:val="20"/>
              </w:rPr>
            </w:pPr>
            <w:r w:rsidRPr="00B40193">
              <w:rPr>
                <w:rFonts w:ascii="Arial" w:eastAsia="Times New Roman" w:hAnsi="Arial" w:cs="Arial"/>
                <w:sz w:val="20"/>
                <w:szCs w:val="20"/>
              </w:rPr>
              <w:t>New template</w:t>
            </w:r>
          </w:p>
        </w:tc>
      </w:tr>
      <w:tr w:rsidR="002B4F54" w:rsidRPr="00B40193" w14:paraId="620AFD34" w14:textId="77777777" w:rsidTr="00A94515">
        <w:trPr>
          <w:trHeight w:val="442"/>
        </w:trPr>
        <w:tc>
          <w:tcPr>
            <w:tcW w:w="1781" w:type="dxa"/>
            <w:tcBorders>
              <w:top w:val="single" w:sz="4" w:space="0" w:color="auto"/>
              <w:left w:val="single" w:sz="4" w:space="0" w:color="auto"/>
              <w:bottom w:val="single" w:sz="4" w:space="0" w:color="auto"/>
              <w:right w:val="single" w:sz="4" w:space="0" w:color="auto"/>
            </w:tcBorders>
          </w:tcPr>
          <w:p w14:paraId="5489FD90" w14:textId="2DF65A5B" w:rsidR="002B4F54" w:rsidRPr="00B40193" w:rsidRDefault="002B4F54" w:rsidP="00A94515">
            <w:pPr>
              <w:spacing w:after="0" w:line="240" w:lineRule="auto"/>
              <w:rPr>
                <w:rFonts w:ascii="Arial" w:eastAsia="Times New Roman" w:hAnsi="Arial" w:cs="Arial"/>
                <w:sz w:val="20"/>
                <w:szCs w:val="20"/>
              </w:rPr>
            </w:pPr>
            <w:r w:rsidRPr="00B40193">
              <w:rPr>
                <w:rFonts w:ascii="Arial" w:eastAsia="Times New Roman" w:hAnsi="Arial" w:cs="Arial"/>
                <w:sz w:val="20"/>
                <w:szCs w:val="20"/>
              </w:rPr>
              <w:t>Version 1.1</w:t>
            </w:r>
          </w:p>
          <w:p w14:paraId="4CD14D7C" w14:textId="77777777" w:rsidR="002B4F54" w:rsidRPr="00B40193" w:rsidRDefault="002B4F54" w:rsidP="00A94515">
            <w:pPr>
              <w:spacing w:after="0" w:line="240" w:lineRule="auto"/>
              <w:rPr>
                <w:rFonts w:ascii="Arial" w:eastAsia="Times New Roman" w:hAnsi="Arial" w:cs="Arial"/>
                <w:sz w:val="20"/>
                <w:szCs w:val="20"/>
              </w:rPr>
            </w:pPr>
            <w:r w:rsidRPr="00B40193">
              <w:rPr>
                <w:rFonts w:ascii="Arial" w:eastAsia="Times New Roman" w:hAnsi="Arial" w:cs="Arial"/>
                <w:sz w:val="20"/>
                <w:szCs w:val="20"/>
              </w:rPr>
              <w:t>November 2023</w:t>
            </w:r>
          </w:p>
        </w:tc>
        <w:tc>
          <w:tcPr>
            <w:tcW w:w="7020" w:type="dxa"/>
            <w:tcBorders>
              <w:top w:val="single" w:sz="4" w:space="0" w:color="auto"/>
              <w:left w:val="single" w:sz="4" w:space="0" w:color="auto"/>
              <w:bottom w:val="single" w:sz="4" w:space="0" w:color="auto"/>
              <w:right w:val="single" w:sz="4" w:space="0" w:color="auto"/>
            </w:tcBorders>
          </w:tcPr>
          <w:p w14:paraId="14967587" w14:textId="77777777" w:rsidR="002B4F54" w:rsidRPr="00B40193" w:rsidRDefault="002B4F54" w:rsidP="00A94515">
            <w:pPr>
              <w:spacing w:after="0" w:line="240" w:lineRule="auto"/>
              <w:rPr>
                <w:rFonts w:ascii="Arial" w:hAnsi="Arial" w:cs="Arial"/>
                <w:sz w:val="20"/>
                <w:szCs w:val="20"/>
              </w:rPr>
            </w:pPr>
            <w:r w:rsidRPr="00B40193">
              <w:rPr>
                <w:rFonts w:ascii="Arial" w:eastAsia="Times New Roman" w:hAnsi="Arial" w:cs="Arial"/>
                <w:sz w:val="20"/>
                <w:szCs w:val="20"/>
              </w:rPr>
              <w:t xml:space="preserve">Additional indication of </w:t>
            </w:r>
            <w:r w:rsidRPr="00B40193">
              <w:rPr>
                <w:rFonts w:ascii="Arial" w:hAnsi="Arial" w:cs="Arial"/>
                <w:sz w:val="20"/>
                <w:szCs w:val="20"/>
              </w:rPr>
              <w:t>postpartum intrauterine contraception (PPIUC).</w:t>
            </w:r>
          </w:p>
          <w:p w14:paraId="6B276999" w14:textId="25E9CFD1" w:rsidR="002B4F54" w:rsidRPr="00B40193" w:rsidRDefault="002B4F54" w:rsidP="00A94515">
            <w:pPr>
              <w:spacing w:after="0" w:line="240" w:lineRule="auto"/>
              <w:rPr>
                <w:rFonts w:ascii="Arial" w:eastAsia="Times New Roman" w:hAnsi="Arial" w:cs="Arial"/>
                <w:sz w:val="20"/>
                <w:szCs w:val="20"/>
              </w:rPr>
            </w:pPr>
          </w:p>
        </w:tc>
      </w:tr>
    </w:tbl>
    <w:p w14:paraId="21BBC204" w14:textId="77777777" w:rsidR="00D00B34" w:rsidRPr="00B40193" w:rsidRDefault="00D00B34" w:rsidP="00D00B34">
      <w:pPr>
        <w:spacing w:after="0" w:line="240" w:lineRule="auto"/>
        <w:rPr>
          <w:rFonts w:ascii="Arial" w:eastAsia="Times New Roman" w:hAnsi="Arial" w:cs="Arial"/>
          <w:b/>
        </w:rPr>
      </w:pPr>
    </w:p>
    <w:p w14:paraId="3B0ED1CB" w14:textId="691DAAC3"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rPr>
        <w:t>This template</w:t>
      </w:r>
      <w:r>
        <w:rPr>
          <w:rFonts w:ascii="Arial" w:eastAsia="Times New Roman" w:hAnsi="Arial" w:cs="Arial"/>
        </w:rPr>
        <w:t xml:space="preserve"> protocol, for local adaptation, </w:t>
      </w:r>
      <w:r w:rsidRPr="00D00B34">
        <w:rPr>
          <w:rFonts w:ascii="Arial" w:eastAsia="Times New Roman" w:hAnsi="Arial" w:cs="Arial"/>
        </w:rPr>
        <w:t>has been peer reviewed by the Reproductive Health PGD</w:t>
      </w:r>
      <w:r>
        <w:rPr>
          <w:rFonts w:ascii="Arial" w:eastAsia="Times New Roman" w:hAnsi="Arial" w:cs="Arial"/>
        </w:rPr>
        <w:t>/protocol</w:t>
      </w:r>
      <w:r w:rsidRPr="00D00B34">
        <w:rPr>
          <w:rFonts w:ascii="Arial" w:eastAsia="Times New Roman" w:hAnsi="Arial" w:cs="Arial"/>
        </w:rPr>
        <w:t xml:space="preserve">s Short Life Working Group in accordance with their Terms of Reference. It has been approved by the Faculty for Sexual and Reproductive Health (FSRH) in </w:t>
      </w:r>
      <w:r w:rsidR="00AD316F">
        <w:rPr>
          <w:rFonts w:ascii="Arial" w:eastAsia="Times New Roman" w:hAnsi="Arial" w:cs="Arial"/>
        </w:rPr>
        <w:t>September 2023.</w:t>
      </w:r>
    </w:p>
    <w:p w14:paraId="42933761" w14:textId="77777777" w:rsidR="00D00B34" w:rsidRDefault="00D00B34" w:rsidP="00D00B34">
      <w:pPr>
        <w:spacing w:after="0" w:line="240" w:lineRule="auto"/>
        <w:jc w:val="both"/>
        <w:rPr>
          <w:rFonts w:ascii="Arial" w:eastAsia="Times New Roman" w:hAnsi="Arial" w:cs="Arial"/>
        </w:rPr>
      </w:pPr>
    </w:p>
    <w:p w14:paraId="24C06DE4" w14:textId="77777777" w:rsidR="00D00B34" w:rsidRPr="00D00B34" w:rsidRDefault="00D00B34" w:rsidP="00D00B34">
      <w:pPr>
        <w:rPr>
          <w:rStyle w:val="Hyperlink"/>
          <w:rFonts w:ascii="Arial" w:hAnsi="Arial" w:cs="Arial"/>
          <w:bCs/>
          <w:color w:val="auto"/>
          <w:u w:val="none"/>
        </w:rPr>
      </w:pPr>
      <w:r w:rsidRPr="00D00B34">
        <w:rPr>
          <w:rFonts w:ascii="Arial" w:hAnsi="Arial" w:cs="Arial"/>
          <w:bCs/>
        </w:rPr>
        <w:t>For advice on protocol use in practice/advised supporting governance please refer to</w:t>
      </w:r>
      <w:r>
        <w:rPr>
          <w:rFonts w:ascii="Arial" w:hAnsi="Arial" w:cs="Arial"/>
          <w:bCs/>
        </w:rPr>
        <w:t xml:space="preserve"> </w:t>
      </w:r>
      <w:r w:rsidRPr="00D00B34">
        <w:rPr>
          <w:rFonts w:ascii="Arial" w:hAnsi="Arial" w:cs="Arial"/>
          <w:bCs/>
        </w:rPr>
        <w:t xml:space="preserve"> </w:t>
      </w:r>
      <w:hyperlink r:id="rId8" w:history="1">
        <w:r w:rsidRPr="00D00B34">
          <w:rPr>
            <w:rStyle w:val="Hyperlink"/>
            <w:rFonts w:ascii="Arial" w:hAnsi="Arial" w:cs="Arial"/>
            <w:bCs/>
          </w:rPr>
          <w:t>When Patient Group Directions are not required</w:t>
        </w:r>
      </w:hyperlink>
      <w:r>
        <w:rPr>
          <w:rStyle w:val="Hyperlink"/>
          <w:rFonts w:ascii="Arial" w:hAnsi="Arial" w:cs="Arial"/>
          <w:bCs/>
        </w:rPr>
        <w:t xml:space="preserve"> </w:t>
      </w:r>
      <w:r w:rsidRPr="00D00B34">
        <w:rPr>
          <w:rStyle w:val="Hyperlink"/>
          <w:rFonts w:ascii="Arial" w:hAnsi="Arial" w:cs="Arial"/>
          <w:bCs/>
          <w:color w:val="auto"/>
          <w:u w:val="none"/>
        </w:rPr>
        <w:t>and</w:t>
      </w:r>
      <w:r w:rsidRPr="00D00B34">
        <w:rPr>
          <w:rFonts w:ascii="Arial" w:hAnsi="Arial" w:cs="Arial"/>
          <w:bCs/>
        </w:rPr>
        <w:t xml:space="preserve"> </w:t>
      </w:r>
      <w:hyperlink r:id="rId9" w:history="1">
        <w:r w:rsidRPr="00D00B34">
          <w:rPr>
            <w:rStyle w:val="Hyperlink"/>
            <w:rFonts w:ascii="Arial" w:hAnsi="Arial" w:cs="Arial"/>
            <w:bCs/>
          </w:rPr>
          <w:t>About the SPS Medicines Governance Do Once Programme</w:t>
        </w:r>
      </w:hyperlink>
    </w:p>
    <w:p w14:paraId="05447BA7" w14:textId="77777777" w:rsid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Organisations should link to local infection control/PPE guidance relevant to the use of this product.</w:t>
      </w:r>
    </w:p>
    <w:p w14:paraId="2F487582" w14:textId="77777777" w:rsidR="00D00B34" w:rsidRDefault="00D00B34" w:rsidP="00D00B34">
      <w:pPr>
        <w:spacing w:after="0" w:line="240" w:lineRule="auto"/>
        <w:jc w:val="both"/>
        <w:rPr>
          <w:rFonts w:ascii="Arial" w:eastAsia="Times New Roman" w:hAnsi="Arial" w:cs="Arial"/>
        </w:rPr>
      </w:pPr>
    </w:p>
    <w:p w14:paraId="09D0CCC7" w14:textId="77777777" w:rsidR="00D00B34" w:rsidRPr="00D00B34" w:rsidRDefault="00D00B34" w:rsidP="00D00B34">
      <w:pPr>
        <w:spacing w:after="0" w:line="240" w:lineRule="auto"/>
        <w:jc w:val="both"/>
        <w:rPr>
          <w:rFonts w:ascii="Arial" w:eastAsia="Times New Roman" w:hAnsi="Arial" w:cs="Arial"/>
        </w:rPr>
      </w:pPr>
      <w:r w:rsidRPr="00D00B34">
        <w:rPr>
          <w:rFonts w:ascii="Arial" w:eastAsia="Times New Roman" w:hAnsi="Arial" w:cs="Arial"/>
          <w:highlight w:val="yellow"/>
        </w:rPr>
        <w:t xml:space="preserve">Each organisation using this </w:t>
      </w:r>
      <w:r>
        <w:rPr>
          <w:rFonts w:ascii="Arial" w:eastAsia="Times New Roman" w:hAnsi="Arial" w:cs="Arial"/>
          <w:highlight w:val="yellow"/>
        </w:rPr>
        <w:t>protocol</w:t>
      </w:r>
      <w:r w:rsidRPr="00D00B34">
        <w:rPr>
          <w:rFonts w:ascii="Arial" w:eastAsia="Times New Roman" w:hAnsi="Arial" w:cs="Arial"/>
          <w:highlight w:val="yellow"/>
        </w:rPr>
        <w:t xml:space="preserve"> must ensure that it is</w:t>
      </w:r>
      <w:r>
        <w:rPr>
          <w:rFonts w:ascii="Arial" w:eastAsia="Times New Roman" w:hAnsi="Arial" w:cs="Arial"/>
          <w:highlight w:val="yellow"/>
        </w:rPr>
        <w:t xml:space="preserve"> appropriately</w:t>
      </w:r>
      <w:r w:rsidRPr="00D00B34">
        <w:rPr>
          <w:rFonts w:ascii="Arial" w:eastAsia="Times New Roman" w:hAnsi="Arial" w:cs="Arial"/>
          <w:highlight w:val="yellow"/>
        </w:rPr>
        <w:t xml:space="preserve"> reviewed</w:t>
      </w:r>
      <w:r>
        <w:rPr>
          <w:rFonts w:ascii="Arial" w:eastAsia="Times New Roman" w:hAnsi="Arial" w:cs="Arial"/>
          <w:highlight w:val="yellow"/>
        </w:rPr>
        <w:t xml:space="preserve"> and approved for use </w:t>
      </w:r>
      <w:r w:rsidRPr="00D00B34">
        <w:rPr>
          <w:rFonts w:ascii="Arial" w:eastAsia="Times New Roman" w:hAnsi="Arial" w:cs="Arial"/>
          <w:highlight w:val="yellow"/>
        </w:rPr>
        <w:t>in line with the organisations’</w:t>
      </w:r>
      <w:r>
        <w:rPr>
          <w:rFonts w:ascii="Arial" w:eastAsia="Times New Roman" w:hAnsi="Arial" w:cs="Arial"/>
          <w:highlight w:val="yellow"/>
        </w:rPr>
        <w:t xml:space="preserve"> </w:t>
      </w:r>
      <w:r w:rsidRPr="00D00B34">
        <w:rPr>
          <w:rFonts w:ascii="Arial" w:eastAsia="Times New Roman" w:hAnsi="Arial" w:cs="Arial"/>
          <w:highlight w:val="yellow"/>
        </w:rPr>
        <w:t xml:space="preserve">governance system.  </w:t>
      </w:r>
    </w:p>
    <w:p w14:paraId="2A4CABE3" w14:textId="77777777" w:rsidR="00D00B34" w:rsidRDefault="00D00B34" w:rsidP="00D00B34">
      <w:pPr>
        <w:spacing w:after="0" w:line="240" w:lineRule="auto"/>
        <w:jc w:val="both"/>
        <w:rPr>
          <w:rFonts w:ascii="Arial" w:eastAsia="Times New Roman" w:hAnsi="Arial" w:cs="Arial"/>
          <w:bCs/>
          <w:color w:val="FF0000"/>
        </w:rPr>
      </w:pPr>
    </w:p>
    <w:p w14:paraId="5A6AE2C7" w14:textId="77777777" w:rsidR="00D00B34" w:rsidRPr="00D00B34" w:rsidRDefault="00D00B34" w:rsidP="00D00B34">
      <w:pPr>
        <w:spacing w:after="0" w:line="240" w:lineRule="auto"/>
        <w:jc w:val="both"/>
        <w:rPr>
          <w:rFonts w:ascii="Arial" w:eastAsia="Times New Roman" w:hAnsi="Arial" w:cs="Arial"/>
          <w:b/>
          <w:sz w:val="24"/>
          <w:szCs w:val="24"/>
          <w:u w:val="single"/>
        </w:rPr>
      </w:pPr>
      <w:r w:rsidRPr="00D00B34">
        <w:rPr>
          <w:rFonts w:ascii="Arial" w:eastAsia="Times New Roman" w:hAnsi="Arial" w:cs="Arial"/>
          <w:b/>
          <w:sz w:val="24"/>
          <w:szCs w:val="24"/>
          <w:u w:val="single"/>
        </w:rPr>
        <w:t xml:space="preserve">Protocol development </w:t>
      </w:r>
      <w:proofErr w:type="gramStart"/>
      <w:r w:rsidRPr="00D00B34">
        <w:rPr>
          <w:rFonts w:ascii="Arial" w:eastAsia="Times New Roman" w:hAnsi="Arial" w:cs="Arial"/>
          <w:b/>
          <w:sz w:val="24"/>
          <w:szCs w:val="24"/>
          <w:u w:val="single"/>
        </w:rPr>
        <w:t>group</w:t>
      </w:r>
      <w:proofErr w:type="gramEnd"/>
      <w:r w:rsidRPr="00D00B34">
        <w:rPr>
          <w:rFonts w:ascii="Arial" w:eastAsia="Times New Roman" w:hAnsi="Arial" w:cs="Arial"/>
          <w:b/>
          <w:sz w:val="24"/>
          <w:szCs w:val="24"/>
          <w:u w:val="single"/>
        </w:rPr>
        <w:t xml:space="preserve"> </w:t>
      </w:r>
    </w:p>
    <w:p w14:paraId="518AD8CA" w14:textId="77777777" w:rsidR="00D00B34" w:rsidRPr="00D00B34" w:rsidRDefault="00D00B34" w:rsidP="00D00B34">
      <w:pPr>
        <w:spacing w:after="0" w:line="240" w:lineRule="auto"/>
        <w:rPr>
          <w:rFonts w:ascii="Arial" w:eastAsia="Times New Roman"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6599"/>
      </w:tblGrid>
      <w:tr w:rsidR="00D00B34" w:rsidRPr="00D00B34" w14:paraId="73EDACC0" w14:textId="77777777" w:rsidTr="00A03E0A">
        <w:trPr>
          <w:trHeight w:val="254"/>
        </w:trPr>
        <w:tc>
          <w:tcPr>
            <w:tcW w:w="2014" w:type="dxa"/>
            <w:shd w:val="clear" w:color="auto" w:fill="D9D9D9"/>
            <w:vAlign w:val="center"/>
          </w:tcPr>
          <w:p w14:paraId="56AB97D2"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Name</w:t>
            </w:r>
          </w:p>
        </w:tc>
        <w:tc>
          <w:tcPr>
            <w:tcW w:w="6599" w:type="dxa"/>
            <w:shd w:val="clear" w:color="auto" w:fill="D9D9D9"/>
            <w:vAlign w:val="center"/>
          </w:tcPr>
          <w:p w14:paraId="0FEC3659" w14:textId="77777777" w:rsidR="00D00B34" w:rsidRPr="00D00B34" w:rsidRDefault="00D00B34" w:rsidP="00D00B34">
            <w:pPr>
              <w:overflowPunct w:val="0"/>
              <w:autoSpaceDE w:val="0"/>
              <w:autoSpaceDN w:val="0"/>
              <w:adjustRightInd w:val="0"/>
              <w:spacing w:after="0" w:line="240" w:lineRule="auto"/>
              <w:textAlignment w:val="baseline"/>
              <w:rPr>
                <w:rFonts w:ascii="Arial" w:eastAsia="Times New Roman" w:hAnsi="Arial" w:cs="Arial"/>
                <w:b/>
                <w:lang w:eastAsia="en-GB"/>
              </w:rPr>
            </w:pPr>
            <w:r w:rsidRPr="00D00B34">
              <w:rPr>
                <w:rFonts w:ascii="Arial" w:eastAsia="Times New Roman" w:hAnsi="Arial" w:cs="Arial"/>
                <w:b/>
                <w:lang w:eastAsia="en-GB"/>
              </w:rPr>
              <w:t>Designation</w:t>
            </w:r>
          </w:p>
        </w:tc>
      </w:tr>
      <w:tr w:rsidR="00D00B34" w:rsidRPr="00D00B34" w14:paraId="62B62BD5" w14:textId="77777777" w:rsidTr="00A03E0A">
        <w:trPr>
          <w:trHeight w:val="267"/>
        </w:trPr>
        <w:tc>
          <w:tcPr>
            <w:tcW w:w="2014" w:type="dxa"/>
          </w:tcPr>
          <w:p w14:paraId="0009395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Cindy Farmer</w:t>
            </w:r>
          </w:p>
        </w:tc>
        <w:tc>
          <w:tcPr>
            <w:tcW w:w="6599" w:type="dxa"/>
          </w:tcPr>
          <w:p w14:paraId="7CE96E2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Vice President, General Training</w:t>
            </w:r>
          </w:p>
          <w:p w14:paraId="2234E80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Faculty of Sexual and Reproductive Healthcare (FSRH)</w:t>
            </w:r>
          </w:p>
        </w:tc>
      </w:tr>
      <w:tr w:rsidR="00D00B34" w:rsidRPr="00D00B34" w14:paraId="4F9D172A" w14:textId="77777777" w:rsidTr="00A03E0A">
        <w:trPr>
          <w:trHeight w:val="267"/>
        </w:trPr>
        <w:tc>
          <w:tcPr>
            <w:tcW w:w="2014" w:type="dxa"/>
          </w:tcPr>
          <w:p w14:paraId="01BC7BAD" w14:textId="77777777" w:rsidR="00D00B34" w:rsidRPr="00D00B34" w:rsidRDefault="00D00B34" w:rsidP="00E647ED">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Michelle Jenkins</w:t>
            </w:r>
            <w:r w:rsidR="00E647ED">
              <w:rPr>
                <w:rFonts w:ascii="Arial" w:eastAsia="Times New Roman" w:hAnsi="Arial" w:cs="Times New Roman"/>
                <w:sz w:val="20"/>
                <w:szCs w:val="20"/>
                <w:lang w:eastAsia="en-GB"/>
              </w:rPr>
              <w:t xml:space="preserve"> </w:t>
            </w:r>
            <w:r w:rsidR="00E647ED" w:rsidRPr="00E647ED">
              <w:rPr>
                <w:rFonts w:ascii="Arial" w:eastAsia="Times New Roman" w:hAnsi="Arial" w:cs="Times New Roman"/>
                <w:sz w:val="20"/>
                <w:szCs w:val="20"/>
                <w:lang w:eastAsia="en-GB"/>
              </w:rPr>
              <w:t>(Working Group Co-ordinator)</w:t>
            </w:r>
          </w:p>
        </w:tc>
        <w:tc>
          <w:tcPr>
            <w:tcW w:w="6599" w:type="dxa"/>
          </w:tcPr>
          <w:p w14:paraId="36E1418A"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Advanced Nurse Practitioner, Clinical Standards Committee </w:t>
            </w:r>
          </w:p>
          <w:p w14:paraId="7A9C0C9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Faculty of Sexual and Reproductive Healthcare (FSRH) </w:t>
            </w:r>
          </w:p>
        </w:tc>
      </w:tr>
      <w:tr w:rsidR="00D00B34" w:rsidRPr="00D00B34" w14:paraId="0AA17050" w14:textId="77777777" w:rsidTr="00A03E0A">
        <w:trPr>
          <w:trHeight w:val="267"/>
        </w:trPr>
        <w:tc>
          <w:tcPr>
            <w:tcW w:w="2014" w:type="dxa"/>
          </w:tcPr>
          <w:p w14:paraId="588E7335"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Vicky Garner</w:t>
            </w:r>
          </w:p>
        </w:tc>
        <w:tc>
          <w:tcPr>
            <w:tcW w:w="6599" w:type="dxa"/>
          </w:tcPr>
          <w:p w14:paraId="6BE6A6F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Deputy Chief Midwife British Pregnancy Advisory Service (BPAS)</w:t>
            </w:r>
          </w:p>
        </w:tc>
      </w:tr>
      <w:tr w:rsidR="00D00B34" w:rsidRPr="00D00B34" w14:paraId="32EA5E22" w14:textId="77777777" w:rsidTr="00A03E0A">
        <w:trPr>
          <w:trHeight w:val="267"/>
        </w:trPr>
        <w:tc>
          <w:tcPr>
            <w:tcW w:w="2014" w:type="dxa"/>
          </w:tcPr>
          <w:p w14:paraId="6E5E614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Gail Rowley</w:t>
            </w:r>
          </w:p>
        </w:tc>
        <w:tc>
          <w:tcPr>
            <w:tcW w:w="6599" w:type="dxa"/>
          </w:tcPr>
          <w:p w14:paraId="35C71E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Quality Matron British Pregnancy Advisory Service (BPAS)</w:t>
            </w:r>
          </w:p>
        </w:tc>
      </w:tr>
      <w:tr w:rsidR="00D00B34" w:rsidRPr="00D00B34" w14:paraId="556B49D3" w14:textId="77777777" w:rsidTr="00A03E0A">
        <w:trPr>
          <w:trHeight w:val="267"/>
        </w:trPr>
        <w:tc>
          <w:tcPr>
            <w:tcW w:w="2014" w:type="dxa"/>
          </w:tcPr>
          <w:p w14:paraId="642A1052"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Katie Girling</w:t>
            </w:r>
          </w:p>
        </w:tc>
        <w:tc>
          <w:tcPr>
            <w:tcW w:w="6599" w:type="dxa"/>
          </w:tcPr>
          <w:p w14:paraId="3CC10F0D"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British Pregnancy Advisory Service (BPAS)</w:t>
            </w:r>
          </w:p>
        </w:tc>
      </w:tr>
      <w:tr w:rsidR="00D00B34" w:rsidRPr="00D00B34" w14:paraId="3274E531" w14:textId="77777777" w:rsidTr="00A03E0A">
        <w:trPr>
          <w:trHeight w:val="267"/>
        </w:trPr>
        <w:tc>
          <w:tcPr>
            <w:tcW w:w="2014" w:type="dxa"/>
          </w:tcPr>
          <w:p w14:paraId="0FFC1745"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Julia Hogan</w:t>
            </w:r>
          </w:p>
        </w:tc>
        <w:tc>
          <w:tcPr>
            <w:tcW w:w="6599" w:type="dxa"/>
          </w:tcPr>
          <w:p w14:paraId="55156FF5"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CASH Nurse Consultant MSI Reproductive Choices</w:t>
            </w:r>
          </w:p>
        </w:tc>
      </w:tr>
      <w:tr w:rsidR="00D00B34" w:rsidRPr="00D00B34" w14:paraId="77BD5EAE" w14:textId="77777777" w:rsidTr="00A03E0A">
        <w:trPr>
          <w:trHeight w:val="267"/>
        </w:trPr>
        <w:tc>
          <w:tcPr>
            <w:tcW w:w="2014" w:type="dxa"/>
          </w:tcPr>
          <w:p w14:paraId="498964D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Kate Devonport</w:t>
            </w:r>
          </w:p>
        </w:tc>
        <w:tc>
          <w:tcPr>
            <w:tcW w:w="6599" w:type="dxa"/>
          </w:tcPr>
          <w:p w14:paraId="36ED5B80"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National Unplanned Pregnancy Advisory Service </w:t>
            </w:r>
          </w:p>
          <w:p w14:paraId="4ADC1278" w14:textId="77777777" w:rsidR="00D00B34" w:rsidRPr="00D00B34" w:rsidRDefault="00D00B34" w:rsidP="00D00B34">
            <w:pPr>
              <w:spacing w:after="0" w:line="240" w:lineRule="auto"/>
              <w:rPr>
                <w:rFonts w:ascii="Arial" w:eastAsia="Times New Roman" w:hAnsi="Arial" w:cs="Arial"/>
                <w:sz w:val="20"/>
                <w:szCs w:val="20"/>
                <w:lang w:eastAsia="en-GB"/>
              </w:rPr>
            </w:pPr>
            <w:r w:rsidRPr="00D00B34">
              <w:rPr>
                <w:rFonts w:ascii="Arial" w:eastAsia="Times New Roman" w:hAnsi="Arial" w:cs="Times New Roman"/>
                <w:sz w:val="20"/>
                <w:szCs w:val="20"/>
                <w:lang w:eastAsia="en-GB"/>
              </w:rPr>
              <w:t>(NUPAS)</w:t>
            </w:r>
          </w:p>
        </w:tc>
      </w:tr>
      <w:tr w:rsidR="00D00B34" w:rsidRPr="00D00B34" w14:paraId="5AF0AEBD" w14:textId="77777777" w:rsidTr="00A03E0A">
        <w:trPr>
          <w:trHeight w:val="267"/>
        </w:trPr>
        <w:tc>
          <w:tcPr>
            <w:tcW w:w="2014" w:type="dxa"/>
          </w:tcPr>
          <w:p w14:paraId="36E6384A"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Chetna Parmar</w:t>
            </w:r>
          </w:p>
        </w:tc>
        <w:tc>
          <w:tcPr>
            <w:tcW w:w="6599" w:type="dxa"/>
          </w:tcPr>
          <w:p w14:paraId="390A4B1F"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Pharmacist adviser Umbrella </w:t>
            </w:r>
          </w:p>
        </w:tc>
      </w:tr>
      <w:tr w:rsidR="00D00B34" w:rsidRPr="00D00B34" w14:paraId="74B7088A" w14:textId="77777777" w:rsidTr="00A03E0A">
        <w:trPr>
          <w:trHeight w:val="267"/>
        </w:trPr>
        <w:tc>
          <w:tcPr>
            <w:tcW w:w="2014" w:type="dxa"/>
          </w:tcPr>
          <w:p w14:paraId="5E6C77A1" w14:textId="77777777" w:rsidR="00D00B34" w:rsidRPr="00D00B34" w:rsidRDefault="00D00B34" w:rsidP="00D00B34">
            <w:pPr>
              <w:spacing w:after="0" w:line="240" w:lineRule="auto"/>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Helen Donovan</w:t>
            </w:r>
          </w:p>
        </w:tc>
        <w:tc>
          <w:tcPr>
            <w:tcW w:w="6599" w:type="dxa"/>
          </w:tcPr>
          <w:p w14:paraId="023635B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Royal College of Nursing (RCN)</w:t>
            </w:r>
          </w:p>
        </w:tc>
      </w:tr>
      <w:tr w:rsidR="00D00B34" w:rsidRPr="00D00B34" w14:paraId="1724314B" w14:textId="77777777" w:rsidTr="00A03E0A">
        <w:trPr>
          <w:trHeight w:val="267"/>
        </w:trPr>
        <w:tc>
          <w:tcPr>
            <w:tcW w:w="2014" w:type="dxa"/>
          </w:tcPr>
          <w:p w14:paraId="2CCF814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Carmel Lloyd</w:t>
            </w:r>
          </w:p>
        </w:tc>
        <w:tc>
          <w:tcPr>
            <w:tcW w:w="6599" w:type="dxa"/>
          </w:tcPr>
          <w:p w14:paraId="2F9F8E5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51A8F790" w14:textId="77777777" w:rsidTr="00A03E0A">
        <w:trPr>
          <w:trHeight w:val="267"/>
        </w:trPr>
        <w:tc>
          <w:tcPr>
            <w:tcW w:w="2014" w:type="dxa"/>
          </w:tcPr>
          <w:p w14:paraId="6283B8A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Clare Livingstone</w:t>
            </w:r>
          </w:p>
        </w:tc>
        <w:tc>
          <w:tcPr>
            <w:tcW w:w="6599" w:type="dxa"/>
          </w:tcPr>
          <w:p w14:paraId="724EBCAC"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Royal College of Midwives (RCM)</w:t>
            </w:r>
          </w:p>
        </w:tc>
      </w:tr>
      <w:tr w:rsidR="00D00B34" w:rsidRPr="00D00B34" w14:paraId="70811986" w14:textId="77777777" w:rsidTr="00A03E0A">
        <w:trPr>
          <w:trHeight w:val="267"/>
        </w:trPr>
        <w:tc>
          <w:tcPr>
            <w:tcW w:w="2014" w:type="dxa"/>
          </w:tcPr>
          <w:p w14:paraId="5A2E2A8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Kirsty Armstrong  </w:t>
            </w:r>
          </w:p>
        </w:tc>
        <w:tc>
          <w:tcPr>
            <w:tcW w:w="6599" w:type="dxa"/>
          </w:tcPr>
          <w:p w14:paraId="38214C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National Pharmacy Integration Lead, NHS England</w:t>
            </w:r>
          </w:p>
        </w:tc>
      </w:tr>
      <w:tr w:rsidR="00D00B34" w:rsidRPr="00D00B34" w14:paraId="3709262B" w14:textId="77777777" w:rsidTr="00A03E0A">
        <w:trPr>
          <w:trHeight w:val="267"/>
        </w:trPr>
        <w:tc>
          <w:tcPr>
            <w:tcW w:w="2014" w:type="dxa"/>
          </w:tcPr>
          <w:p w14:paraId="23BD250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lastRenderedPageBreak/>
              <w:t>Dipti Patel</w:t>
            </w:r>
          </w:p>
        </w:tc>
        <w:tc>
          <w:tcPr>
            <w:tcW w:w="6599" w:type="dxa"/>
          </w:tcPr>
          <w:p w14:paraId="2A41BD5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Local authority pharmacist </w:t>
            </w:r>
          </w:p>
        </w:tc>
      </w:tr>
      <w:tr w:rsidR="00D00B34" w:rsidRPr="00D00B34" w14:paraId="6324650C" w14:textId="77777777" w:rsidTr="00A03E0A">
        <w:trPr>
          <w:trHeight w:val="267"/>
        </w:trPr>
        <w:tc>
          <w:tcPr>
            <w:tcW w:w="2014" w:type="dxa"/>
          </w:tcPr>
          <w:p w14:paraId="750A139D"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Emma Anderson</w:t>
            </w:r>
          </w:p>
        </w:tc>
        <w:tc>
          <w:tcPr>
            <w:tcW w:w="6599" w:type="dxa"/>
          </w:tcPr>
          <w:p w14:paraId="1E9F5FA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Centre for Pharmacy Postgraduate Education (CPPE)</w:t>
            </w:r>
          </w:p>
        </w:tc>
      </w:tr>
      <w:tr w:rsidR="00D00B34" w:rsidRPr="00D00B34" w14:paraId="5773CC8B" w14:textId="77777777" w:rsidTr="00A03E0A">
        <w:trPr>
          <w:trHeight w:val="267"/>
        </w:trPr>
        <w:tc>
          <w:tcPr>
            <w:tcW w:w="2014" w:type="dxa"/>
          </w:tcPr>
          <w:p w14:paraId="06457B18"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Kathy French</w:t>
            </w:r>
          </w:p>
        </w:tc>
        <w:tc>
          <w:tcPr>
            <w:tcW w:w="6599" w:type="dxa"/>
          </w:tcPr>
          <w:p w14:paraId="328FF34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Specialist Nurse</w:t>
            </w:r>
          </w:p>
        </w:tc>
      </w:tr>
      <w:tr w:rsidR="00D00B34" w:rsidRPr="00D00B34" w14:paraId="46985368" w14:textId="77777777" w:rsidTr="00A03E0A">
        <w:trPr>
          <w:trHeight w:val="267"/>
        </w:trPr>
        <w:tc>
          <w:tcPr>
            <w:tcW w:w="2014" w:type="dxa"/>
          </w:tcPr>
          <w:p w14:paraId="107AD8B9"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Dr Sarah Pillai</w:t>
            </w:r>
          </w:p>
        </w:tc>
        <w:tc>
          <w:tcPr>
            <w:tcW w:w="6599" w:type="dxa"/>
            <w:vAlign w:val="center"/>
          </w:tcPr>
          <w:p w14:paraId="53D8FE1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Associate Specialist</w:t>
            </w:r>
          </w:p>
        </w:tc>
      </w:tr>
      <w:tr w:rsidR="00D00B34" w:rsidRPr="00D00B34" w14:paraId="74C69CA8" w14:textId="77777777" w:rsidTr="00A03E0A">
        <w:trPr>
          <w:trHeight w:val="267"/>
        </w:trPr>
        <w:tc>
          <w:tcPr>
            <w:tcW w:w="2014" w:type="dxa"/>
          </w:tcPr>
          <w:p w14:paraId="5CC48636"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Alison Crompton</w:t>
            </w:r>
          </w:p>
        </w:tc>
        <w:tc>
          <w:tcPr>
            <w:tcW w:w="6599" w:type="dxa"/>
            <w:vAlign w:val="center"/>
          </w:tcPr>
          <w:p w14:paraId="7A5D9FC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Community pharmacist</w:t>
            </w:r>
          </w:p>
        </w:tc>
      </w:tr>
      <w:tr w:rsidR="00D00B34" w:rsidRPr="00D00B34" w14:paraId="4A1EA159" w14:textId="77777777" w:rsidTr="00A03E0A">
        <w:trPr>
          <w:trHeight w:val="267"/>
        </w:trPr>
        <w:tc>
          <w:tcPr>
            <w:tcW w:w="2014" w:type="dxa"/>
          </w:tcPr>
          <w:p w14:paraId="0274C87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rPr>
            </w:pPr>
            <w:r w:rsidRPr="00D00B34">
              <w:rPr>
                <w:rFonts w:ascii="Arial" w:eastAsia="Times New Roman" w:hAnsi="Arial" w:cs="Times New Roman"/>
                <w:sz w:val="20"/>
                <w:szCs w:val="20"/>
                <w:lang w:eastAsia="en-GB"/>
              </w:rPr>
              <w:t>Andrea Smith</w:t>
            </w:r>
          </w:p>
        </w:tc>
        <w:tc>
          <w:tcPr>
            <w:tcW w:w="6599" w:type="dxa"/>
          </w:tcPr>
          <w:p w14:paraId="553AC183"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Community pharmacist</w:t>
            </w:r>
          </w:p>
        </w:tc>
      </w:tr>
      <w:tr w:rsidR="00D00B34" w:rsidRPr="00D00B34" w14:paraId="41706A50" w14:textId="77777777" w:rsidTr="00A03E0A">
        <w:trPr>
          <w:trHeight w:val="267"/>
        </w:trPr>
        <w:tc>
          <w:tcPr>
            <w:tcW w:w="2014" w:type="dxa"/>
          </w:tcPr>
          <w:p w14:paraId="1420AD40"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Lisa Knight</w:t>
            </w:r>
          </w:p>
        </w:tc>
        <w:tc>
          <w:tcPr>
            <w:tcW w:w="6599" w:type="dxa"/>
          </w:tcPr>
          <w:p w14:paraId="44A32287"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Times New Roman"/>
                <w:sz w:val="20"/>
                <w:szCs w:val="20"/>
                <w:lang w:eastAsia="en-GB"/>
              </w:rPr>
              <w:t xml:space="preserve">Community Health Services pharmacist </w:t>
            </w:r>
          </w:p>
        </w:tc>
      </w:tr>
      <w:tr w:rsidR="00D00B34" w:rsidRPr="00D00B34" w14:paraId="2716D9A6" w14:textId="77777777" w:rsidTr="00A03E0A">
        <w:trPr>
          <w:trHeight w:val="150"/>
        </w:trPr>
        <w:tc>
          <w:tcPr>
            <w:tcW w:w="2014" w:type="dxa"/>
          </w:tcPr>
          <w:p w14:paraId="10AB4DAA"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Bola </w:t>
            </w:r>
            <w:proofErr w:type="spellStart"/>
            <w:r w:rsidRPr="00D00B34">
              <w:rPr>
                <w:rFonts w:ascii="Arial" w:eastAsia="Times New Roman" w:hAnsi="Arial" w:cs="Times New Roman"/>
                <w:sz w:val="20"/>
                <w:szCs w:val="20"/>
                <w:lang w:eastAsia="en-GB"/>
              </w:rPr>
              <w:t>Sotubo</w:t>
            </w:r>
            <w:proofErr w:type="spellEnd"/>
          </w:p>
        </w:tc>
        <w:tc>
          <w:tcPr>
            <w:tcW w:w="6599" w:type="dxa"/>
          </w:tcPr>
          <w:p w14:paraId="16CF3AFE"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Arial"/>
                <w:sz w:val="20"/>
                <w:szCs w:val="20"/>
                <w:lang w:eastAsia="en-GB"/>
              </w:rPr>
            </w:pPr>
            <w:r w:rsidRPr="00D00B34">
              <w:rPr>
                <w:rFonts w:ascii="Arial" w:eastAsia="Times New Roman" w:hAnsi="Arial" w:cs="Arial"/>
                <w:sz w:val="20"/>
                <w:szCs w:val="20"/>
                <w:lang w:eastAsia="en-GB"/>
              </w:rPr>
              <w:t xml:space="preserve">NHS </w:t>
            </w:r>
            <w:proofErr w:type="gramStart"/>
            <w:r w:rsidRPr="00D00B34">
              <w:rPr>
                <w:rFonts w:ascii="Arial" w:eastAsia="Times New Roman" w:hAnsi="Arial" w:cs="Arial"/>
                <w:sz w:val="20"/>
                <w:szCs w:val="20"/>
                <w:lang w:eastAsia="en-GB"/>
              </w:rPr>
              <w:t>North East</w:t>
            </w:r>
            <w:proofErr w:type="gramEnd"/>
            <w:r w:rsidRPr="00D00B34">
              <w:rPr>
                <w:rFonts w:ascii="Arial" w:eastAsia="Times New Roman" w:hAnsi="Arial" w:cs="Arial"/>
                <w:sz w:val="20"/>
                <w:szCs w:val="20"/>
                <w:lang w:eastAsia="en-GB"/>
              </w:rPr>
              <w:t xml:space="preserve"> London ICB pharmacist</w:t>
            </w:r>
          </w:p>
        </w:tc>
      </w:tr>
      <w:tr w:rsidR="00D00B34" w:rsidRPr="00D00B34" w14:paraId="495DB2E5" w14:textId="77777777" w:rsidTr="00A03E0A">
        <w:trPr>
          <w:trHeight w:val="150"/>
        </w:trPr>
        <w:tc>
          <w:tcPr>
            <w:tcW w:w="2014" w:type="dxa"/>
          </w:tcPr>
          <w:p w14:paraId="32A871B3"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Tracy Rogers</w:t>
            </w:r>
          </w:p>
        </w:tc>
        <w:tc>
          <w:tcPr>
            <w:tcW w:w="6599" w:type="dxa"/>
          </w:tcPr>
          <w:p w14:paraId="031EA2F1"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Director, Medicines Use and Safety, Specialist Pharmacy Service </w:t>
            </w:r>
          </w:p>
        </w:tc>
      </w:tr>
      <w:tr w:rsidR="00D00B34" w:rsidRPr="00D00B34" w14:paraId="1B236854" w14:textId="77777777" w:rsidTr="00A03E0A">
        <w:trPr>
          <w:trHeight w:val="150"/>
        </w:trPr>
        <w:tc>
          <w:tcPr>
            <w:tcW w:w="2014" w:type="dxa"/>
          </w:tcPr>
          <w:p w14:paraId="2AA4CFA4"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Sandra Wolper </w:t>
            </w:r>
          </w:p>
        </w:tc>
        <w:tc>
          <w:tcPr>
            <w:tcW w:w="6599" w:type="dxa"/>
          </w:tcPr>
          <w:p w14:paraId="0FBE85E5"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Associate Director Specialist Pharmacy Service</w:t>
            </w:r>
          </w:p>
        </w:tc>
      </w:tr>
      <w:tr w:rsidR="00D00B34" w:rsidRPr="00D00B34" w14:paraId="4DF6826E" w14:textId="77777777" w:rsidTr="00A03E0A">
        <w:trPr>
          <w:trHeight w:val="150"/>
        </w:trPr>
        <w:tc>
          <w:tcPr>
            <w:tcW w:w="2014" w:type="dxa"/>
          </w:tcPr>
          <w:p w14:paraId="38661297" w14:textId="77777777" w:rsidR="00D00B34" w:rsidRPr="00D00B34" w:rsidRDefault="00D00B34" w:rsidP="00D00B34">
            <w:pPr>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 xml:space="preserve">Jo Jenkins </w:t>
            </w:r>
          </w:p>
        </w:tc>
        <w:tc>
          <w:tcPr>
            <w:tcW w:w="6599" w:type="dxa"/>
          </w:tcPr>
          <w:p w14:paraId="3EE40DE9" w14:textId="77777777" w:rsidR="00D00B34" w:rsidRPr="00D00B34" w:rsidRDefault="00D00B34" w:rsidP="00D00B34">
            <w:pPr>
              <w:tabs>
                <w:tab w:val="left" w:pos="2320"/>
              </w:tabs>
              <w:overflowPunct w:val="0"/>
              <w:autoSpaceDE w:val="0"/>
              <w:autoSpaceDN w:val="0"/>
              <w:adjustRightInd w:val="0"/>
              <w:spacing w:before="60" w:after="60" w:line="240" w:lineRule="auto"/>
              <w:textAlignment w:val="baseline"/>
              <w:rPr>
                <w:rFonts w:ascii="Arial" w:eastAsia="Times New Roman" w:hAnsi="Arial" w:cs="Times New Roman"/>
                <w:sz w:val="20"/>
                <w:szCs w:val="20"/>
                <w:lang w:eastAsia="en-GB"/>
              </w:rPr>
            </w:pPr>
            <w:r w:rsidRPr="00D00B34">
              <w:rPr>
                <w:rFonts w:ascii="Arial" w:eastAsia="Times New Roman" w:hAnsi="Arial" w:cs="Times New Roman"/>
                <w:sz w:val="20"/>
                <w:szCs w:val="20"/>
                <w:lang w:eastAsia="en-GB"/>
              </w:rPr>
              <w:t>Lead Pharmacist PGDs and Medicine Mechanisms Specialist Pharmacy Service</w:t>
            </w:r>
          </w:p>
        </w:tc>
      </w:tr>
    </w:tbl>
    <w:p w14:paraId="04F68730" w14:textId="77777777" w:rsidR="00D00B34" w:rsidRDefault="00D00B34" w:rsidP="008351E1">
      <w:pPr>
        <w:jc w:val="center"/>
        <w:rPr>
          <w:b/>
          <w:u w:val="single"/>
        </w:rPr>
      </w:pPr>
      <w:bookmarkStart w:id="1" w:name="_Hlk125017417"/>
    </w:p>
    <w:p w14:paraId="00ACEC05" w14:textId="77777777" w:rsidR="00D00B34" w:rsidRDefault="00D00B34" w:rsidP="008351E1">
      <w:pPr>
        <w:jc w:val="center"/>
        <w:rPr>
          <w:b/>
          <w:u w:val="single"/>
        </w:rPr>
      </w:pPr>
    </w:p>
    <w:p w14:paraId="04E73C69" w14:textId="77777777" w:rsidR="00D00B34" w:rsidRDefault="00D00B34" w:rsidP="008351E1">
      <w:pPr>
        <w:jc w:val="center"/>
        <w:rPr>
          <w:b/>
          <w:u w:val="single"/>
        </w:rPr>
      </w:pPr>
    </w:p>
    <w:p w14:paraId="36052B4A" w14:textId="77777777" w:rsidR="00D00B34" w:rsidRDefault="00D00B34" w:rsidP="008351E1">
      <w:pPr>
        <w:jc w:val="center"/>
        <w:rPr>
          <w:b/>
          <w:u w:val="single"/>
        </w:rPr>
      </w:pPr>
    </w:p>
    <w:p w14:paraId="7F5A7C1F" w14:textId="77777777" w:rsidR="00D00B34" w:rsidRDefault="00D00B34" w:rsidP="008351E1">
      <w:pPr>
        <w:jc w:val="center"/>
        <w:rPr>
          <w:b/>
          <w:u w:val="single"/>
        </w:rPr>
      </w:pPr>
    </w:p>
    <w:p w14:paraId="4D58A1BB" w14:textId="77777777" w:rsidR="00D00B34" w:rsidRDefault="00D00B34" w:rsidP="008351E1">
      <w:pPr>
        <w:jc w:val="center"/>
        <w:rPr>
          <w:b/>
          <w:u w:val="single"/>
        </w:rPr>
      </w:pPr>
    </w:p>
    <w:p w14:paraId="5C414F22" w14:textId="77777777" w:rsidR="00D00B34" w:rsidRDefault="00D00B34" w:rsidP="008351E1">
      <w:pPr>
        <w:jc w:val="center"/>
        <w:rPr>
          <w:b/>
          <w:u w:val="single"/>
        </w:rPr>
      </w:pPr>
    </w:p>
    <w:p w14:paraId="5085C123" w14:textId="77777777" w:rsidR="00D00B34" w:rsidRDefault="00D00B34" w:rsidP="008351E1">
      <w:pPr>
        <w:jc w:val="center"/>
        <w:rPr>
          <w:b/>
          <w:u w:val="single"/>
        </w:rPr>
      </w:pPr>
    </w:p>
    <w:p w14:paraId="364F4A3C" w14:textId="77777777" w:rsidR="00D00B34" w:rsidRDefault="00D00B34" w:rsidP="008351E1">
      <w:pPr>
        <w:jc w:val="center"/>
        <w:rPr>
          <w:b/>
          <w:u w:val="single"/>
        </w:rPr>
      </w:pPr>
    </w:p>
    <w:p w14:paraId="1ADFB691" w14:textId="77777777" w:rsidR="00D00B34" w:rsidRDefault="00D00B34" w:rsidP="008351E1">
      <w:pPr>
        <w:jc w:val="center"/>
        <w:rPr>
          <w:b/>
          <w:u w:val="single"/>
        </w:rPr>
      </w:pPr>
    </w:p>
    <w:p w14:paraId="136B9931" w14:textId="77777777" w:rsidR="00D00B34" w:rsidRDefault="00D00B34" w:rsidP="008351E1">
      <w:pPr>
        <w:jc w:val="center"/>
        <w:rPr>
          <w:b/>
          <w:u w:val="single"/>
        </w:rPr>
      </w:pPr>
    </w:p>
    <w:p w14:paraId="21E0AF57" w14:textId="77777777" w:rsidR="00D00B34" w:rsidRDefault="00D00B34" w:rsidP="008351E1">
      <w:pPr>
        <w:jc w:val="center"/>
        <w:rPr>
          <w:b/>
          <w:u w:val="single"/>
        </w:rPr>
      </w:pPr>
    </w:p>
    <w:bookmarkEnd w:id="1"/>
    <w:p w14:paraId="43B35B78" w14:textId="77777777" w:rsidR="00D00B34" w:rsidRDefault="00D00B34" w:rsidP="008351E1">
      <w:pPr>
        <w:jc w:val="center"/>
        <w:rPr>
          <w:bCs/>
          <w:i/>
          <w:iCs/>
        </w:rPr>
      </w:pPr>
    </w:p>
    <w:p w14:paraId="52C8F3A4" w14:textId="77777777" w:rsidR="00D00B34" w:rsidRDefault="00D00B34" w:rsidP="008351E1">
      <w:pPr>
        <w:jc w:val="center"/>
        <w:rPr>
          <w:bCs/>
          <w:i/>
          <w:iCs/>
        </w:rPr>
      </w:pPr>
    </w:p>
    <w:p w14:paraId="0237CDBF" w14:textId="77777777" w:rsidR="00D00B34" w:rsidRDefault="00D00B34" w:rsidP="008351E1">
      <w:pPr>
        <w:jc w:val="center"/>
        <w:rPr>
          <w:bCs/>
          <w:i/>
          <w:iCs/>
        </w:rPr>
      </w:pPr>
    </w:p>
    <w:p w14:paraId="31DCD2D5" w14:textId="77777777" w:rsidR="00D00B34" w:rsidRDefault="00D00B34" w:rsidP="008351E1">
      <w:pPr>
        <w:jc w:val="center"/>
        <w:rPr>
          <w:bCs/>
          <w:i/>
          <w:iCs/>
        </w:rPr>
      </w:pPr>
    </w:p>
    <w:p w14:paraId="7F9102EE" w14:textId="77777777" w:rsidR="00D00B34" w:rsidRDefault="00D00B34" w:rsidP="008351E1">
      <w:pPr>
        <w:jc w:val="center"/>
        <w:rPr>
          <w:bCs/>
          <w:i/>
          <w:iCs/>
        </w:rPr>
      </w:pPr>
    </w:p>
    <w:p w14:paraId="792A553A" w14:textId="77777777" w:rsidR="00D00B34" w:rsidRDefault="00D00B34" w:rsidP="008351E1">
      <w:pPr>
        <w:jc w:val="center"/>
        <w:rPr>
          <w:bCs/>
          <w:i/>
          <w:iCs/>
        </w:rPr>
      </w:pPr>
    </w:p>
    <w:p w14:paraId="68147A25" w14:textId="77777777" w:rsidR="00D00B34" w:rsidRDefault="00D00B34" w:rsidP="008351E1">
      <w:pPr>
        <w:jc w:val="center"/>
        <w:rPr>
          <w:bCs/>
          <w:i/>
          <w:iCs/>
        </w:rPr>
      </w:pPr>
    </w:p>
    <w:p w14:paraId="749EC2D1" w14:textId="77777777" w:rsidR="00D00B34" w:rsidRDefault="00D00B34" w:rsidP="008351E1">
      <w:pPr>
        <w:jc w:val="center"/>
        <w:rPr>
          <w:bCs/>
          <w:i/>
          <w:iCs/>
        </w:rPr>
      </w:pPr>
    </w:p>
    <w:p w14:paraId="09A4C2EA" w14:textId="77777777" w:rsidR="00D00B34" w:rsidRDefault="00D00B34" w:rsidP="008351E1">
      <w:pPr>
        <w:jc w:val="center"/>
        <w:rPr>
          <w:bCs/>
          <w:i/>
          <w:iCs/>
        </w:rPr>
      </w:pPr>
    </w:p>
    <w:p w14:paraId="10D64F92" w14:textId="77777777" w:rsidR="00A03E0A" w:rsidRDefault="00A03E0A" w:rsidP="008351E1">
      <w:pPr>
        <w:jc w:val="center"/>
        <w:rPr>
          <w:bCs/>
          <w:i/>
          <w:iCs/>
        </w:rPr>
      </w:pPr>
    </w:p>
    <w:tbl>
      <w:tblPr>
        <w:tblStyle w:val="TableGrid"/>
        <w:tblW w:w="0" w:type="auto"/>
        <w:tblLook w:val="04A0" w:firstRow="1" w:lastRow="0" w:firstColumn="1" w:lastColumn="0" w:noHBand="0" w:noVBand="1"/>
      </w:tblPr>
      <w:tblGrid>
        <w:gridCol w:w="2192"/>
        <w:gridCol w:w="6824"/>
      </w:tblGrid>
      <w:tr w:rsidR="008351E1" w14:paraId="4B58C241" w14:textId="77777777" w:rsidTr="00C552F2">
        <w:tc>
          <w:tcPr>
            <w:tcW w:w="9016" w:type="dxa"/>
            <w:gridSpan w:val="2"/>
            <w:shd w:val="clear" w:color="auto" w:fill="BFBFBF" w:themeFill="background1" w:themeFillShade="BF"/>
          </w:tcPr>
          <w:p w14:paraId="7B67774D" w14:textId="1DFD2690" w:rsidR="008351E1" w:rsidRPr="00D00B34" w:rsidRDefault="00C732C6" w:rsidP="00095899">
            <w:pPr>
              <w:rPr>
                <w:rFonts w:ascii="Arial" w:hAnsi="Arial" w:cs="Arial"/>
                <w:b/>
                <w:sz w:val="20"/>
                <w:szCs w:val="20"/>
              </w:rPr>
            </w:pPr>
            <w:r w:rsidRPr="00C732C6">
              <w:rPr>
                <w:bCs/>
                <w:i/>
                <w:iCs/>
              </w:rPr>
              <w:t xml:space="preserve"> </w:t>
            </w:r>
            <w:bookmarkEnd w:id="0"/>
            <w:r w:rsidR="008351E1" w:rsidRPr="00D00B34">
              <w:rPr>
                <w:rFonts w:ascii="Arial" w:hAnsi="Arial" w:cs="Arial"/>
                <w:b/>
                <w:sz w:val="20"/>
                <w:szCs w:val="20"/>
              </w:rPr>
              <w:t>1. Staff competencies</w:t>
            </w:r>
          </w:p>
        </w:tc>
      </w:tr>
      <w:tr w:rsidR="008351E1" w14:paraId="486B0592" w14:textId="77777777" w:rsidTr="00C552F2">
        <w:tc>
          <w:tcPr>
            <w:tcW w:w="2192" w:type="dxa"/>
            <w:shd w:val="clear" w:color="auto" w:fill="D9D9D9" w:themeFill="background1" w:themeFillShade="D9"/>
          </w:tcPr>
          <w:p w14:paraId="27210611"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Authorised staff</w:t>
            </w:r>
          </w:p>
        </w:tc>
        <w:tc>
          <w:tcPr>
            <w:tcW w:w="6824" w:type="dxa"/>
          </w:tcPr>
          <w:p w14:paraId="38F27479" w14:textId="77777777" w:rsidR="008351E1" w:rsidRPr="00D00B34" w:rsidRDefault="008351E1" w:rsidP="00095899">
            <w:pPr>
              <w:rPr>
                <w:rFonts w:ascii="Arial" w:hAnsi="Arial" w:cs="Arial"/>
                <w:b/>
                <w:iCs/>
                <w:sz w:val="20"/>
                <w:szCs w:val="20"/>
              </w:rPr>
            </w:pPr>
            <w:r w:rsidRPr="00E647ED">
              <w:rPr>
                <w:rFonts w:ascii="Arial" w:hAnsi="Arial" w:cs="Arial"/>
                <w:iCs/>
                <w:sz w:val="20"/>
                <w:szCs w:val="20"/>
                <w:highlight w:val="yellow"/>
              </w:rPr>
              <w:t xml:space="preserve">To complete locally to include those healthcare professionals who will be authorised to work under this protocol to </w:t>
            </w:r>
            <w:r w:rsidR="00AB06DF" w:rsidRPr="00E647ED">
              <w:rPr>
                <w:rFonts w:ascii="Arial" w:hAnsi="Arial" w:cs="Arial"/>
                <w:iCs/>
                <w:sz w:val="20"/>
                <w:szCs w:val="20"/>
                <w:highlight w:val="yellow"/>
              </w:rPr>
              <w:t>insert a Copper Intrauterine device (</w:t>
            </w:r>
            <w:r w:rsidR="00BF4CA0" w:rsidRPr="00E647ED">
              <w:rPr>
                <w:rFonts w:ascii="Arial" w:hAnsi="Arial" w:cs="Arial"/>
                <w:iCs/>
                <w:sz w:val="20"/>
                <w:szCs w:val="20"/>
                <w:highlight w:val="yellow"/>
              </w:rPr>
              <w:t>Cu-</w:t>
            </w:r>
            <w:r w:rsidR="00AB06DF" w:rsidRPr="00E647ED">
              <w:rPr>
                <w:rFonts w:ascii="Arial" w:hAnsi="Arial" w:cs="Arial"/>
                <w:iCs/>
                <w:sz w:val="20"/>
                <w:szCs w:val="20"/>
                <w:highlight w:val="yellow"/>
              </w:rPr>
              <w:t>IUD)</w:t>
            </w:r>
          </w:p>
        </w:tc>
      </w:tr>
      <w:tr w:rsidR="008351E1" w14:paraId="09F7D8D9" w14:textId="77777777" w:rsidTr="00C552F2">
        <w:tc>
          <w:tcPr>
            <w:tcW w:w="2192" w:type="dxa"/>
            <w:shd w:val="clear" w:color="auto" w:fill="D9D9D9" w:themeFill="background1" w:themeFillShade="D9"/>
          </w:tcPr>
          <w:p w14:paraId="4CC1940B" w14:textId="77777777" w:rsidR="008351E1" w:rsidRPr="00D00B34" w:rsidRDefault="008351E1" w:rsidP="00095899">
            <w:pPr>
              <w:rPr>
                <w:rFonts w:ascii="Arial" w:hAnsi="Arial" w:cs="Arial"/>
                <w:b/>
                <w:bCs/>
                <w:i/>
                <w:sz w:val="20"/>
                <w:szCs w:val="20"/>
              </w:rPr>
            </w:pPr>
            <w:r w:rsidRPr="00D00B34">
              <w:rPr>
                <w:rFonts w:ascii="Arial" w:hAnsi="Arial" w:cs="Arial"/>
                <w:b/>
                <w:bCs/>
                <w:sz w:val="20"/>
                <w:szCs w:val="20"/>
              </w:rPr>
              <w:t>Additional requirements</w:t>
            </w:r>
          </w:p>
        </w:tc>
        <w:tc>
          <w:tcPr>
            <w:tcW w:w="6824" w:type="dxa"/>
          </w:tcPr>
          <w:p w14:paraId="39595A50"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 xml:space="preserve">The registered healthcare professional operating under this standardised protocol must have undertaken appropriate education and training and successfully completed the competencies to undertake clinical assessment of patients ensuring safe provision of the devices listed in accordance with local policy. </w:t>
            </w:r>
          </w:p>
          <w:p w14:paraId="33EA939E" w14:textId="77777777" w:rsidR="00AB06DF" w:rsidRPr="00253B37" w:rsidRDefault="00AB06DF" w:rsidP="00AB06DF">
            <w:pPr>
              <w:pStyle w:val="Default"/>
              <w:rPr>
                <w:rFonts w:ascii="Arial" w:hAnsi="Arial" w:cs="Arial"/>
                <w:sz w:val="20"/>
                <w:szCs w:val="20"/>
              </w:rPr>
            </w:pPr>
          </w:p>
          <w:p w14:paraId="492DE519"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 xml:space="preserve">Recommended requirement for training would be successful completion of a relevant contraception module/course accredited or endorsed by the FSRH, CPPE </w:t>
            </w:r>
            <w:r w:rsidR="00F7141B" w:rsidRPr="00253B37">
              <w:rPr>
                <w:rFonts w:ascii="Arial" w:hAnsi="Arial" w:cs="Arial"/>
                <w:sz w:val="20"/>
                <w:szCs w:val="20"/>
              </w:rPr>
              <w:t>or university</w:t>
            </w:r>
            <w:r w:rsidRPr="00253B37">
              <w:rPr>
                <w:rFonts w:ascii="Arial" w:hAnsi="Arial" w:cs="Arial"/>
                <w:sz w:val="20"/>
                <w:szCs w:val="20"/>
              </w:rPr>
              <w:t xml:space="preserve"> or as advised in the RCN training directory.  Individuals working under this standardised protocol should hold an in date FSRH Letter of Competence Intrauterine Techniques (LoC IUT) which has been achieved or recertified within the last 5 years.</w:t>
            </w:r>
          </w:p>
          <w:p w14:paraId="00BABB9D" w14:textId="5C02EC4B" w:rsidR="00AB06DF" w:rsidRDefault="00AB06DF" w:rsidP="00AB06DF">
            <w:pPr>
              <w:pStyle w:val="Default"/>
              <w:rPr>
                <w:rFonts w:ascii="Arial" w:hAnsi="Arial" w:cs="Arial"/>
                <w:sz w:val="20"/>
                <w:szCs w:val="20"/>
              </w:rPr>
            </w:pPr>
            <w:r w:rsidRPr="00253B37">
              <w:rPr>
                <w:rFonts w:ascii="Arial" w:hAnsi="Arial" w:cs="Arial"/>
                <w:sz w:val="20"/>
                <w:szCs w:val="20"/>
              </w:rPr>
              <w:t xml:space="preserve">Protocol users should have read thoroughly and be familiar with the </w:t>
            </w:r>
            <w:hyperlink r:id="rId10" w:history="1">
              <w:r w:rsidRPr="00253B37">
                <w:rPr>
                  <w:rStyle w:val="Hyperlink"/>
                  <w:rFonts w:ascii="Arial" w:hAnsi="Arial" w:cs="Arial"/>
                  <w:sz w:val="20"/>
                  <w:szCs w:val="20"/>
                </w:rPr>
                <w:t>FSRH IUC guidance</w:t>
              </w:r>
            </w:hyperlink>
            <w:r w:rsidRPr="00253B37">
              <w:rPr>
                <w:rFonts w:ascii="Arial" w:hAnsi="Arial" w:cs="Arial"/>
                <w:sz w:val="20"/>
                <w:szCs w:val="20"/>
              </w:rPr>
              <w:t>.</w:t>
            </w:r>
          </w:p>
          <w:p w14:paraId="06182BD6" w14:textId="6856747A" w:rsidR="00891ED0" w:rsidRPr="00B40193" w:rsidRDefault="00891ED0" w:rsidP="00AB06DF">
            <w:pPr>
              <w:pStyle w:val="Default"/>
              <w:rPr>
                <w:rFonts w:ascii="Arial" w:hAnsi="Arial" w:cs="Arial"/>
                <w:color w:val="auto"/>
                <w:sz w:val="20"/>
                <w:szCs w:val="20"/>
              </w:rPr>
            </w:pPr>
          </w:p>
          <w:p w14:paraId="611E571D" w14:textId="77777777" w:rsidR="00891ED0" w:rsidRPr="00B40193" w:rsidRDefault="00891ED0" w:rsidP="00891ED0">
            <w:pPr>
              <w:rPr>
                <w:rFonts w:ascii="Arial" w:hAnsi="Arial" w:cs="Arial"/>
                <w:sz w:val="20"/>
                <w:szCs w:val="20"/>
              </w:rPr>
            </w:pPr>
            <w:r w:rsidRPr="00B40193">
              <w:rPr>
                <w:rFonts w:ascii="Arial" w:hAnsi="Arial" w:cs="Arial"/>
                <w:sz w:val="20"/>
                <w:szCs w:val="20"/>
              </w:rPr>
              <w:t>Immediate postpartum intrauterine contraception (PPIUC) insertion training is not part of the FSRH LoC IUT. The insertion procedure for immediate PPIUC is different to that of standard IUC insertion and should only be performed by those who have been trained in this technique. Theoretical training information for PPIUC can be found in the FSRH Member’s Training hub and clinicians should follow/develop local pathways for practical training.</w:t>
            </w:r>
          </w:p>
          <w:p w14:paraId="16BC2D1C" w14:textId="77777777" w:rsidR="00AB06DF" w:rsidRPr="00253B37" w:rsidRDefault="00AB06DF" w:rsidP="00AB06DF">
            <w:pPr>
              <w:pStyle w:val="Default"/>
              <w:rPr>
                <w:rFonts w:ascii="Arial" w:hAnsi="Arial" w:cs="Arial"/>
                <w:sz w:val="20"/>
                <w:szCs w:val="20"/>
              </w:rPr>
            </w:pPr>
          </w:p>
          <w:p w14:paraId="4C1B520E"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Individuals working under this standardised protocol may be required to administer local anaesthesia in line with local protocols/PGDs.</w:t>
            </w:r>
          </w:p>
          <w:p w14:paraId="4F27C1FB" w14:textId="77777777" w:rsidR="00AB06DF" w:rsidRPr="00253B37" w:rsidRDefault="00AB06DF" w:rsidP="00AB06DF">
            <w:pPr>
              <w:pStyle w:val="Default"/>
              <w:rPr>
                <w:rFonts w:ascii="Arial" w:hAnsi="Arial" w:cs="Arial"/>
                <w:sz w:val="20"/>
                <w:szCs w:val="20"/>
              </w:rPr>
            </w:pPr>
          </w:p>
          <w:p w14:paraId="4349A914" w14:textId="77777777" w:rsidR="00AB06DF" w:rsidRPr="00253B37" w:rsidRDefault="00AB06DF" w:rsidP="00AB06DF">
            <w:pPr>
              <w:pStyle w:val="Default"/>
              <w:rPr>
                <w:rFonts w:ascii="Arial" w:hAnsi="Arial" w:cs="Arial"/>
                <w:sz w:val="20"/>
                <w:szCs w:val="20"/>
              </w:rPr>
            </w:pPr>
            <w:r w:rsidRPr="00253B37">
              <w:rPr>
                <w:rFonts w:ascii="Arial" w:hAnsi="Arial" w:cs="Arial"/>
                <w:sz w:val="20"/>
                <w:szCs w:val="20"/>
              </w:rPr>
              <w:t>The healthcare professional has completed locally required training (including updates) in safeguarding children and vulnerable adults or level 2 safeguarding or the equivalent.</w:t>
            </w:r>
          </w:p>
          <w:p w14:paraId="7BE83782" w14:textId="77777777" w:rsidR="00AB06DF" w:rsidRPr="00253B37" w:rsidRDefault="00AB06DF" w:rsidP="00AB06DF">
            <w:pPr>
              <w:pStyle w:val="Default"/>
              <w:rPr>
                <w:rFonts w:ascii="Arial" w:hAnsi="Arial" w:cs="Arial"/>
                <w:sz w:val="20"/>
                <w:szCs w:val="20"/>
              </w:rPr>
            </w:pPr>
          </w:p>
          <w:p w14:paraId="16A66EDD" w14:textId="77777777" w:rsidR="008351E1" w:rsidRPr="00E647ED" w:rsidRDefault="00AB06DF" w:rsidP="00E647ED">
            <w:pPr>
              <w:rPr>
                <w:rFonts w:ascii="Arial" w:hAnsi="Arial" w:cs="Arial"/>
                <w:b/>
                <w:i/>
                <w:sz w:val="20"/>
                <w:szCs w:val="20"/>
              </w:rPr>
            </w:pPr>
            <w:r w:rsidRPr="00E647ED">
              <w:rPr>
                <w:rFonts w:ascii="Arial" w:eastAsia="Times New Roman" w:hAnsi="Arial" w:cs="Arial"/>
                <w:sz w:val="20"/>
                <w:szCs w:val="20"/>
              </w:rPr>
              <w:t xml:space="preserve">The healthcare professional must ensure that they have an </w:t>
            </w:r>
            <w:r w:rsidR="00F7141B" w:rsidRPr="00E647ED">
              <w:rPr>
                <w:rFonts w:ascii="Arial" w:eastAsia="Times New Roman" w:hAnsi="Arial" w:cs="Arial"/>
                <w:sz w:val="20"/>
                <w:szCs w:val="20"/>
              </w:rPr>
              <w:t>up-to-date</w:t>
            </w:r>
            <w:r w:rsidRPr="00E647ED">
              <w:rPr>
                <w:rFonts w:ascii="Arial" w:eastAsia="Times New Roman" w:hAnsi="Arial" w:cs="Arial"/>
                <w:sz w:val="20"/>
                <w:szCs w:val="20"/>
              </w:rPr>
              <w:t xml:space="preserve"> certificate for Basic Life Support (BLS) and anaphylaxis </w:t>
            </w:r>
            <w:r w:rsidRPr="00E647ED">
              <w:rPr>
                <w:rFonts w:ascii="Arial" w:eastAsia="Times New Roman" w:hAnsi="Arial" w:cs="Arial"/>
                <w:sz w:val="20"/>
                <w:szCs w:val="20"/>
                <w:highlight w:val="yellow"/>
              </w:rPr>
              <w:t>as required by the employing Trust/organisation</w:t>
            </w:r>
          </w:p>
        </w:tc>
      </w:tr>
      <w:tr w:rsidR="008351E1" w14:paraId="280EAB0D" w14:textId="77777777" w:rsidTr="00C552F2">
        <w:tc>
          <w:tcPr>
            <w:tcW w:w="9016" w:type="dxa"/>
            <w:gridSpan w:val="2"/>
            <w:shd w:val="clear" w:color="auto" w:fill="D9D9D9" w:themeFill="background1" w:themeFillShade="D9"/>
          </w:tcPr>
          <w:p w14:paraId="0446B80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2. Clinical condition or situation</w:t>
            </w:r>
          </w:p>
        </w:tc>
      </w:tr>
      <w:tr w:rsidR="008351E1" w14:paraId="5310AF33" w14:textId="77777777" w:rsidTr="00C552F2">
        <w:tc>
          <w:tcPr>
            <w:tcW w:w="2192" w:type="dxa"/>
            <w:shd w:val="clear" w:color="auto" w:fill="D9D9D9" w:themeFill="background1" w:themeFillShade="D9"/>
          </w:tcPr>
          <w:p w14:paraId="55C4E8A3"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Clinical situation</w:t>
            </w:r>
          </w:p>
        </w:tc>
        <w:tc>
          <w:tcPr>
            <w:tcW w:w="6824" w:type="dxa"/>
          </w:tcPr>
          <w:p w14:paraId="7E1DAA06" w14:textId="77777777" w:rsidR="008351E1" w:rsidRPr="00D00B34" w:rsidRDefault="00AB06DF" w:rsidP="00095899">
            <w:pPr>
              <w:rPr>
                <w:rFonts w:ascii="Arial" w:hAnsi="Arial" w:cs="Arial"/>
                <w:bCs/>
                <w:iCs/>
                <w:sz w:val="20"/>
                <w:szCs w:val="20"/>
              </w:rPr>
            </w:pPr>
            <w:r>
              <w:rPr>
                <w:rFonts w:ascii="Arial" w:hAnsi="Arial" w:cs="Arial"/>
                <w:bCs/>
                <w:iCs/>
                <w:sz w:val="20"/>
                <w:szCs w:val="20"/>
              </w:rPr>
              <w:t>Insertion of a copper Intrauterine device (</w:t>
            </w:r>
            <w:r w:rsidR="00BF4CA0">
              <w:rPr>
                <w:rFonts w:ascii="Arial" w:hAnsi="Arial" w:cs="Arial"/>
                <w:bCs/>
                <w:iCs/>
                <w:sz w:val="20"/>
                <w:szCs w:val="20"/>
              </w:rPr>
              <w:t>Cu-</w:t>
            </w:r>
            <w:r>
              <w:rPr>
                <w:rFonts w:ascii="Arial" w:hAnsi="Arial" w:cs="Arial"/>
                <w:bCs/>
                <w:iCs/>
                <w:sz w:val="20"/>
                <w:szCs w:val="20"/>
              </w:rPr>
              <w:t xml:space="preserve">IUD) </w:t>
            </w:r>
          </w:p>
        </w:tc>
      </w:tr>
      <w:tr w:rsidR="008351E1" w14:paraId="1DA746F5" w14:textId="77777777" w:rsidTr="00C552F2">
        <w:tc>
          <w:tcPr>
            <w:tcW w:w="2192" w:type="dxa"/>
            <w:shd w:val="clear" w:color="auto" w:fill="D9D9D9" w:themeFill="background1" w:themeFillShade="D9"/>
          </w:tcPr>
          <w:p w14:paraId="421E1DA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included</w:t>
            </w:r>
          </w:p>
        </w:tc>
        <w:tc>
          <w:tcPr>
            <w:tcW w:w="6824" w:type="dxa"/>
          </w:tcPr>
          <w:p w14:paraId="18647F9D" w14:textId="4C5E4BD7" w:rsidR="000C4D7A" w:rsidRPr="00D00B34" w:rsidRDefault="00EA68EE" w:rsidP="000C4D7A">
            <w:pPr>
              <w:pStyle w:val="ListParagraph"/>
              <w:widowControl w:val="0"/>
              <w:numPr>
                <w:ilvl w:val="0"/>
                <w:numId w:val="10"/>
              </w:numPr>
              <w:tabs>
                <w:tab w:val="left" w:pos="235"/>
              </w:tabs>
              <w:autoSpaceDE w:val="0"/>
              <w:autoSpaceDN w:val="0"/>
              <w:spacing w:line="250" w:lineRule="exact"/>
              <w:jc w:val="both"/>
              <w:rPr>
                <w:rFonts w:ascii="Arial" w:eastAsia="Arial" w:hAnsi="Arial" w:cs="Arial"/>
                <w:sz w:val="20"/>
                <w:szCs w:val="20"/>
                <w:lang w:eastAsia="en-GB" w:bidi="en-GB"/>
              </w:rPr>
            </w:pPr>
            <w:r>
              <w:rPr>
                <w:rFonts w:ascii="Arial" w:eastAsia="Arial" w:hAnsi="Arial" w:cs="Arial"/>
                <w:sz w:val="20"/>
                <w:szCs w:val="20"/>
                <w:lang w:eastAsia="en-GB" w:bidi="en-GB"/>
              </w:rPr>
              <w:t xml:space="preserve">Individuals </w:t>
            </w:r>
            <w:r w:rsidR="00AB06DF">
              <w:rPr>
                <w:rFonts w:ascii="Arial" w:eastAsia="Arial" w:hAnsi="Arial" w:cs="Arial"/>
                <w:sz w:val="20"/>
                <w:szCs w:val="20"/>
                <w:lang w:eastAsia="en-GB" w:bidi="en-GB"/>
              </w:rPr>
              <w:t>from menarche to age 55 assessed as suitable for</w:t>
            </w:r>
            <w:r>
              <w:rPr>
                <w:rFonts w:ascii="Arial" w:eastAsia="Arial" w:hAnsi="Arial" w:cs="Arial"/>
                <w:sz w:val="20"/>
                <w:szCs w:val="20"/>
                <w:lang w:eastAsia="en-GB" w:bidi="en-GB"/>
              </w:rPr>
              <w:t xml:space="preserve"> a CU-IUD </w:t>
            </w:r>
            <w:r w:rsidR="00D73782">
              <w:rPr>
                <w:rFonts w:ascii="Arial" w:eastAsia="Arial" w:hAnsi="Arial" w:cs="Arial"/>
                <w:sz w:val="20"/>
                <w:szCs w:val="20"/>
                <w:lang w:eastAsia="en-GB" w:bidi="en-GB"/>
              </w:rPr>
              <w:t xml:space="preserve">as a long-acting reversible method of </w:t>
            </w:r>
            <w:r>
              <w:rPr>
                <w:rFonts w:ascii="Arial" w:eastAsia="Arial" w:hAnsi="Arial" w:cs="Arial"/>
                <w:sz w:val="20"/>
                <w:szCs w:val="20"/>
                <w:lang w:eastAsia="en-GB" w:bidi="en-GB"/>
              </w:rPr>
              <w:t>contraception.</w:t>
            </w:r>
            <w:r w:rsidR="00D73782">
              <w:rPr>
                <w:rFonts w:ascii="Arial" w:eastAsia="Arial" w:hAnsi="Arial" w:cs="Arial"/>
                <w:sz w:val="20"/>
                <w:szCs w:val="20"/>
                <w:lang w:eastAsia="en-GB" w:bidi="en-GB"/>
              </w:rPr>
              <w:t xml:space="preserve"> </w:t>
            </w:r>
          </w:p>
          <w:p w14:paraId="62806BBF" w14:textId="79E5A745" w:rsidR="008351E1" w:rsidRDefault="00EA68EE" w:rsidP="008351E1">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Pr>
                <w:rFonts w:ascii="Arial" w:eastAsia="Arial" w:hAnsi="Arial" w:cs="Arial"/>
                <w:sz w:val="20"/>
                <w:szCs w:val="20"/>
                <w:lang w:eastAsia="en-GB" w:bidi="en-GB"/>
              </w:rPr>
              <w:t xml:space="preserve">If an individual meets the eligibility criteria for </w:t>
            </w:r>
            <w:r w:rsidR="00D73782">
              <w:rPr>
                <w:rFonts w:ascii="Arial" w:eastAsia="Arial" w:hAnsi="Arial" w:cs="Arial"/>
                <w:sz w:val="20"/>
                <w:szCs w:val="20"/>
                <w:lang w:eastAsia="en-GB" w:bidi="en-GB"/>
              </w:rPr>
              <w:t>emergency contraception</w:t>
            </w:r>
          </w:p>
          <w:p w14:paraId="73B263B0" w14:textId="77777777" w:rsidR="00D73782" w:rsidRPr="00E647ED" w:rsidRDefault="00D73782" w:rsidP="00E647ED">
            <w:pPr>
              <w:pStyle w:val="ListParagraph"/>
              <w:widowControl w:val="0"/>
              <w:numPr>
                <w:ilvl w:val="0"/>
                <w:numId w:val="2"/>
              </w:numPr>
              <w:tabs>
                <w:tab w:val="left" w:pos="235"/>
              </w:tabs>
              <w:autoSpaceDE w:val="0"/>
              <w:autoSpaceDN w:val="0"/>
              <w:spacing w:line="250" w:lineRule="exact"/>
              <w:jc w:val="both"/>
              <w:rPr>
                <w:rFonts w:ascii="Arial" w:eastAsia="Arial" w:hAnsi="Arial" w:cs="Arial"/>
                <w:sz w:val="20"/>
                <w:szCs w:val="20"/>
                <w:lang w:eastAsia="en-GB" w:bidi="en-GB"/>
              </w:rPr>
            </w:pPr>
            <w:r w:rsidRPr="00D00B34">
              <w:rPr>
                <w:rFonts w:ascii="Arial" w:eastAsia="Arial" w:hAnsi="Arial" w:cs="Arial"/>
                <w:sz w:val="20"/>
                <w:szCs w:val="20"/>
                <w:lang w:eastAsia="en-GB" w:bidi="en-GB"/>
              </w:rPr>
              <w:t xml:space="preserve">Individual consents to treatment.  </w:t>
            </w:r>
          </w:p>
        </w:tc>
      </w:tr>
      <w:tr w:rsidR="008351E1" w14:paraId="4AE3B0A2" w14:textId="77777777" w:rsidTr="00C552F2">
        <w:tc>
          <w:tcPr>
            <w:tcW w:w="2192" w:type="dxa"/>
            <w:shd w:val="clear" w:color="auto" w:fill="D9D9D9" w:themeFill="background1" w:themeFillShade="D9"/>
          </w:tcPr>
          <w:p w14:paraId="3559EDC3"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Individuals excluded</w:t>
            </w:r>
          </w:p>
        </w:tc>
        <w:tc>
          <w:tcPr>
            <w:tcW w:w="6824" w:type="dxa"/>
          </w:tcPr>
          <w:p w14:paraId="560313A0"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Informed consent not given.  </w:t>
            </w:r>
          </w:p>
          <w:p w14:paraId="4F14CD65"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under 16 years of age and assessed as not competent using Fraser Guidelines.</w:t>
            </w:r>
          </w:p>
          <w:p w14:paraId="6C188796"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16 years of age and over and assessed as lacking capacity to consent.</w:t>
            </w:r>
          </w:p>
          <w:p w14:paraId="041674EA"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Risk of pregnancy (unless meeting the criteria for insertion as emergency contraception)</w:t>
            </w:r>
          </w:p>
          <w:p w14:paraId="6C8FEC61"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Any reported unprotected sexual intercourse (UPSI) within the last 3 weeks (unless meeting the criteria for insertion as emergency contraception). </w:t>
            </w:r>
          </w:p>
          <w:p w14:paraId="686C27FE"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Over 48 hours and less than 4 weeks postpartum (note the Cu-IUD can be fitted immediately post-partum, post termination of pregnancy, ectopic </w:t>
            </w:r>
            <w:proofErr w:type="gramStart"/>
            <w:r w:rsidRPr="00253B37">
              <w:rPr>
                <w:rFonts w:ascii="Arial" w:hAnsi="Arial" w:cs="Arial"/>
                <w:sz w:val="20"/>
                <w:szCs w:val="20"/>
              </w:rPr>
              <w:t>pregnancy</w:t>
            </w:r>
            <w:proofErr w:type="gramEnd"/>
            <w:r w:rsidRPr="00253B37">
              <w:rPr>
                <w:rFonts w:ascii="Arial" w:hAnsi="Arial" w:cs="Arial"/>
                <w:sz w:val="20"/>
                <w:szCs w:val="20"/>
              </w:rPr>
              <w:t xml:space="preserve"> or miscarriage)</w:t>
            </w:r>
          </w:p>
          <w:p w14:paraId="184724B3"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lastRenderedPageBreak/>
              <w:t>Postpartum sepsis</w:t>
            </w:r>
          </w:p>
          <w:p w14:paraId="7C57B04E"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Post-abortion sepsis</w:t>
            </w:r>
          </w:p>
          <w:p w14:paraId="4B1392E7"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Gestational trophoblastic disease with decreasing or, persistently elevated β-</w:t>
            </w:r>
            <w:proofErr w:type="spellStart"/>
            <w:r w:rsidRPr="00253B37">
              <w:rPr>
                <w:rFonts w:ascii="Arial" w:hAnsi="Arial" w:cs="Arial"/>
                <w:sz w:val="20"/>
                <w:szCs w:val="20"/>
              </w:rPr>
              <w:t>hCG</w:t>
            </w:r>
            <w:proofErr w:type="spellEnd"/>
            <w:r w:rsidRPr="00253B37">
              <w:rPr>
                <w:rFonts w:ascii="Arial" w:hAnsi="Arial" w:cs="Arial"/>
                <w:sz w:val="20"/>
                <w:szCs w:val="20"/>
              </w:rPr>
              <w:t xml:space="preserve"> levels or malignancy</w:t>
            </w:r>
          </w:p>
          <w:p w14:paraId="48F7776B" w14:textId="77777777" w:rsidR="00936A33" w:rsidRPr="00253B37" w:rsidRDefault="00936A33" w:rsidP="00936A33">
            <w:pPr>
              <w:widowControl w:val="0"/>
              <w:overflowPunct w:val="0"/>
              <w:autoSpaceDE w:val="0"/>
              <w:autoSpaceDN w:val="0"/>
              <w:adjustRightInd w:val="0"/>
              <w:textAlignment w:val="baseline"/>
              <w:rPr>
                <w:rFonts w:ascii="Arial" w:hAnsi="Arial" w:cs="Arial"/>
                <w:sz w:val="20"/>
                <w:szCs w:val="20"/>
              </w:rPr>
            </w:pPr>
          </w:p>
          <w:p w14:paraId="02BE9349"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Cardiovascular Disease</w:t>
            </w:r>
          </w:p>
          <w:p w14:paraId="64251868" w14:textId="77777777" w:rsidR="00936A33" w:rsidRPr="00253B37" w:rsidRDefault="00936A33" w:rsidP="00936A33">
            <w:pPr>
              <w:widowControl w:val="0"/>
              <w:numPr>
                <w:ilvl w:val="0"/>
                <w:numId w:val="1"/>
              </w:numPr>
              <w:rPr>
                <w:rFonts w:ascii="Arial" w:hAnsi="Arial" w:cs="Arial"/>
                <w:b/>
                <w:sz w:val="20"/>
                <w:szCs w:val="20"/>
              </w:rPr>
            </w:pPr>
            <w:r w:rsidRPr="00253B37">
              <w:rPr>
                <w:rFonts w:ascii="Arial" w:hAnsi="Arial" w:cs="Arial"/>
                <w:sz w:val="20"/>
                <w:szCs w:val="20"/>
              </w:rPr>
              <w:t xml:space="preserve">For individuals with pre-existing arrhythmia, Eisenmenger physiology, single ventricle (or Fontan) circulation, long QT syndrome or impaired ventricular function, a vasovagal reaction could pose a serious risk of a significant cardiac event and therefore IUC procedures should be undertaken in a hospital setting. </w:t>
            </w:r>
          </w:p>
          <w:p w14:paraId="7E263328" w14:textId="77777777" w:rsidR="00936A33" w:rsidRPr="00253B37" w:rsidRDefault="00936A33" w:rsidP="00936A33">
            <w:pPr>
              <w:widowControl w:val="0"/>
              <w:ind w:left="360"/>
              <w:rPr>
                <w:rFonts w:ascii="Arial" w:hAnsi="Arial" w:cs="Arial"/>
                <w:b/>
                <w:sz w:val="20"/>
                <w:szCs w:val="20"/>
              </w:rPr>
            </w:pPr>
          </w:p>
          <w:p w14:paraId="1A859386"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 xml:space="preserve">Cancers </w:t>
            </w:r>
          </w:p>
          <w:p w14:paraId="11793740"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Cervical cancer (initiation of Cu-IUD in patients awaiting treatment)</w:t>
            </w:r>
          </w:p>
          <w:p w14:paraId="7249553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Endometrial cancer (initiation of Cu-IUD)</w:t>
            </w:r>
          </w:p>
          <w:p w14:paraId="0257C77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Cervical cancer (resulting in radical trachelectomy)</w:t>
            </w:r>
          </w:p>
          <w:p w14:paraId="7C8C3D5A" w14:textId="77777777" w:rsidR="00936A33" w:rsidRPr="00253B37" w:rsidRDefault="00936A33" w:rsidP="00936A33">
            <w:pPr>
              <w:widowControl w:val="0"/>
              <w:overflowPunct w:val="0"/>
              <w:autoSpaceDE w:val="0"/>
              <w:autoSpaceDN w:val="0"/>
              <w:adjustRightInd w:val="0"/>
              <w:textAlignment w:val="baseline"/>
              <w:rPr>
                <w:rFonts w:ascii="Arial" w:hAnsi="Arial" w:cs="Arial"/>
                <w:sz w:val="20"/>
                <w:szCs w:val="20"/>
              </w:rPr>
            </w:pPr>
          </w:p>
          <w:p w14:paraId="2B1AA215"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Infections</w:t>
            </w:r>
          </w:p>
          <w:p w14:paraId="37C8B7E7"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Current or recurrent pelvic inflammatory disease (PID)</w:t>
            </w:r>
          </w:p>
          <w:p w14:paraId="2A43DC35" w14:textId="77777777" w:rsidR="00936A33" w:rsidRPr="00253B37" w:rsidRDefault="00B6653F" w:rsidP="00936A33">
            <w:pPr>
              <w:widowControl w:val="0"/>
              <w:numPr>
                <w:ilvl w:val="0"/>
                <w:numId w:val="1"/>
              </w:numPr>
              <w:rPr>
                <w:rFonts w:ascii="Arial" w:hAnsi="Arial" w:cs="Arial"/>
                <w:sz w:val="20"/>
                <w:szCs w:val="20"/>
              </w:rPr>
            </w:pPr>
            <w:r>
              <w:rPr>
                <w:rFonts w:ascii="Arial" w:hAnsi="Arial" w:cs="Arial"/>
                <w:sz w:val="20"/>
                <w:szCs w:val="20"/>
              </w:rPr>
              <w:t xml:space="preserve">Known current </w:t>
            </w:r>
            <w:r w:rsidR="00936A33" w:rsidRPr="00253B37">
              <w:rPr>
                <w:rFonts w:ascii="Arial" w:hAnsi="Arial" w:cs="Arial"/>
                <w:sz w:val="20"/>
                <w:szCs w:val="20"/>
              </w:rPr>
              <w:t xml:space="preserve">chlamydial </w:t>
            </w:r>
            <w:proofErr w:type="gramStart"/>
            <w:r w:rsidR="00936A33" w:rsidRPr="00253B37">
              <w:rPr>
                <w:rFonts w:ascii="Arial" w:hAnsi="Arial" w:cs="Arial"/>
                <w:sz w:val="20"/>
                <w:szCs w:val="20"/>
              </w:rPr>
              <w:t>infection</w:t>
            </w:r>
            <w:proofErr w:type="gramEnd"/>
            <w:r w:rsidR="00936A33" w:rsidRPr="00253B37">
              <w:rPr>
                <w:rFonts w:ascii="Arial" w:hAnsi="Arial" w:cs="Arial"/>
                <w:sz w:val="20"/>
                <w:szCs w:val="20"/>
              </w:rPr>
              <w:t xml:space="preserve"> </w:t>
            </w:r>
          </w:p>
          <w:p w14:paraId="08639514"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 xml:space="preserve">Known </w:t>
            </w:r>
            <w:proofErr w:type="spellStart"/>
            <w:r w:rsidRPr="00253B37">
              <w:rPr>
                <w:rFonts w:ascii="Arial" w:hAnsi="Arial" w:cs="Arial"/>
                <w:sz w:val="20"/>
                <w:szCs w:val="20"/>
              </w:rPr>
              <w:t>gonorrhoea</w:t>
            </w:r>
            <w:proofErr w:type="spellEnd"/>
            <w:r w:rsidRPr="00253B37">
              <w:rPr>
                <w:rFonts w:ascii="Arial" w:hAnsi="Arial" w:cs="Arial"/>
                <w:sz w:val="20"/>
                <w:szCs w:val="20"/>
              </w:rPr>
              <w:t xml:space="preserve"> </w:t>
            </w:r>
            <w:proofErr w:type="gramStart"/>
            <w:r w:rsidRPr="00253B37">
              <w:rPr>
                <w:rFonts w:ascii="Arial" w:hAnsi="Arial" w:cs="Arial"/>
                <w:sz w:val="20"/>
                <w:szCs w:val="20"/>
              </w:rPr>
              <w:t>infections</w:t>
            </w:r>
            <w:proofErr w:type="gramEnd"/>
            <w:r w:rsidRPr="00253B37">
              <w:rPr>
                <w:rFonts w:ascii="Arial" w:hAnsi="Arial" w:cs="Arial"/>
                <w:sz w:val="20"/>
                <w:szCs w:val="20"/>
              </w:rPr>
              <w:t xml:space="preserve"> </w:t>
            </w:r>
          </w:p>
          <w:p w14:paraId="6F5AE01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Current purulent cervicitis or vaginitis</w:t>
            </w:r>
          </w:p>
          <w:p w14:paraId="0C543C5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 xml:space="preserve">Known pelvic </w:t>
            </w:r>
            <w:proofErr w:type="gramStart"/>
            <w:r w:rsidRPr="00253B37">
              <w:rPr>
                <w:rFonts w:ascii="Arial" w:hAnsi="Arial" w:cs="Arial"/>
                <w:sz w:val="20"/>
                <w:szCs w:val="20"/>
              </w:rPr>
              <w:t>tuberculosis</w:t>
            </w:r>
            <w:proofErr w:type="gramEnd"/>
          </w:p>
          <w:p w14:paraId="169C5317"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HIV infection with CD4 &lt;200cells/mm</w:t>
            </w:r>
            <w:r w:rsidRPr="00253B37">
              <w:rPr>
                <w:rFonts w:ascii="Arial" w:hAnsi="Arial" w:cs="Arial"/>
                <w:sz w:val="20"/>
                <w:szCs w:val="20"/>
                <w:vertAlign w:val="superscript"/>
              </w:rPr>
              <w:t>3</w:t>
            </w:r>
          </w:p>
          <w:p w14:paraId="062C5FA4" w14:textId="77777777" w:rsidR="00936A33" w:rsidRPr="00253B37" w:rsidRDefault="00936A33" w:rsidP="00936A33">
            <w:pPr>
              <w:widowControl w:val="0"/>
              <w:rPr>
                <w:rFonts w:ascii="Arial" w:hAnsi="Arial" w:cs="Arial"/>
                <w:sz w:val="20"/>
                <w:szCs w:val="20"/>
              </w:rPr>
            </w:pPr>
          </w:p>
          <w:p w14:paraId="6F5DD896"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Anatomical abnormalities</w:t>
            </w:r>
          </w:p>
          <w:p w14:paraId="7E4AF3AA"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Distorted uterine cavity; congenital or acquired abnormality distorting the uterine cavity, including fibroids, incompatible with Cu-IUD insertion.</w:t>
            </w:r>
          </w:p>
          <w:p w14:paraId="1C72C6A8" w14:textId="77777777" w:rsidR="00936A33" w:rsidRPr="00253B37" w:rsidRDefault="00936A33" w:rsidP="00936A33">
            <w:pPr>
              <w:widowControl w:val="0"/>
              <w:rPr>
                <w:rFonts w:ascii="Arial" w:hAnsi="Arial" w:cs="Arial"/>
                <w:sz w:val="20"/>
                <w:szCs w:val="20"/>
              </w:rPr>
            </w:pPr>
          </w:p>
          <w:p w14:paraId="7A3BE548" w14:textId="77777777" w:rsidR="00936A33" w:rsidRPr="00253B37" w:rsidRDefault="00936A33" w:rsidP="00936A33">
            <w:pPr>
              <w:widowControl w:val="0"/>
              <w:rPr>
                <w:rFonts w:ascii="Arial" w:hAnsi="Arial" w:cs="Arial"/>
                <w:b/>
                <w:sz w:val="20"/>
                <w:szCs w:val="20"/>
              </w:rPr>
            </w:pPr>
            <w:r w:rsidRPr="00253B37">
              <w:rPr>
                <w:rFonts w:ascii="Arial" w:hAnsi="Arial" w:cs="Arial"/>
                <w:b/>
                <w:sz w:val="20"/>
                <w:szCs w:val="20"/>
              </w:rPr>
              <w:t>Other Conditions</w:t>
            </w:r>
          </w:p>
          <w:p w14:paraId="66D7FB95" w14:textId="77777777" w:rsidR="00936A33" w:rsidRPr="00253B37" w:rsidRDefault="00936A33" w:rsidP="00936A33">
            <w:pPr>
              <w:widowControl w:val="0"/>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Unexplained vaginal bleeding suspicious of a serious medical condition, present before commencing the </w:t>
            </w:r>
            <w:proofErr w:type="gramStart"/>
            <w:r w:rsidRPr="00253B37">
              <w:rPr>
                <w:rFonts w:ascii="Arial" w:hAnsi="Arial" w:cs="Arial"/>
                <w:sz w:val="20"/>
                <w:szCs w:val="20"/>
              </w:rPr>
              <w:t>method</w:t>
            </w:r>
            <w:proofErr w:type="gramEnd"/>
          </w:p>
          <w:p w14:paraId="06DB69DC" w14:textId="77777777" w:rsidR="00936A33" w:rsidRPr="00253B37" w:rsidRDefault="00936A33" w:rsidP="00936A33">
            <w:pPr>
              <w:widowControl w:val="0"/>
              <w:numPr>
                <w:ilvl w:val="0"/>
                <w:numId w:val="1"/>
              </w:numPr>
              <w:rPr>
                <w:rFonts w:ascii="Arial" w:hAnsi="Arial" w:cs="Arial"/>
                <w:sz w:val="20"/>
                <w:szCs w:val="20"/>
              </w:rPr>
            </w:pPr>
            <w:r w:rsidRPr="00253B37">
              <w:rPr>
                <w:rFonts w:ascii="Arial" w:hAnsi="Arial" w:cs="Arial"/>
                <w:sz w:val="20"/>
                <w:szCs w:val="20"/>
              </w:rPr>
              <w:t>Organ transplant with complications</w:t>
            </w:r>
          </w:p>
          <w:p w14:paraId="25FCE286" w14:textId="77777777" w:rsidR="00AD316F" w:rsidRDefault="00936A33" w:rsidP="00AD316F">
            <w:pPr>
              <w:widowControl w:val="0"/>
              <w:numPr>
                <w:ilvl w:val="0"/>
                <w:numId w:val="1"/>
              </w:numPr>
              <w:rPr>
                <w:rFonts w:ascii="Arial" w:hAnsi="Arial" w:cs="Arial"/>
                <w:sz w:val="20"/>
                <w:szCs w:val="20"/>
              </w:rPr>
            </w:pPr>
            <w:r w:rsidRPr="00253B37">
              <w:rPr>
                <w:rFonts w:ascii="Arial" w:hAnsi="Arial" w:cs="Arial"/>
                <w:sz w:val="20"/>
                <w:szCs w:val="20"/>
              </w:rPr>
              <w:t>Previous endometrial ablation</w:t>
            </w:r>
          </w:p>
          <w:p w14:paraId="484B833E" w14:textId="2BC454FB" w:rsidR="00AD316F" w:rsidRPr="00AD316F" w:rsidRDefault="00936A33" w:rsidP="00AD316F">
            <w:pPr>
              <w:widowControl w:val="0"/>
              <w:numPr>
                <w:ilvl w:val="0"/>
                <w:numId w:val="1"/>
              </w:numPr>
              <w:rPr>
                <w:rFonts w:ascii="Arial" w:hAnsi="Arial" w:cs="Arial"/>
                <w:sz w:val="20"/>
                <w:szCs w:val="20"/>
              </w:rPr>
            </w:pPr>
            <w:r w:rsidRPr="00AD316F">
              <w:rPr>
                <w:rFonts w:ascii="Arial" w:hAnsi="Arial" w:cs="Arial"/>
                <w:sz w:val="20"/>
                <w:szCs w:val="20"/>
              </w:rPr>
              <w:t>Individuals with Wilson’s disease</w:t>
            </w:r>
          </w:p>
          <w:p w14:paraId="218CB7EE" w14:textId="77777777" w:rsidR="00AD316F" w:rsidRDefault="00AD316F" w:rsidP="00AD316F">
            <w:pPr>
              <w:widowControl w:val="0"/>
              <w:tabs>
                <w:tab w:val="left" w:pos="235"/>
              </w:tabs>
              <w:autoSpaceDE w:val="0"/>
              <w:autoSpaceDN w:val="0"/>
              <w:spacing w:line="252" w:lineRule="exact"/>
              <w:rPr>
                <w:rFonts w:ascii="Arial" w:eastAsia="Arial" w:hAnsi="Arial" w:cs="Arial"/>
                <w:sz w:val="20"/>
                <w:szCs w:val="20"/>
                <w:lang w:eastAsia="en-GB" w:bidi="en-GB"/>
              </w:rPr>
            </w:pPr>
          </w:p>
          <w:p w14:paraId="50C5AF52" w14:textId="20791AFA" w:rsidR="00AD316F" w:rsidRPr="00AD316F" w:rsidRDefault="00AD316F" w:rsidP="00AD316F">
            <w:pPr>
              <w:widowControl w:val="0"/>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Refer to the  current FSRH CEU clinical guideline </w:t>
            </w:r>
            <w:hyperlink r:id="rId11" w:history="1">
              <w:r w:rsidRPr="004711FD">
                <w:rPr>
                  <w:rStyle w:val="Hyperlink"/>
                  <w:rFonts w:ascii="Arial" w:hAnsi="Arial" w:cs="Arial"/>
                  <w:sz w:val="20"/>
                  <w:szCs w:val="20"/>
                </w:rPr>
                <w:t>Intrauterine Contraception</w:t>
              </w:r>
            </w:hyperlink>
            <w:r w:rsidRPr="00253B37">
              <w:rPr>
                <w:rFonts w:ascii="Arial" w:hAnsi="Arial" w:cs="Arial"/>
                <w:sz w:val="20"/>
                <w:szCs w:val="20"/>
              </w:rPr>
              <w:t xml:space="preserve"> and clinical guidance ‘switching’ for specific guidance about starting and switching IUC</w:t>
            </w:r>
            <w:r>
              <w:rPr>
                <w:rFonts w:ascii="Arial" w:hAnsi="Arial" w:cs="Arial"/>
                <w:sz w:val="20"/>
                <w:szCs w:val="20"/>
              </w:rPr>
              <w:t>.</w:t>
            </w:r>
          </w:p>
        </w:tc>
      </w:tr>
      <w:tr w:rsidR="00EF2684" w14:paraId="00F03562" w14:textId="77777777" w:rsidTr="00C552F2">
        <w:tc>
          <w:tcPr>
            <w:tcW w:w="2192" w:type="dxa"/>
            <w:shd w:val="clear" w:color="auto" w:fill="D9D9D9" w:themeFill="background1" w:themeFillShade="D9"/>
          </w:tcPr>
          <w:p w14:paraId="1BFC1A82" w14:textId="7FC15539"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lastRenderedPageBreak/>
              <w:t>Cautions</w:t>
            </w:r>
            <w:r w:rsidR="00FC4332">
              <w:rPr>
                <w:rFonts w:ascii="Arial" w:eastAsia="Arial" w:hAnsi="Arial" w:cs="Arial"/>
                <w:b/>
                <w:bCs/>
                <w:sz w:val="20"/>
                <w:szCs w:val="20"/>
                <w:lang w:eastAsia="en-GB" w:bidi="en-GB"/>
              </w:rPr>
              <w:t xml:space="preserve"> (including actions required)</w:t>
            </w:r>
          </w:p>
        </w:tc>
        <w:tc>
          <w:tcPr>
            <w:tcW w:w="6824" w:type="dxa"/>
          </w:tcPr>
          <w:p w14:paraId="3191B708"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If the individual is less than 16 years of age an assessment based on Fraser guidelines must be made and documented. </w:t>
            </w:r>
          </w:p>
          <w:p w14:paraId="3E278486"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If the individual is less than 13 years of age the healthcare professional should speak to local safeguarding lead and follow the local safeguarding policy.</w:t>
            </w:r>
          </w:p>
          <w:p w14:paraId="0D13E19F"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Individuals taking anticoagulants or antiplatelets - refer to FSRH CEU Statement </w:t>
            </w:r>
            <w:hyperlink r:id="rId12" w:history="1">
              <w:r w:rsidRPr="00253B37">
                <w:rPr>
                  <w:rStyle w:val="Hyperlink"/>
                  <w:rFonts w:ascii="Arial" w:hAnsi="Arial" w:cs="Arial"/>
                  <w:sz w:val="20"/>
                  <w:szCs w:val="20"/>
                </w:rPr>
                <w:t>Management of women taking anticoagulants or antiplatelet medications who request intrauterine contraception or subdermal implants</w:t>
              </w:r>
            </w:hyperlink>
            <w:r w:rsidRPr="00253B37">
              <w:rPr>
                <w:rFonts w:ascii="Arial" w:hAnsi="Arial" w:cs="Arial"/>
                <w:sz w:val="20"/>
                <w:szCs w:val="20"/>
              </w:rPr>
              <w:t xml:space="preserve"> </w:t>
            </w:r>
          </w:p>
          <w:p w14:paraId="4EC35B8A" w14:textId="3A443359"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 xml:space="preserve">Liaison with an individual’s </w:t>
            </w:r>
            <w:proofErr w:type="spellStart"/>
            <w:r w:rsidR="00AD316F">
              <w:rPr>
                <w:rFonts w:ascii="Arial" w:hAnsi="Arial" w:cs="Arial"/>
                <w:sz w:val="20"/>
                <w:szCs w:val="20"/>
              </w:rPr>
              <w:t>multi disciplinary</w:t>
            </w:r>
            <w:proofErr w:type="spellEnd"/>
            <w:r w:rsidR="00AD316F">
              <w:rPr>
                <w:rFonts w:ascii="Arial" w:hAnsi="Arial" w:cs="Arial"/>
                <w:sz w:val="20"/>
                <w:szCs w:val="20"/>
              </w:rPr>
              <w:t xml:space="preserve"> team (</w:t>
            </w:r>
            <w:r w:rsidRPr="00253B37">
              <w:rPr>
                <w:rFonts w:ascii="Arial" w:hAnsi="Arial" w:cs="Arial"/>
                <w:sz w:val="20"/>
                <w:szCs w:val="20"/>
              </w:rPr>
              <w:t>MDT</w:t>
            </w:r>
            <w:r w:rsidR="00AD316F">
              <w:rPr>
                <w:rFonts w:ascii="Arial" w:hAnsi="Arial" w:cs="Arial"/>
                <w:sz w:val="20"/>
                <w:szCs w:val="20"/>
              </w:rPr>
              <w:t>)</w:t>
            </w:r>
            <w:r w:rsidRPr="00253B37">
              <w:rPr>
                <w:rFonts w:ascii="Arial" w:hAnsi="Arial" w:cs="Arial"/>
                <w:sz w:val="20"/>
                <w:szCs w:val="20"/>
              </w:rPr>
              <w:t xml:space="preserve"> or clinical specialist may be required with certain conditions (e.g. inherited bleeding disorders, cardiac disease, taking anticoagulants, Ehlers-Danlos syndromes (EDS), Postural tachycardia syndrome (</w:t>
            </w:r>
            <w:proofErr w:type="spellStart"/>
            <w:r w:rsidRPr="00253B37">
              <w:rPr>
                <w:rFonts w:ascii="Arial" w:hAnsi="Arial" w:cs="Arial"/>
                <w:sz w:val="20"/>
                <w:szCs w:val="20"/>
              </w:rPr>
              <w:t>PoTS</w:t>
            </w:r>
            <w:proofErr w:type="spellEnd"/>
            <w:r w:rsidRPr="00253B37">
              <w:rPr>
                <w:rFonts w:ascii="Arial" w:hAnsi="Arial" w:cs="Arial"/>
                <w:sz w:val="20"/>
                <w:szCs w:val="20"/>
              </w:rPr>
              <w:t>).</w:t>
            </w:r>
          </w:p>
          <w:p w14:paraId="379BA19D" w14:textId="77777777" w:rsidR="00936A33" w:rsidRPr="00253B37"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Individuals at risk of an adrenal crisis will usually need to increase their steroid dose prior to, and for 24 hours after, IUC insertion and should ideally have their IUC procedure scheduled for early morning.</w:t>
            </w:r>
          </w:p>
          <w:p w14:paraId="6893CDC3" w14:textId="77777777" w:rsidR="00936A33" w:rsidRPr="00F7141B" w:rsidRDefault="00936A33" w:rsidP="00936A33">
            <w:pPr>
              <w:numPr>
                <w:ilvl w:val="0"/>
                <w:numId w:val="1"/>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lastRenderedPageBreak/>
              <w:t xml:space="preserve">If an individual with </w:t>
            </w:r>
            <w:proofErr w:type="spellStart"/>
            <w:r w:rsidRPr="00253B37">
              <w:rPr>
                <w:rFonts w:ascii="Arial" w:hAnsi="Arial" w:cs="Arial"/>
                <w:sz w:val="20"/>
                <w:szCs w:val="20"/>
              </w:rPr>
              <w:t>PoTS</w:t>
            </w:r>
            <w:proofErr w:type="spellEnd"/>
            <w:r w:rsidRPr="00253B37">
              <w:rPr>
                <w:rFonts w:ascii="Arial" w:hAnsi="Arial" w:cs="Arial"/>
                <w:sz w:val="20"/>
                <w:szCs w:val="20"/>
              </w:rPr>
              <w:t xml:space="preserve"> has a history of postural syncope, advice should be sought from their cardiologist, as it may be </w:t>
            </w:r>
            <w:r w:rsidRPr="004D6604">
              <w:rPr>
                <w:rFonts w:ascii="Arial" w:hAnsi="Arial" w:cs="Arial"/>
                <w:sz w:val="20"/>
                <w:szCs w:val="20"/>
              </w:rPr>
              <w:t xml:space="preserve">recommended that insertion </w:t>
            </w:r>
            <w:r w:rsidRPr="00F7141B">
              <w:rPr>
                <w:rFonts w:ascii="Arial" w:hAnsi="Arial" w:cs="Arial"/>
                <w:sz w:val="20"/>
                <w:szCs w:val="20"/>
              </w:rPr>
              <w:t>should be undertaken in a hospital setting.</w:t>
            </w:r>
          </w:p>
          <w:p w14:paraId="361AF8B3" w14:textId="77777777" w:rsidR="00AD316F" w:rsidRPr="00AD316F" w:rsidRDefault="00936A33" w:rsidP="00AD316F">
            <w:pPr>
              <w:numPr>
                <w:ilvl w:val="0"/>
                <w:numId w:val="1"/>
              </w:numPr>
              <w:overflowPunct w:val="0"/>
              <w:autoSpaceDE w:val="0"/>
              <w:autoSpaceDN w:val="0"/>
              <w:adjustRightInd w:val="0"/>
              <w:textAlignment w:val="baseline"/>
              <w:rPr>
                <w:rFonts w:ascii="Arial" w:eastAsia="Arial" w:hAnsi="Arial" w:cs="Arial"/>
                <w:sz w:val="20"/>
                <w:szCs w:val="20"/>
                <w:lang w:eastAsia="en-GB" w:bidi="en-GB"/>
              </w:rPr>
            </w:pPr>
            <w:r w:rsidRPr="00F7141B">
              <w:rPr>
                <w:rFonts w:ascii="Arial" w:hAnsi="Arial" w:cs="Arial"/>
                <w:sz w:val="20"/>
                <w:szCs w:val="20"/>
              </w:rPr>
              <w:t xml:space="preserve">Individuals with cardiac arrhythmias (other than long QT) discuss with relevant clinician.  </w:t>
            </w:r>
          </w:p>
          <w:p w14:paraId="69B93341" w14:textId="7BDBB0CF" w:rsidR="00EF2684" w:rsidRPr="00D00B34" w:rsidRDefault="00936A33" w:rsidP="00AD316F">
            <w:pPr>
              <w:numPr>
                <w:ilvl w:val="0"/>
                <w:numId w:val="1"/>
              </w:numPr>
              <w:overflowPunct w:val="0"/>
              <w:autoSpaceDE w:val="0"/>
              <w:autoSpaceDN w:val="0"/>
              <w:adjustRightInd w:val="0"/>
              <w:textAlignment w:val="baseline"/>
              <w:rPr>
                <w:rFonts w:ascii="Arial" w:eastAsia="Arial" w:hAnsi="Arial" w:cs="Arial"/>
                <w:sz w:val="20"/>
                <w:szCs w:val="20"/>
                <w:lang w:eastAsia="en-GB" w:bidi="en-GB"/>
              </w:rPr>
            </w:pPr>
            <w:r w:rsidRPr="00253B37">
              <w:rPr>
                <w:rFonts w:ascii="Arial" w:hAnsi="Arial" w:cs="Arial"/>
                <w:sz w:val="20"/>
                <w:szCs w:val="20"/>
              </w:rPr>
              <w:t>Discuss with appropriate medical/independent non-medical prescriber any medical condition or medication of which the healthcare professional is unsure or uncertain</w:t>
            </w:r>
          </w:p>
        </w:tc>
      </w:tr>
      <w:tr w:rsidR="008351E1" w14:paraId="57188276" w14:textId="77777777" w:rsidTr="00C552F2">
        <w:tc>
          <w:tcPr>
            <w:tcW w:w="2192" w:type="dxa"/>
            <w:shd w:val="clear" w:color="auto" w:fill="D9D9D9" w:themeFill="background1" w:themeFillShade="D9"/>
          </w:tcPr>
          <w:p w14:paraId="1A3CB23E"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lastRenderedPageBreak/>
              <w:t>Action for individuals excluded</w:t>
            </w:r>
          </w:p>
        </w:tc>
        <w:tc>
          <w:tcPr>
            <w:tcW w:w="6824" w:type="dxa"/>
          </w:tcPr>
          <w:p w14:paraId="258EAC7F" w14:textId="77777777" w:rsidR="00936A33" w:rsidRPr="00253B37" w:rsidRDefault="00936A33" w:rsidP="00936A33">
            <w:pPr>
              <w:widowControl w:val="0"/>
              <w:numPr>
                <w:ilvl w:val="0"/>
                <w:numId w:val="14"/>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Explain the reasons for exclusion to the individual and document in the consultation record.</w:t>
            </w:r>
          </w:p>
          <w:p w14:paraId="6D7C5D69" w14:textId="77777777" w:rsidR="008351E1" w:rsidRPr="00E647ED" w:rsidRDefault="00936A33" w:rsidP="00E647ED">
            <w:pPr>
              <w:widowControl w:val="0"/>
              <w:numPr>
                <w:ilvl w:val="0"/>
                <w:numId w:val="14"/>
              </w:numPr>
              <w:overflowPunct w:val="0"/>
              <w:autoSpaceDE w:val="0"/>
              <w:autoSpaceDN w:val="0"/>
              <w:adjustRightInd w:val="0"/>
              <w:textAlignment w:val="baseline"/>
              <w:rPr>
                <w:rFonts w:ascii="Arial" w:hAnsi="Arial" w:cs="Arial"/>
                <w:sz w:val="20"/>
                <w:szCs w:val="20"/>
              </w:rPr>
            </w:pPr>
            <w:r w:rsidRPr="00253B37">
              <w:rPr>
                <w:rFonts w:ascii="Arial" w:hAnsi="Arial" w:cs="Arial"/>
                <w:sz w:val="20"/>
                <w:szCs w:val="20"/>
              </w:rPr>
              <w:t>Record reason for decline in the consultation record.</w:t>
            </w:r>
          </w:p>
        </w:tc>
      </w:tr>
      <w:tr w:rsidR="008351E1" w14:paraId="2C9FED5F" w14:textId="77777777" w:rsidTr="00C552F2">
        <w:tc>
          <w:tcPr>
            <w:tcW w:w="2192" w:type="dxa"/>
            <w:shd w:val="clear" w:color="auto" w:fill="D9D9D9" w:themeFill="background1" w:themeFillShade="D9"/>
          </w:tcPr>
          <w:p w14:paraId="6251CE18" w14:textId="77777777" w:rsidR="008351E1" w:rsidRPr="00D00B34" w:rsidRDefault="008351E1" w:rsidP="00095899">
            <w:pPr>
              <w:rPr>
                <w:rFonts w:ascii="Arial" w:hAnsi="Arial" w:cs="Arial"/>
                <w:b/>
                <w:bCs/>
                <w:i/>
                <w:sz w:val="20"/>
                <w:szCs w:val="20"/>
              </w:rPr>
            </w:pPr>
            <w:r w:rsidRPr="00D00B34">
              <w:rPr>
                <w:rFonts w:ascii="Arial" w:eastAsia="Arial" w:hAnsi="Arial" w:cs="Arial"/>
                <w:b/>
                <w:bCs/>
                <w:sz w:val="20"/>
                <w:szCs w:val="20"/>
                <w:lang w:eastAsia="en-GB" w:bidi="en-GB"/>
              </w:rPr>
              <w:t xml:space="preserve">Action if individual declines treatment </w:t>
            </w:r>
          </w:p>
        </w:tc>
        <w:tc>
          <w:tcPr>
            <w:tcW w:w="6824" w:type="dxa"/>
          </w:tcPr>
          <w:p w14:paraId="775C57C4" w14:textId="77777777" w:rsidR="008351E1" w:rsidRPr="00D00B34" w:rsidRDefault="00BD4344" w:rsidP="00095899">
            <w:pPr>
              <w:rPr>
                <w:rFonts w:ascii="Arial" w:hAnsi="Arial" w:cs="Arial"/>
                <w:b/>
                <w:iCs/>
                <w:sz w:val="20"/>
                <w:szCs w:val="20"/>
              </w:rPr>
            </w:pPr>
            <w:r w:rsidRPr="0080387B">
              <w:rPr>
                <w:rFonts w:ascii="Arial" w:hAnsi="Arial" w:cs="Arial"/>
                <w:sz w:val="20"/>
                <w:szCs w:val="20"/>
              </w:rPr>
              <w:t>Where required refer the individual to a suitable health service provider if appropriate and/or provide them with information about further options</w:t>
            </w:r>
          </w:p>
        </w:tc>
      </w:tr>
      <w:tr w:rsidR="008351E1" w14:paraId="630DD76C" w14:textId="77777777" w:rsidTr="00C552F2">
        <w:tc>
          <w:tcPr>
            <w:tcW w:w="9016" w:type="dxa"/>
            <w:gridSpan w:val="2"/>
            <w:shd w:val="clear" w:color="auto" w:fill="BFBFBF" w:themeFill="background1" w:themeFillShade="BF"/>
          </w:tcPr>
          <w:p w14:paraId="0E621009" w14:textId="77777777" w:rsidR="008351E1" w:rsidRPr="00D00B34" w:rsidRDefault="008351E1" w:rsidP="00095899">
            <w:pPr>
              <w:rPr>
                <w:rFonts w:ascii="Arial" w:hAnsi="Arial" w:cs="Arial"/>
                <w:b/>
                <w:bCs/>
                <w:i/>
                <w:sz w:val="20"/>
                <w:szCs w:val="20"/>
              </w:rPr>
            </w:pPr>
            <w:bookmarkStart w:id="2" w:name="_Hlk171695781"/>
            <w:r w:rsidRPr="00D00B34">
              <w:rPr>
                <w:rFonts w:ascii="Arial" w:eastAsia="Arial" w:hAnsi="Arial" w:cs="Arial"/>
                <w:b/>
                <w:bCs/>
                <w:sz w:val="20"/>
                <w:szCs w:val="20"/>
                <w:lang w:eastAsia="en-GB" w:bidi="en-GB"/>
              </w:rPr>
              <w:t>3. Description of treatment</w:t>
            </w:r>
          </w:p>
        </w:tc>
      </w:tr>
      <w:tr w:rsidR="008351E1" w14:paraId="6773D02E" w14:textId="77777777" w:rsidTr="00C552F2">
        <w:tc>
          <w:tcPr>
            <w:tcW w:w="2192" w:type="dxa"/>
            <w:shd w:val="clear" w:color="auto" w:fill="D9D9D9" w:themeFill="background1" w:themeFillShade="D9"/>
          </w:tcPr>
          <w:p w14:paraId="5022D5C5" w14:textId="77777777" w:rsidR="008351E1" w:rsidRDefault="0027276A" w:rsidP="00095899">
            <w:pPr>
              <w:rPr>
                <w:rFonts w:ascii="Arial" w:eastAsia="Arial" w:hAnsi="Arial" w:cs="Arial"/>
                <w:b/>
                <w:bCs/>
                <w:sz w:val="20"/>
                <w:szCs w:val="20"/>
                <w:lang w:eastAsia="en-GB" w:bidi="en-GB"/>
              </w:rPr>
            </w:pPr>
            <w:r>
              <w:rPr>
                <w:rFonts w:ascii="Arial" w:eastAsia="Arial" w:hAnsi="Arial" w:cs="Arial"/>
                <w:b/>
                <w:bCs/>
                <w:sz w:val="20"/>
                <w:szCs w:val="20"/>
                <w:lang w:eastAsia="en-GB" w:bidi="en-GB"/>
              </w:rPr>
              <w:t>Name of device</w:t>
            </w:r>
          </w:p>
          <w:p w14:paraId="250E463E" w14:textId="31094265" w:rsidR="00E74373" w:rsidRPr="00E74373" w:rsidRDefault="00E74373" w:rsidP="00095899">
            <w:pPr>
              <w:rPr>
                <w:rFonts w:ascii="Arial" w:hAnsi="Arial" w:cs="Arial"/>
                <w:iCs/>
                <w:sz w:val="20"/>
                <w:szCs w:val="20"/>
              </w:rPr>
            </w:pPr>
            <w:r>
              <w:rPr>
                <w:rFonts w:ascii="Arial" w:eastAsia="Arial" w:hAnsi="Arial" w:cs="Arial"/>
                <w:iCs/>
                <w:sz w:val="20"/>
                <w:szCs w:val="20"/>
                <w:lang w:eastAsia="en-GB" w:bidi="en-GB"/>
              </w:rPr>
              <w:t>(product list may not be exhaustive</w:t>
            </w:r>
            <w:r w:rsidR="002E714E">
              <w:rPr>
                <w:rFonts w:ascii="Arial" w:eastAsia="Arial" w:hAnsi="Arial" w:cs="Arial"/>
                <w:iCs/>
                <w:sz w:val="20"/>
                <w:szCs w:val="20"/>
                <w:lang w:eastAsia="en-GB" w:bidi="en-GB"/>
              </w:rPr>
              <w:t xml:space="preserve"> – amend to reflect local product(s) held</w:t>
            </w:r>
            <w:r>
              <w:rPr>
                <w:rFonts w:ascii="Arial" w:eastAsia="Arial" w:hAnsi="Arial" w:cs="Arial"/>
                <w:iCs/>
                <w:sz w:val="20"/>
                <w:szCs w:val="20"/>
                <w:lang w:eastAsia="en-GB" w:bidi="en-GB"/>
              </w:rPr>
              <w:t>)</w:t>
            </w:r>
          </w:p>
        </w:tc>
        <w:tc>
          <w:tcPr>
            <w:tcW w:w="6824" w:type="dxa"/>
          </w:tcPr>
          <w:p w14:paraId="152A84F0" w14:textId="7DDE4DC4" w:rsidR="0027276A" w:rsidRPr="00B63C43"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banded copper arms:</w:t>
            </w:r>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Copper T380 A®, T-Safe® </w:t>
            </w:r>
            <w:r w:rsidRPr="00AD316F">
              <w:rPr>
                <w:rFonts w:ascii="Arial" w:hAnsi="Arial" w:cs="Arial"/>
                <w:sz w:val="20"/>
                <w:szCs w:val="20"/>
                <w:highlight w:val="yellow"/>
              </w:rPr>
              <w:t>380A QL,</w:t>
            </w:r>
            <w:r w:rsidR="00516F98">
              <w:rPr>
                <w:rFonts w:ascii="Arial" w:hAnsi="Arial" w:cs="Arial"/>
                <w:sz w:val="20"/>
                <w:szCs w:val="20"/>
                <w:highlight w:val="yellow"/>
              </w:rPr>
              <w:br/>
            </w:r>
            <w:r w:rsidRPr="00AD316F">
              <w:rPr>
                <w:rFonts w:ascii="Arial" w:hAnsi="Arial" w:cs="Arial"/>
                <w:sz w:val="20"/>
                <w:szCs w:val="20"/>
                <w:highlight w:val="yellow"/>
              </w:rPr>
              <w:t xml:space="preserve"> </w:t>
            </w:r>
            <w:bookmarkStart w:id="3" w:name="_Hlk171695981"/>
            <w:r w:rsidRPr="00AD316F">
              <w:rPr>
                <w:rFonts w:ascii="Arial" w:hAnsi="Arial" w:cs="Arial"/>
                <w:sz w:val="20"/>
                <w:szCs w:val="20"/>
                <w:highlight w:val="yellow"/>
              </w:rPr>
              <w:t>T-Safe®380 A</w:t>
            </w:r>
            <w:bookmarkEnd w:id="3"/>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Flexi-T®+ 380, </w:t>
            </w:r>
            <w:r w:rsidR="00EE695A" w:rsidRPr="00B63C43">
              <w:rPr>
                <w:rFonts w:ascii="Arial" w:hAnsi="Arial" w:cs="Arial"/>
                <w:sz w:val="20"/>
                <w:szCs w:val="20"/>
                <w:highlight w:val="yellow"/>
              </w:rPr>
              <w:t>TT 380® Slimline,</w:t>
            </w:r>
            <w:r w:rsidR="00EE695A">
              <w:rPr>
                <w:rFonts w:ascii="Arial" w:hAnsi="Arial" w:cs="Arial"/>
                <w:sz w:val="20"/>
                <w:szCs w:val="20"/>
                <w:highlight w:val="yellow"/>
              </w:rPr>
              <w:t xml:space="preserve"> </w:t>
            </w:r>
            <w:r w:rsidRPr="00B63C43">
              <w:rPr>
                <w:rFonts w:ascii="Arial" w:hAnsi="Arial" w:cs="Arial"/>
                <w:sz w:val="20"/>
                <w:szCs w:val="20"/>
                <w:highlight w:val="yellow"/>
              </w:rPr>
              <w:t xml:space="preserve">Mini TT380® </w:t>
            </w:r>
            <w:proofErr w:type="gramStart"/>
            <w:r w:rsidRPr="00B63C43">
              <w:rPr>
                <w:rFonts w:ascii="Arial" w:hAnsi="Arial" w:cs="Arial"/>
                <w:sz w:val="20"/>
                <w:szCs w:val="20"/>
                <w:highlight w:val="yellow"/>
              </w:rPr>
              <w:t>Slimline</w:t>
            </w:r>
            <w:proofErr w:type="gramEnd"/>
          </w:p>
          <w:p w14:paraId="5F66234E" w14:textId="77777777" w:rsidR="005640E1"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copper in stem only:</w:t>
            </w:r>
            <w:r w:rsidRPr="00AD316F">
              <w:rPr>
                <w:rFonts w:ascii="Arial" w:hAnsi="Arial" w:cs="Arial"/>
                <w:sz w:val="20"/>
                <w:szCs w:val="20"/>
                <w:highlight w:val="yellow"/>
              </w:rPr>
              <w:t xml:space="preserve"> </w:t>
            </w:r>
            <w:r w:rsidRPr="00B63C43">
              <w:rPr>
                <w:rFonts w:ascii="Arial" w:hAnsi="Arial" w:cs="Arial"/>
                <w:sz w:val="20"/>
                <w:szCs w:val="20"/>
                <w:highlight w:val="yellow"/>
              </w:rPr>
              <w:t xml:space="preserve">Nova-T®380, UT380 Standard®, </w:t>
            </w:r>
          </w:p>
          <w:p w14:paraId="1B3AA46F" w14:textId="6C654BE3" w:rsidR="0027276A" w:rsidRPr="002E714E"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B63C43">
              <w:rPr>
                <w:rFonts w:ascii="Arial" w:hAnsi="Arial" w:cs="Arial"/>
                <w:sz w:val="20"/>
                <w:szCs w:val="20"/>
                <w:highlight w:val="yellow"/>
              </w:rPr>
              <w:t>Neo-</w:t>
            </w:r>
            <w:r w:rsidRPr="00AD316F">
              <w:rPr>
                <w:rFonts w:ascii="Arial" w:hAnsi="Arial" w:cs="Arial"/>
                <w:sz w:val="20"/>
                <w:szCs w:val="20"/>
                <w:highlight w:val="yellow"/>
              </w:rPr>
              <w:t xml:space="preserve">Safe®T380, </w:t>
            </w:r>
            <w:proofErr w:type="spellStart"/>
            <w:r w:rsidR="0098673B" w:rsidRPr="002E714E">
              <w:rPr>
                <w:rFonts w:ascii="Arial" w:hAnsi="Arial" w:cs="Arial"/>
                <w:sz w:val="20"/>
                <w:szCs w:val="20"/>
                <w:highlight w:val="yellow"/>
              </w:rPr>
              <w:t>Eurogine</w:t>
            </w:r>
            <w:proofErr w:type="spellEnd"/>
            <w:r w:rsidR="0098673B" w:rsidRPr="002E714E">
              <w:rPr>
                <w:rFonts w:ascii="Arial" w:hAnsi="Arial" w:cs="Arial"/>
                <w:sz w:val="20"/>
                <w:szCs w:val="20"/>
                <w:highlight w:val="yellow"/>
              </w:rPr>
              <w:t xml:space="preserve"> (</w:t>
            </w:r>
            <w:proofErr w:type="spellStart"/>
            <w:r w:rsidRPr="002E714E">
              <w:rPr>
                <w:rFonts w:ascii="Arial" w:hAnsi="Arial" w:cs="Arial"/>
                <w:sz w:val="20"/>
                <w:szCs w:val="20"/>
                <w:highlight w:val="yellow"/>
              </w:rPr>
              <w:t>Novaplus</w:t>
            </w:r>
            <w:proofErr w:type="spellEnd"/>
            <w:r w:rsidR="0098673B" w:rsidRPr="002E714E">
              <w:rPr>
                <w:rFonts w:ascii="Arial" w:hAnsi="Arial" w:cs="Arial"/>
                <w:sz w:val="20"/>
                <w:szCs w:val="20"/>
                <w:highlight w:val="yellow"/>
              </w:rPr>
              <w:t>)</w:t>
            </w:r>
            <w:r w:rsidRPr="002E714E">
              <w:rPr>
                <w:rFonts w:ascii="Arial" w:hAnsi="Arial" w:cs="Arial"/>
                <w:sz w:val="20"/>
                <w:szCs w:val="20"/>
                <w:highlight w:val="yellow"/>
              </w:rPr>
              <w:t xml:space="preserve"> T 380® Cu, </w:t>
            </w:r>
            <w:proofErr w:type="spellStart"/>
            <w:r w:rsidR="0098673B" w:rsidRPr="002E714E">
              <w:rPr>
                <w:rFonts w:ascii="Arial" w:hAnsi="Arial" w:cs="Arial"/>
                <w:sz w:val="20"/>
                <w:szCs w:val="20"/>
                <w:highlight w:val="yellow"/>
              </w:rPr>
              <w:t>Eurogine</w:t>
            </w:r>
            <w:proofErr w:type="spellEnd"/>
            <w:r w:rsidR="0098673B" w:rsidRPr="002E714E">
              <w:rPr>
                <w:rFonts w:ascii="Arial" w:hAnsi="Arial" w:cs="Arial"/>
                <w:sz w:val="20"/>
                <w:szCs w:val="20"/>
                <w:highlight w:val="yellow"/>
              </w:rPr>
              <w:t xml:space="preserve"> (</w:t>
            </w:r>
            <w:proofErr w:type="spellStart"/>
            <w:r w:rsidR="0098673B" w:rsidRPr="002E714E">
              <w:rPr>
                <w:rFonts w:ascii="Arial" w:hAnsi="Arial" w:cs="Arial"/>
                <w:sz w:val="20"/>
                <w:szCs w:val="20"/>
                <w:highlight w:val="yellow"/>
              </w:rPr>
              <w:t>Novaplus</w:t>
            </w:r>
            <w:proofErr w:type="spellEnd"/>
            <w:r w:rsidR="0098673B" w:rsidRPr="002E714E">
              <w:rPr>
                <w:rFonts w:ascii="Arial" w:hAnsi="Arial" w:cs="Arial"/>
                <w:sz w:val="20"/>
                <w:szCs w:val="20"/>
                <w:highlight w:val="yellow"/>
              </w:rPr>
              <w:t>)</w:t>
            </w:r>
            <w:r w:rsidRPr="002E714E">
              <w:rPr>
                <w:rFonts w:ascii="Arial" w:hAnsi="Arial" w:cs="Arial"/>
                <w:sz w:val="20"/>
                <w:szCs w:val="20"/>
                <w:highlight w:val="yellow"/>
              </w:rPr>
              <w:t xml:space="preserve"> </w:t>
            </w:r>
            <w:bookmarkStart w:id="4" w:name="_Hlk171696005"/>
            <w:r w:rsidRPr="002E714E">
              <w:rPr>
                <w:rFonts w:ascii="Arial" w:hAnsi="Arial" w:cs="Arial"/>
                <w:sz w:val="20"/>
                <w:szCs w:val="20"/>
                <w:highlight w:val="yellow"/>
              </w:rPr>
              <w:t>T 380® Cu ‘mini’</w:t>
            </w:r>
            <w:bookmarkEnd w:id="4"/>
            <w:r w:rsidRPr="002E714E">
              <w:rPr>
                <w:rFonts w:ascii="Arial" w:hAnsi="Arial" w:cs="Arial"/>
                <w:sz w:val="20"/>
                <w:szCs w:val="20"/>
                <w:highlight w:val="yellow"/>
              </w:rPr>
              <w:t>, UT380 Short®, Multiload® Cu375, Multi-Safe®375, Ancora®375 Cu, Load®375, Flexi-T®300</w:t>
            </w:r>
          </w:p>
          <w:p w14:paraId="6E0BA44A" w14:textId="77777777" w:rsidR="000E38A7" w:rsidRPr="002E714E" w:rsidRDefault="0027276A" w:rsidP="0027276A">
            <w:p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Frameless:</w:t>
            </w:r>
            <w:r w:rsidRPr="002E714E">
              <w:rPr>
                <w:rFonts w:ascii="Arial" w:hAnsi="Arial" w:cs="Arial"/>
                <w:sz w:val="20"/>
                <w:szCs w:val="20"/>
                <w:highlight w:val="yellow"/>
              </w:rPr>
              <w:t xml:space="preserve"> GyneFix®330, GyneFix®200</w:t>
            </w:r>
            <w:r w:rsidRPr="002E714E">
              <w:rPr>
                <w:rFonts w:ascii="Arial" w:hAnsi="Arial" w:cs="Arial"/>
                <w:sz w:val="20"/>
                <w:szCs w:val="20"/>
                <w:highlight w:val="yellow"/>
              </w:rPr>
              <w:cr/>
            </w:r>
            <w:r w:rsidR="000E38A7" w:rsidRPr="002E714E">
              <w:rPr>
                <w:rFonts w:ascii="Arial" w:hAnsi="Arial" w:cs="Arial"/>
                <w:sz w:val="20"/>
                <w:szCs w:val="20"/>
                <w:highlight w:val="yellow"/>
              </w:rPr>
              <w:t xml:space="preserve">Insertion technique is different for the </w:t>
            </w:r>
            <w:proofErr w:type="spellStart"/>
            <w:r w:rsidR="000E38A7" w:rsidRPr="002E714E">
              <w:rPr>
                <w:rFonts w:ascii="Arial" w:hAnsi="Arial" w:cs="Arial"/>
                <w:sz w:val="20"/>
                <w:szCs w:val="20"/>
                <w:highlight w:val="yellow"/>
              </w:rPr>
              <w:t>GynaeFix</w:t>
            </w:r>
            <w:proofErr w:type="spellEnd"/>
            <w:r w:rsidR="000E38A7" w:rsidRPr="002E714E">
              <w:rPr>
                <w:rFonts w:ascii="Arial" w:hAnsi="Arial" w:cs="Arial"/>
                <w:sz w:val="20"/>
                <w:szCs w:val="20"/>
                <w:highlight w:val="yellow"/>
              </w:rPr>
              <w:t xml:space="preserve"> therefore specific training is required.</w:t>
            </w:r>
          </w:p>
          <w:p w14:paraId="33C30779" w14:textId="265BCFC5" w:rsidR="0027276A" w:rsidRPr="002E714E" w:rsidRDefault="0027276A" w:rsidP="0027276A">
            <w:pPr>
              <w:overflowPunct w:val="0"/>
              <w:autoSpaceDE w:val="0"/>
              <w:autoSpaceDN w:val="0"/>
              <w:adjustRightInd w:val="0"/>
              <w:contextualSpacing/>
              <w:textAlignment w:val="baseline"/>
              <w:rPr>
                <w:rFonts w:ascii="Arial" w:hAnsi="Arial" w:cs="Arial"/>
                <w:sz w:val="20"/>
                <w:szCs w:val="20"/>
              </w:rPr>
            </w:pPr>
            <w:r w:rsidRPr="002E714E">
              <w:rPr>
                <w:rFonts w:ascii="Arial" w:hAnsi="Arial" w:cs="Arial"/>
                <w:b/>
                <w:bCs/>
                <w:sz w:val="20"/>
                <w:szCs w:val="20"/>
                <w:highlight w:val="yellow"/>
              </w:rPr>
              <w:t>Silver IUD:</w:t>
            </w:r>
            <w:r w:rsidRPr="002E714E">
              <w:rPr>
                <w:rFonts w:ascii="Arial" w:hAnsi="Arial" w:cs="Arial"/>
                <w:sz w:val="20"/>
                <w:szCs w:val="20"/>
                <w:highlight w:val="yellow"/>
              </w:rPr>
              <w:t xml:space="preserve"> </w:t>
            </w:r>
            <w:proofErr w:type="spellStart"/>
            <w:r w:rsidR="0098673B" w:rsidRPr="002E714E">
              <w:rPr>
                <w:rFonts w:ascii="Arial" w:hAnsi="Arial" w:cs="Arial"/>
                <w:sz w:val="20"/>
                <w:szCs w:val="20"/>
                <w:highlight w:val="yellow"/>
              </w:rPr>
              <w:t>Eurogine</w:t>
            </w:r>
            <w:proofErr w:type="spellEnd"/>
            <w:r w:rsidR="0098673B" w:rsidRPr="002E714E">
              <w:rPr>
                <w:rFonts w:ascii="Arial" w:hAnsi="Arial" w:cs="Arial"/>
                <w:sz w:val="20"/>
                <w:szCs w:val="20"/>
                <w:highlight w:val="yellow"/>
              </w:rPr>
              <w:t xml:space="preserve"> (</w:t>
            </w:r>
            <w:proofErr w:type="spellStart"/>
            <w:r w:rsidR="0098673B" w:rsidRPr="002E714E">
              <w:rPr>
                <w:rFonts w:ascii="Arial" w:hAnsi="Arial" w:cs="Arial"/>
                <w:sz w:val="20"/>
                <w:szCs w:val="20"/>
                <w:highlight w:val="yellow"/>
              </w:rPr>
              <w:t>Novaplus</w:t>
            </w:r>
            <w:proofErr w:type="spellEnd"/>
            <w:r w:rsidR="0098673B" w:rsidRPr="002E714E">
              <w:rPr>
                <w:rFonts w:ascii="Arial" w:hAnsi="Arial" w:cs="Arial"/>
                <w:sz w:val="20"/>
                <w:szCs w:val="20"/>
                <w:highlight w:val="yellow"/>
              </w:rPr>
              <w:t>)</w:t>
            </w:r>
            <w:r w:rsidRPr="002E714E">
              <w:rPr>
                <w:rFonts w:ascii="Arial" w:hAnsi="Arial" w:cs="Arial"/>
                <w:sz w:val="20"/>
                <w:szCs w:val="20"/>
                <w:highlight w:val="yellow"/>
              </w:rPr>
              <w:t xml:space="preserve"> T380® Ag</w:t>
            </w:r>
            <w:r w:rsidR="005640E1" w:rsidRPr="002E714E">
              <w:rPr>
                <w:rFonts w:ascii="Arial" w:hAnsi="Arial" w:cs="Arial"/>
                <w:sz w:val="20"/>
                <w:szCs w:val="20"/>
                <w:highlight w:val="yellow"/>
              </w:rPr>
              <w:t xml:space="preserve">, </w:t>
            </w:r>
            <w:proofErr w:type="spellStart"/>
            <w:r w:rsidR="005640E1" w:rsidRPr="002E714E">
              <w:rPr>
                <w:rFonts w:ascii="Arial" w:hAnsi="Arial" w:cs="Arial"/>
                <w:sz w:val="20"/>
                <w:szCs w:val="20"/>
                <w:highlight w:val="yellow"/>
              </w:rPr>
              <w:t>Eurogine</w:t>
            </w:r>
            <w:proofErr w:type="spellEnd"/>
            <w:r w:rsidR="005640E1" w:rsidRPr="002E714E">
              <w:rPr>
                <w:rFonts w:ascii="Arial" w:hAnsi="Arial" w:cs="Arial"/>
                <w:sz w:val="20"/>
                <w:szCs w:val="20"/>
                <w:highlight w:val="yellow"/>
              </w:rPr>
              <w:t xml:space="preserve"> (</w:t>
            </w:r>
            <w:proofErr w:type="spellStart"/>
            <w:r w:rsidR="005640E1" w:rsidRPr="002E714E">
              <w:rPr>
                <w:rFonts w:ascii="Arial" w:hAnsi="Arial" w:cs="Arial"/>
                <w:sz w:val="20"/>
                <w:szCs w:val="20"/>
                <w:highlight w:val="yellow"/>
              </w:rPr>
              <w:t>Novaplus</w:t>
            </w:r>
            <w:proofErr w:type="spellEnd"/>
            <w:r w:rsidR="005640E1" w:rsidRPr="002E714E">
              <w:rPr>
                <w:rFonts w:ascii="Arial" w:hAnsi="Arial" w:cs="Arial"/>
                <w:sz w:val="20"/>
                <w:szCs w:val="20"/>
                <w:highlight w:val="yellow"/>
              </w:rPr>
              <w:t>) T380® Ag mini</w:t>
            </w:r>
          </w:p>
          <w:p w14:paraId="5C027BEE" w14:textId="77777777" w:rsidR="0027276A" w:rsidRPr="00253B37" w:rsidRDefault="0027276A" w:rsidP="0027276A">
            <w:pPr>
              <w:overflowPunct w:val="0"/>
              <w:autoSpaceDE w:val="0"/>
              <w:autoSpaceDN w:val="0"/>
              <w:adjustRightInd w:val="0"/>
              <w:contextualSpacing/>
              <w:textAlignment w:val="baseline"/>
              <w:rPr>
                <w:rFonts w:ascii="Arial" w:hAnsi="Arial" w:cs="Arial"/>
                <w:sz w:val="20"/>
                <w:szCs w:val="20"/>
              </w:rPr>
            </w:pPr>
          </w:p>
          <w:p w14:paraId="09A704E7" w14:textId="2BBF209D" w:rsidR="00EF2684" w:rsidRPr="00D00B34" w:rsidRDefault="0027276A" w:rsidP="00AD316F">
            <w:pPr>
              <w:overflowPunct w:val="0"/>
              <w:autoSpaceDE w:val="0"/>
              <w:autoSpaceDN w:val="0"/>
              <w:adjustRightInd w:val="0"/>
              <w:contextualSpacing/>
              <w:textAlignment w:val="baseline"/>
              <w:rPr>
                <w:rFonts w:ascii="Arial" w:eastAsia="Arial" w:hAnsi="Arial" w:cs="Arial"/>
                <w:sz w:val="20"/>
                <w:szCs w:val="20"/>
                <w:lang w:eastAsia="en-GB" w:bidi="en-GB"/>
              </w:rPr>
            </w:pPr>
            <w:r w:rsidRPr="00AD316F">
              <w:rPr>
                <w:rFonts w:ascii="Arial" w:hAnsi="Arial" w:cs="Arial"/>
                <w:b/>
                <w:sz w:val="20"/>
                <w:szCs w:val="20"/>
                <w:highlight w:val="yellow"/>
              </w:rPr>
              <w:t>Note:</w:t>
            </w:r>
            <w:r w:rsidR="00AD316F" w:rsidRPr="00AD316F">
              <w:rPr>
                <w:rFonts w:ascii="Arial" w:hAnsi="Arial" w:cs="Arial"/>
                <w:b/>
                <w:sz w:val="20"/>
                <w:szCs w:val="20"/>
                <w:highlight w:val="yellow"/>
              </w:rPr>
              <w:t xml:space="preserve"> </w:t>
            </w:r>
            <w:r w:rsidR="00AD316F" w:rsidRPr="00AD316F">
              <w:rPr>
                <w:rFonts w:ascii="Arial" w:hAnsi="Arial" w:cs="Arial"/>
                <w:bCs/>
                <w:sz w:val="20"/>
                <w:szCs w:val="20"/>
                <w:highlight w:val="yellow"/>
              </w:rPr>
              <w:t xml:space="preserve"> t</w:t>
            </w:r>
            <w:r w:rsidRPr="00AD316F">
              <w:rPr>
                <w:rFonts w:ascii="Arial" w:hAnsi="Arial" w:cs="Arial"/>
                <w:bCs/>
                <w:sz w:val="20"/>
                <w:szCs w:val="20"/>
                <w:highlight w:val="yellow"/>
              </w:rPr>
              <w:t>his</w:t>
            </w:r>
            <w:r w:rsidRPr="00AD316F">
              <w:rPr>
                <w:rFonts w:ascii="Arial" w:hAnsi="Arial" w:cs="Arial"/>
                <w:sz w:val="20"/>
                <w:szCs w:val="20"/>
                <w:highlight w:val="yellow"/>
              </w:rPr>
              <w:t xml:space="preserve"> standardised protocol does not restrict which brands can be supplied – local formularies/restrictions should be referred to and the above list edited to reflect local formularies. See </w:t>
            </w:r>
            <w:hyperlink r:id="rId13" w:history="1">
              <w:r w:rsidRPr="00AD316F">
                <w:rPr>
                  <w:rStyle w:val="Hyperlink"/>
                  <w:rFonts w:ascii="Arial" w:hAnsi="Arial" w:cs="Arial"/>
                  <w:sz w:val="20"/>
                  <w:szCs w:val="20"/>
                  <w:highlight w:val="yellow"/>
                </w:rPr>
                <w:t>http://www.mhra.gov.uk/spc-pil/</w:t>
              </w:r>
            </w:hyperlink>
            <w:r w:rsidRPr="00AD316F">
              <w:rPr>
                <w:rFonts w:ascii="Arial" w:hAnsi="Arial" w:cs="Arial"/>
                <w:sz w:val="20"/>
                <w:szCs w:val="20"/>
                <w:highlight w:val="yellow"/>
              </w:rPr>
              <w:t xml:space="preserve"> or </w:t>
            </w:r>
            <w:hyperlink r:id="rId14" w:history="1">
              <w:r w:rsidRPr="00AD316F">
                <w:rPr>
                  <w:rStyle w:val="Hyperlink"/>
                  <w:rFonts w:ascii="Arial" w:hAnsi="Arial" w:cs="Arial"/>
                  <w:sz w:val="20"/>
                  <w:szCs w:val="20"/>
                  <w:highlight w:val="yellow"/>
                </w:rPr>
                <w:t>http://www.medicines.org.uk</w:t>
              </w:r>
            </w:hyperlink>
            <w:r w:rsidRPr="00AD316F">
              <w:rPr>
                <w:rFonts w:ascii="Arial" w:hAnsi="Arial" w:cs="Arial"/>
                <w:sz w:val="20"/>
                <w:szCs w:val="20"/>
                <w:highlight w:val="yellow"/>
              </w:rPr>
              <w:t xml:space="preserve"> for further information and further brand information including full details of adverse effects and interactions.</w:t>
            </w:r>
          </w:p>
        </w:tc>
      </w:tr>
      <w:tr w:rsidR="00DE005B" w14:paraId="16D31BC6" w14:textId="77777777" w:rsidTr="00C552F2">
        <w:tc>
          <w:tcPr>
            <w:tcW w:w="2192" w:type="dxa"/>
            <w:shd w:val="clear" w:color="auto" w:fill="D9D9D9" w:themeFill="background1" w:themeFillShade="D9"/>
          </w:tcPr>
          <w:p w14:paraId="610672BD" w14:textId="77777777" w:rsidR="00DE005B" w:rsidRPr="00D00B34" w:rsidRDefault="00DE005B"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Legal status</w:t>
            </w:r>
          </w:p>
        </w:tc>
        <w:tc>
          <w:tcPr>
            <w:tcW w:w="6824" w:type="dxa"/>
          </w:tcPr>
          <w:p w14:paraId="4F6CAA6E" w14:textId="77777777" w:rsidR="00DE005B" w:rsidRPr="00D00B34" w:rsidRDefault="0027276A" w:rsidP="00877F44">
            <w:pPr>
              <w:widowControl w:val="0"/>
              <w:tabs>
                <w:tab w:val="left" w:pos="235"/>
              </w:tabs>
              <w:autoSpaceDE w:val="0"/>
              <w:autoSpaceDN w:val="0"/>
              <w:spacing w:line="252" w:lineRule="exact"/>
              <w:rPr>
                <w:rFonts w:ascii="Arial" w:eastAsia="Arial" w:hAnsi="Arial" w:cs="Arial"/>
                <w:sz w:val="20"/>
                <w:szCs w:val="20"/>
                <w:lang w:eastAsia="en-GB" w:bidi="en-GB"/>
              </w:rPr>
            </w:pPr>
            <w:r>
              <w:rPr>
                <w:rFonts w:ascii="Arial" w:eastAsia="Arial" w:hAnsi="Arial" w:cs="Arial"/>
                <w:sz w:val="20"/>
                <w:szCs w:val="20"/>
                <w:lang w:eastAsia="en-GB" w:bidi="en-GB"/>
              </w:rPr>
              <w:t>Medical Device</w:t>
            </w:r>
            <w:r w:rsidR="00DE005B" w:rsidRPr="00D00B34">
              <w:rPr>
                <w:rFonts w:ascii="Arial" w:eastAsia="Arial" w:hAnsi="Arial" w:cs="Arial"/>
                <w:sz w:val="20"/>
                <w:szCs w:val="20"/>
                <w:lang w:eastAsia="en-GB" w:bidi="en-GB"/>
              </w:rPr>
              <w:t xml:space="preserve"> </w:t>
            </w:r>
          </w:p>
        </w:tc>
      </w:tr>
      <w:tr w:rsidR="008351E1" w14:paraId="3BC563D5" w14:textId="77777777" w:rsidTr="00C552F2">
        <w:tc>
          <w:tcPr>
            <w:tcW w:w="2192" w:type="dxa"/>
            <w:shd w:val="clear" w:color="auto" w:fill="D9D9D9" w:themeFill="background1" w:themeFillShade="D9"/>
          </w:tcPr>
          <w:p w14:paraId="3BDD3E4A" w14:textId="77777777" w:rsidR="008351E1" w:rsidRPr="00D00B34" w:rsidRDefault="0027276A" w:rsidP="00095899">
            <w:pPr>
              <w:rPr>
                <w:rFonts w:ascii="Arial" w:hAnsi="Arial" w:cs="Arial"/>
                <w:b/>
                <w:bCs/>
                <w:i/>
                <w:sz w:val="20"/>
                <w:szCs w:val="20"/>
              </w:rPr>
            </w:pPr>
            <w:r>
              <w:rPr>
                <w:rFonts w:ascii="Arial" w:eastAsia="Arial" w:hAnsi="Arial" w:cs="Arial"/>
                <w:b/>
                <w:bCs/>
                <w:sz w:val="20"/>
                <w:szCs w:val="20"/>
                <w:lang w:eastAsia="en-GB" w:bidi="en-GB"/>
              </w:rPr>
              <w:t>Route of administration</w:t>
            </w:r>
          </w:p>
        </w:tc>
        <w:tc>
          <w:tcPr>
            <w:tcW w:w="6824" w:type="dxa"/>
          </w:tcPr>
          <w:p w14:paraId="31AB820A" w14:textId="77777777" w:rsidR="0027276A" w:rsidRPr="00891ED0" w:rsidRDefault="0027276A" w:rsidP="0027276A">
            <w:pPr>
              <w:overflowPunct w:val="0"/>
              <w:autoSpaceDE w:val="0"/>
              <w:autoSpaceDN w:val="0"/>
              <w:adjustRightInd w:val="0"/>
              <w:contextualSpacing/>
              <w:textAlignment w:val="baseline"/>
              <w:rPr>
                <w:rFonts w:ascii="Arial" w:hAnsi="Arial" w:cs="Arial"/>
                <w:spacing w:val="-2"/>
                <w:sz w:val="20"/>
                <w:szCs w:val="20"/>
              </w:rPr>
            </w:pPr>
            <w:r w:rsidRPr="00891ED0">
              <w:rPr>
                <w:rFonts w:ascii="Arial" w:hAnsi="Arial" w:cs="Arial"/>
                <w:spacing w:val="-2"/>
                <w:sz w:val="20"/>
                <w:szCs w:val="20"/>
              </w:rPr>
              <w:t>Intra-uterine</w:t>
            </w:r>
          </w:p>
          <w:p w14:paraId="1BA8755A" w14:textId="77777777" w:rsidR="0027276A" w:rsidRPr="00891ED0" w:rsidRDefault="0027276A" w:rsidP="0027276A">
            <w:pPr>
              <w:overflowPunct w:val="0"/>
              <w:autoSpaceDE w:val="0"/>
              <w:autoSpaceDN w:val="0"/>
              <w:adjustRightInd w:val="0"/>
              <w:contextualSpacing/>
              <w:textAlignment w:val="baseline"/>
              <w:rPr>
                <w:rFonts w:ascii="Arial" w:hAnsi="Arial" w:cs="Arial"/>
                <w:spacing w:val="-2"/>
                <w:sz w:val="20"/>
                <w:szCs w:val="20"/>
              </w:rPr>
            </w:pPr>
          </w:p>
          <w:p w14:paraId="28AACE9F" w14:textId="3C39F0B2" w:rsidR="00891ED0" w:rsidRPr="00891ED0" w:rsidRDefault="0027276A" w:rsidP="0027276A">
            <w:pPr>
              <w:widowControl w:val="0"/>
              <w:tabs>
                <w:tab w:val="left" w:pos="235"/>
              </w:tabs>
              <w:autoSpaceDE w:val="0"/>
              <w:autoSpaceDN w:val="0"/>
              <w:spacing w:line="252" w:lineRule="exact"/>
              <w:rPr>
                <w:rFonts w:ascii="Arial" w:hAnsi="Arial" w:cs="Arial"/>
                <w:color w:val="0563C1" w:themeColor="hyperlink"/>
                <w:spacing w:val="-2"/>
                <w:sz w:val="20"/>
                <w:szCs w:val="20"/>
                <w:u w:val="single"/>
              </w:rPr>
            </w:pPr>
            <w:r w:rsidRPr="00891ED0">
              <w:rPr>
                <w:rFonts w:ascii="Arial" w:hAnsi="Arial" w:cs="Arial"/>
                <w:spacing w:val="-2"/>
                <w:sz w:val="20"/>
                <w:szCs w:val="20"/>
              </w:rPr>
              <w:t xml:space="preserve">Insert using aseptic or no-touch technique as per </w:t>
            </w:r>
            <w:hyperlink r:id="rId15" w:history="1">
              <w:r w:rsidRPr="00891ED0">
                <w:rPr>
                  <w:rStyle w:val="Hyperlink"/>
                  <w:rFonts w:ascii="Arial" w:hAnsi="Arial" w:cs="Arial"/>
                  <w:spacing w:val="-2"/>
                  <w:sz w:val="20"/>
                  <w:szCs w:val="20"/>
                </w:rPr>
                <w:t>FSRH guidance on intrauterine contraception</w:t>
              </w:r>
            </w:hyperlink>
            <w:r w:rsidR="00891ED0" w:rsidRPr="00891ED0">
              <w:rPr>
                <w:rFonts w:ascii="Arial" w:hAnsi="Arial" w:cs="Arial"/>
                <w:spacing w:val="-2"/>
                <w:sz w:val="20"/>
                <w:szCs w:val="20"/>
              </w:rPr>
              <w:t xml:space="preserve"> </w:t>
            </w:r>
            <w:r w:rsidR="00891ED0" w:rsidRPr="00B40193">
              <w:rPr>
                <w:rFonts w:ascii="Arial" w:hAnsi="Arial" w:cs="Arial"/>
                <w:sz w:val="20"/>
                <w:szCs w:val="20"/>
              </w:rPr>
              <w:t>or immediate PPIUC technique.</w:t>
            </w:r>
          </w:p>
        </w:tc>
      </w:tr>
      <w:tr w:rsidR="008351E1" w14:paraId="5AB7F017" w14:textId="77777777" w:rsidTr="00C552F2">
        <w:tc>
          <w:tcPr>
            <w:tcW w:w="2192" w:type="dxa"/>
            <w:shd w:val="clear" w:color="auto" w:fill="D9D9D9" w:themeFill="background1" w:themeFillShade="D9"/>
          </w:tcPr>
          <w:p w14:paraId="32A4C032" w14:textId="77777777" w:rsidR="005C231E" w:rsidRDefault="005C231E" w:rsidP="00095899">
            <w:pPr>
              <w:rPr>
                <w:rFonts w:ascii="Arial" w:hAnsi="Arial" w:cs="Arial"/>
                <w:b/>
                <w:bCs/>
                <w:iCs/>
                <w:sz w:val="20"/>
                <w:szCs w:val="20"/>
              </w:rPr>
            </w:pPr>
            <w:r>
              <w:rPr>
                <w:rFonts w:ascii="Arial" w:hAnsi="Arial" w:cs="Arial"/>
                <w:b/>
                <w:bCs/>
                <w:iCs/>
                <w:sz w:val="20"/>
                <w:szCs w:val="20"/>
              </w:rPr>
              <w:t>Timing of Insertion and duration of use</w:t>
            </w:r>
          </w:p>
          <w:p w14:paraId="23583126" w14:textId="197B2BE3" w:rsidR="00E74373" w:rsidRPr="00D00B34" w:rsidRDefault="002E714E" w:rsidP="00095899">
            <w:pPr>
              <w:rPr>
                <w:rFonts w:ascii="Arial" w:hAnsi="Arial" w:cs="Arial"/>
                <w:b/>
                <w:bCs/>
                <w:iCs/>
                <w:sz w:val="20"/>
                <w:szCs w:val="20"/>
              </w:rPr>
            </w:pPr>
            <w:r w:rsidRPr="002E714E">
              <w:rPr>
                <w:rFonts w:ascii="Arial" w:eastAsia="Arial" w:hAnsi="Arial" w:cs="Arial"/>
                <w:iCs/>
                <w:sz w:val="20"/>
                <w:szCs w:val="20"/>
                <w:lang w:eastAsia="en-GB" w:bidi="en-GB"/>
              </w:rPr>
              <w:t>(product list may not be exhaustive – amend to reflect local product(s) held)</w:t>
            </w:r>
          </w:p>
        </w:tc>
        <w:tc>
          <w:tcPr>
            <w:tcW w:w="6824" w:type="dxa"/>
          </w:tcPr>
          <w:p w14:paraId="096247A3" w14:textId="0C2A020F"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One Cu-IUD to be inserted (after removal of previous LNG-</w:t>
            </w:r>
            <w:r w:rsidR="00164BE0" w:rsidRPr="00253B37">
              <w:rPr>
                <w:rFonts w:ascii="Arial" w:hAnsi="Arial" w:cs="Arial"/>
                <w:sz w:val="20"/>
                <w:szCs w:val="20"/>
              </w:rPr>
              <w:t xml:space="preserve">IUD </w:t>
            </w:r>
            <w:r w:rsidR="00164BE0">
              <w:rPr>
                <w:rFonts w:ascii="Arial" w:hAnsi="Arial" w:cs="Arial"/>
                <w:sz w:val="20"/>
                <w:szCs w:val="20"/>
              </w:rPr>
              <w:t>or</w:t>
            </w:r>
            <w:r w:rsidR="000E38A7">
              <w:rPr>
                <w:rFonts w:ascii="Arial" w:hAnsi="Arial" w:cs="Arial"/>
                <w:sz w:val="20"/>
                <w:szCs w:val="20"/>
              </w:rPr>
              <w:t xml:space="preserve"> Cu-IUD </w:t>
            </w:r>
            <w:r w:rsidRPr="00253B37">
              <w:rPr>
                <w:rFonts w:ascii="Arial" w:hAnsi="Arial" w:cs="Arial"/>
                <w:sz w:val="20"/>
                <w:szCs w:val="20"/>
              </w:rPr>
              <w:t>if required).</w:t>
            </w:r>
          </w:p>
          <w:p w14:paraId="1A6300F9" w14:textId="77777777"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Insert on any day of the menstrual cycle if it is reasonably certain that the individual is not pregnant, with no need for additional </w:t>
            </w:r>
            <w:proofErr w:type="gramStart"/>
            <w:r w:rsidRPr="00253B37">
              <w:rPr>
                <w:rFonts w:ascii="Arial" w:hAnsi="Arial" w:cs="Arial"/>
                <w:sz w:val="20"/>
                <w:szCs w:val="20"/>
              </w:rPr>
              <w:t>protection</w:t>
            </w:r>
            <w:proofErr w:type="gramEnd"/>
            <w:r w:rsidRPr="00253B37">
              <w:rPr>
                <w:rFonts w:ascii="Arial" w:hAnsi="Arial" w:cs="Arial"/>
                <w:sz w:val="20"/>
                <w:szCs w:val="20"/>
              </w:rPr>
              <w:t xml:space="preserve"> </w:t>
            </w:r>
          </w:p>
          <w:p w14:paraId="6329123E" w14:textId="77777777" w:rsidR="00C96EF8" w:rsidRPr="00253B37"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For guidance on </w:t>
            </w:r>
            <w:hyperlink r:id="rId16" w:history="1">
              <w:r w:rsidRPr="00253B37">
                <w:rPr>
                  <w:rStyle w:val="Hyperlink"/>
                  <w:rFonts w:ascii="Arial" w:hAnsi="Arial" w:cs="Arial"/>
                  <w:sz w:val="20"/>
                  <w:szCs w:val="20"/>
                </w:rPr>
                <w:t>changing from one contraceptive method to another</w:t>
              </w:r>
            </w:hyperlink>
            <w:r w:rsidRPr="00253B37">
              <w:rPr>
                <w:rFonts w:ascii="Arial" w:hAnsi="Arial" w:cs="Arial"/>
                <w:sz w:val="20"/>
                <w:szCs w:val="20"/>
              </w:rPr>
              <w:t xml:space="preserve">, and when to start after an </w:t>
            </w:r>
            <w:hyperlink r:id="rId17" w:history="1">
              <w:r w:rsidRPr="00253B37">
                <w:rPr>
                  <w:rStyle w:val="Hyperlink"/>
                  <w:rFonts w:ascii="Arial" w:hAnsi="Arial" w:cs="Arial"/>
                  <w:sz w:val="20"/>
                  <w:szCs w:val="20"/>
                </w:rPr>
                <w:t>abortion and postpartum</w:t>
              </w:r>
            </w:hyperlink>
            <w:r w:rsidRPr="00253B37">
              <w:rPr>
                <w:rFonts w:ascii="Arial" w:hAnsi="Arial" w:cs="Arial"/>
                <w:sz w:val="20"/>
                <w:szCs w:val="20"/>
              </w:rPr>
              <w:t>, refer to the Faculty of Sexual and Reproductive Healthcare (FSRH) guidelines.</w:t>
            </w:r>
          </w:p>
          <w:p w14:paraId="39ADC0CC" w14:textId="564BDD2E" w:rsidR="00C96EF8" w:rsidRPr="00B40193" w:rsidRDefault="00C96EF8"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 xml:space="preserve">Emergency contraception – Cu-IUDs can be inserted as emergency contraception if inserted within 5 days of the earliest </w:t>
            </w:r>
            <w:r w:rsidRPr="00B40193">
              <w:rPr>
                <w:rFonts w:ascii="Arial" w:hAnsi="Arial" w:cs="Arial"/>
                <w:sz w:val="20"/>
                <w:szCs w:val="20"/>
              </w:rPr>
              <w:t xml:space="preserve">episode of UPSI that cycle, or within 5 days of the earliest expected date of </w:t>
            </w:r>
            <w:proofErr w:type="gramStart"/>
            <w:r w:rsidRPr="00B40193">
              <w:rPr>
                <w:rFonts w:ascii="Arial" w:hAnsi="Arial" w:cs="Arial"/>
                <w:sz w:val="20"/>
                <w:szCs w:val="20"/>
              </w:rPr>
              <w:t>ovulation</w:t>
            </w:r>
            <w:proofErr w:type="gramEnd"/>
          </w:p>
          <w:p w14:paraId="37711E67" w14:textId="701C90D5" w:rsidR="00891ED0" w:rsidRPr="00B40193" w:rsidRDefault="00891ED0" w:rsidP="00C96EF8">
            <w:pPr>
              <w:numPr>
                <w:ilvl w:val="0"/>
                <w:numId w:val="18"/>
              </w:numPr>
              <w:overflowPunct w:val="0"/>
              <w:autoSpaceDE w:val="0"/>
              <w:autoSpaceDN w:val="0"/>
              <w:adjustRightInd w:val="0"/>
              <w:contextualSpacing/>
              <w:textAlignment w:val="baseline"/>
              <w:rPr>
                <w:rFonts w:ascii="Arial" w:hAnsi="Arial" w:cs="Arial"/>
                <w:sz w:val="20"/>
                <w:szCs w:val="20"/>
              </w:rPr>
            </w:pPr>
            <w:r w:rsidRPr="00B40193">
              <w:rPr>
                <w:rStyle w:val="cf01"/>
                <w:rFonts w:ascii="Arial" w:hAnsi="Arial" w:cs="Arial"/>
                <w:sz w:val="20"/>
                <w:szCs w:val="20"/>
              </w:rPr>
              <w:t>Insert within 48 hours of birth (Immediate postpartum intrauterine contraception (PPIUC)). The insertion procedure for immediate PPIUC is different to that of standard IUC insertion and should only be performed by those who have been trained in this technique.</w:t>
            </w:r>
          </w:p>
          <w:p w14:paraId="59CA17A4" w14:textId="77777777" w:rsidR="00C96EF8" w:rsidRDefault="00C96EF8" w:rsidP="00C96EF8">
            <w:pPr>
              <w:overflowPunct w:val="0"/>
              <w:autoSpaceDE w:val="0"/>
              <w:autoSpaceDN w:val="0"/>
              <w:adjustRightInd w:val="0"/>
              <w:contextualSpacing/>
              <w:textAlignment w:val="baseline"/>
              <w:rPr>
                <w:rFonts w:ascii="Arial" w:hAnsi="Arial" w:cs="Arial"/>
              </w:rPr>
            </w:pPr>
          </w:p>
          <w:p w14:paraId="38F9DDFF" w14:textId="77777777" w:rsidR="00C96EF8" w:rsidRPr="00253B37" w:rsidRDefault="00C96EF8" w:rsidP="00C96EF8">
            <w:pPr>
              <w:overflowPunct w:val="0"/>
              <w:autoSpaceDE w:val="0"/>
              <w:autoSpaceDN w:val="0"/>
              <w:adjustRightInd w:val="0"/>
              <w:contextualSpacing/>
              <w:textAlignment w:val="baseline"/>
              <w:rPr>
                <w:rFonts w:ascii="Arial" w:hAnsi="Arial" w:cs="Arial"/>
                <w:b/>
                <w:sz w:val="20"/>
                <w:szCs w:val="20"/>
              </w:rPr>
            </w:pPr>
            <w:r w:rsidRPr="00253B37">
              <w:rPr>
                <w:rFonts w:ascii="Arial" w:hAnsi="Arial" w:cs="Arial"/>
                <w:b/>
                <w:sz w:val="20"/>
                <w:szCs w:val="20"/>
              </w:rPr>
              <w:t>Frequency of Cu-IUD insertion:</w:t>
            </w:r>
          </w:p>
          <w:p w14:paraId="64C65D4C" w14:textId="77777777" w:rsidR="00C96EF8" w:rsidRPr="00AD316F" w:rsidRDefault="00C96EF8" w:rsidP="00C96EF8">
            <w:pPr>
              <w:numPr>
                <w:ilvl w:val="0"/>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sz w:val="20"/>
                <w:szCs w:val="20"/>
                <w:highlight w:val="yellow"/>
              </w:rPr>
              <w:t>Effective for up to 10 years:</w:t>
            </w:r>
          </w:p>
          <w:p w14:paraId="28F60866" w14:textId="477A7B39" w:rsidR="00C96EF8" w:rsidRPr="00AD316F"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t>Framed, banded copper arms:</w:t>
            </w:r>
            <w:r w:rsidRPr="00AD316F">
              <w:rPr>
                <w:rFonts w:ascii="Arial" w:hAnsi="Arial" w:cs="Arial"/>
                <w:sz w:val="20"/>
                <w:szCs w:val="20"/>
                <w:highlight w:val="yellow"/>
              </w:rPr>
              <w:t xml:space="preserve"> Copper T380 A®, </w:t>
            </w:r>
            <w:r w:rsidR="005640E1">
              <w:rPr>
                <w:rFonts w:ascii="Arial" w:hAnsi="Arial" w:cs="Arial"/>
                <w:sz w:val="20"/>
                <w:szCs w:val="20"/>
                <w:highlight w:val="yellow"/>
              </w:rPr>
              <w:br/>
            </w:r>
            <w:r w:rsidRPr="00AD316F">
              <w:rPr>
                <w:rFonts w:ascii="Arial" w:hAnsi="Arial" w:cs="Arial"/>
                <w:sz w:val="20"/>
                <w:szCs w:val="20"/>
                <w:highlight w:val="yellow"/>
              </w:rPr>
              <w:t>T-Safe® 380A QL, T-Safe®380 A, TT 380® Slimline</w:t>
            </w:r>
          </w:p>
          <w:p w14:paraId="01ACF817" w14:textId="77777777" w:rsidR="00C96EF8" w:rsidRPr="00AD316F" w:rsidRDefault="00C96EF8" w:rsidP="00C96EF8">
            <w:pPr>
              <w:numPr>
                <w:ilvl w:val="0"/>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sz w:val="20"/>
                <w:szCs w:val="20"/>
                <w:highlight w:val="yellow"/>
              </w:rPr>
              <w:t>Effective for up to 5 years:</w:t>
            </w:r>
          </w:p>
          <w:p w14:paraId="63B64552" w14:textId="77777777"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AD316F">
              <w:rPr>
                <w:rFonts w:ascii="Arial" w:hAnsi="Arial" w:cs="Arial"/>
                <w:b/>
                <w:bCs/>
                <w:sz w:val="20"/>
                <w:szCs w:val="20"/>
                <w:highlight w:val="yellow"/>
              </w:rPr>
              <w:lastRenderedPageBreak/>
              <w:t>Framed, banded copper arms</w:t>
            </w:r>
            <w:proofErr w:type="gramStart"/>
            <w:r w:rsidRPr="00AD316F">
              <w:rPr>
                <w:rFonts w:ascii="Arial" w:hAnsi="Arial" w:cs="Arial"/>
                <w:b/>
                <w:bCs/>
                <w:sz w:val="20"/>
                <w:szCs w:val="20"/>
                <w:highlight w:val="yellow"/>
              </w:rPr>
              <w:t xml:space="preserve">: </w:t>
            </w:r>
            <w:r w:rsidRPr="00AD316F">
              <w:rPr>
                <w:rFonts w:ascii="Arial" w:hAnsi="Arial" w:cs="Arial"/>
                <w:sz w:val="20"/>
                <w:szCs w:val="20"/>
                <w:highlight w:val="yellow"/>
              </w:rPr>
              <w:t>,</w:t>
            </w:r>
            <w:proofErr w:type="gramEnd"/>
            <w:r w:rsidRPr="00AD316F">
              <w:rPr>
                <w:rFonts w:ascii="Arial" w:hAnsi="Arial" w:cs="Arial"/>
                <w:sz w:val="20"/>
                <w:szCs w:val="20"/>
                <w:highlight w:val="yellow"/>
              </w:rPr>
              <w:t xml:space="preserve"> Flexi-T®+ 380, Mini TT380® </w:t>
            </w:r>
            <w:r w:rsidRPr="002E714E">
              <w:rPr>
                <w:rFonts w:ascii="Arial" w:hAnsi="Arial" w:cs="Arial"/>
                <w:sz w:val="20"/>
                <w:szCs w:val="20"/>
                <w:highlight w:val="yellow"/>
              </w:rPr>
              <w:t>Slimline</w:t>
            </w:r>
          </w:p>
          <w:p w14:paraId="628E591E" w14:textId="4E7D01CB"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Framed, copper in stem only:</w:t>
            </w:r>
            <w:r w:rsidRPr="002E714E">
              <w:rPr>
                <w:rFonts w:ascii="Arial" w:hAnsi="Arial" w:cs="Arial"/>
                <w:sz w:val="20"/>
                <w:szCs w:val="20"/>
                <w:highlight w:val="yellow"/>
              </w:rPr>
              <w:t xml:space="preserve"> Nova-T®380, UT380 Standard®, Neo-Safe®T380, </w:t>
            </w:r>
            <w:proofErr w:type="spellStart"/>
            <w:r w:rsidR="00C552F2" w:rsidRPr="002E714E">
              <w:rPr>
                <w:rFonts w:ascii="Arial" w:hAnsi="Arial" w:cs="Arial"/>
                <w:sz w:val="20"/>
                <w:szCs w:val="20"/>
                <w:highlight w:val="yellow"/>
              </w:rPr>
              <w:t>Eurogine</w:t>
            </w:r>
            <w:proofErr w:type="spellEnd"/>
            <w:r w:rsidR="00C552F2" w:rsidRPr="002E714E">
              <w:rPr>
                <w:rFonts w:ascii="Arial" w:hAnsi="Arial" w:cs="Arial"/>
                <w:sz w:val="20"/>
                <w:szCs w:val="20"/>
                <w:highlight w:val="yellow"/>
              </w:rPr>
              <w:t xml:space="preserve"> (</w:t>
            </w:r>
            <w:proofErr w:type="spellStart"/>
            <w:r w:rsidR="00C552F2" w:rsidRPr="002E714E">
              <w:rPr>
                <w:rFonts w:ascii="Arial" w:hAnsi="Arial" w:cs="Arial"/>
                <w:sz w:val="20"/>
                <w:szCs w:val="20"/>
                <w:highlight w:val="yellow"/>
              </w:rPr>
              <w:t>Novaplus</w:t>
            </w:r>
            <w:proofErr w:type="spellEnd"/>
            <w:r w:rsidR="00C552F2" w:rsidRPr="002E714E">
              <w:rPr>
                <w:rFonts w:ascii="Arial" w:hAnsi="Arial" w:cs="Arial"/>
                <w:sz w:val="20"/>
                <w:szCs w:val="20"/>
                <w:highlight w:val="yellow"/>
              </w:rPr>
              <w:t xml:space="preserve">) </w:t>
            </w:r>
            <w:r w:rsidRPr="002E714E">
              <w:rPr>
                <w:rFonts w:ascii="Arial" w:hAnsi="Arial" w:cs="Arial"/>
                <w:sz w:val="20"/>
                <w:szCs w:val="20"/>
                <w:highlight w:val="yellow"/>
              </w:rPr>
              <w:t xml:space="preserve">T 380® Cu, </w:t>
            </w:r>
            <w:proofErr w:type="spellStart"/>
            <w:r w:rsidR="00C552F2" w:rsidRPr="002E714E">
              <w:rPr>
                <w:rFonts w:ascii="Arial" w:hAnsi="Arial" w:cs="Arial"/>
                <w:sz w:val="20"/>
                <w:szCs w:val="20"/>
                <w:highlight w:val="yellow"/>
              </w:rPr>
              <w:t>Eurogine</w:t>
            </w:r>
            <w:proofErr w:type="spellEnd"/>
            <w:r w:rsidR="00C552F2" w:rsidRPr="002E714E">
              <w:rPr>
                <w:rFonts w:ascii="Arial" w:hAnsi="Arial" w:cs="Arial"/>
                <w:sz w:val="20"/>
                <w:szCs w:val="20"/>
                <w:highlight w:val="yellow"/>
              </w:rPr>
              <w:t xml:space="preserve"> (</w:t>
            </w:r>
            <w:proofErr w:type="spellStart"/>
            <w:r w:rsidR="00C552F2" w:rsidRPr="002E714E">
              <w:rPr>
                <w:rFonts w:ascii="Arial" w:hAnsi="Arial" w:cs="Arial"/>
                <w:sz w:val="20"/>
                <w:szCs w:val="20"/>
                <w:highlight w:val="yellow"/>
              </w:rPr>
              <w:t>Novaplus</w:t>
            </w:r>
            <w:proofErr w:type="spellEnd"/>
            <w:r w:rsidR="00C552F2" w:rsidRPr="002E714E">
              <w:rPr>
                <w:rFonts w:ascii="Arial" w:hAnsi="Arial" w:cs="Arial"/>
                <w:sz w:val="20"/>
                <w:szCs w:val="20"/>
                <w:highlight w:val="yellow"/>
              </w:rPr>
              <w:t xml:space="preserve">) </w:t>
            </w:r>
            <w:r w:rsidRPr="002E714E">
              <w:rPr>
                <w:rFonts w:ascii="Arial" w:hAnsi="Arial" w:cs="Arial"/>
                <w:sz w:val="20"/>
                <w:szCs w:val="20"/>
                <w:highlight w:val="yellow"/>
              </w:rPr>
              <w:t>T 380® Cu ‘mini’, UT380 Short®, Multiload® Cu375, Multi-Safe®375, Ancora®375 Cu, Load®375, Flexi-T®</w:t>
            </w:r>
            <w:proofErr w:type="gramStart"/>
            <w:r w:rsidRPr="002E714E">
              <w:rPr>
                <w:rFonts w:ascii="Arial" w:hAnsi="Arial" w:cs="Arial"/>
                <w:sz w:val="20"/>
                <w:szCs w:val="20"/>
                <w:highlight w:val="yellow"/>
              </w:rPr>
              <w:t>300</w:t>
            </w:r>
            <w:proofErr w:type="gramEnd"/>
          </w:p>
          <w:p w14:paraId="09FDCE2F" w14:textId="77777777"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Frameless:</w:t>
            </w:r>
            <w:r w:rsidRPr="002E714E">
              <w:rPr>
                <w:rFonts w:ascii="Arial" w:hAnsi="Arial" w:cs="Arial"/>
                <w:sz w:val="20"/>
                <w:szCs w:val="20"/>
                <w:highlight w:val="yellow"/>
              </w:rPr>
              <w:t xml:space="preserve"> GyneFix®330, GyneFix®200</w:t>
            </w:r>
          </w:p>
          <w:p w14:paraId="68DBA555" w14:textId="29D4E874" w:rsidR="00C96EF8" w:rsidRPr="002E714E" w:rsidRDefault="00C96EF8" w:rsidP="00C96EF8">
            <w:pPr>
              <w:numPr>
                <w:ilvl w:val="1"/>
                <w:numId w:val="19"/>
              </w:numPr>
              <w:overflowPunct w:val="0"/>
              <w:autoSpaceDE w:val="0"/>
              <w:autoSpaceDN w:val="0"/>
              <w:adjustRightInd w:val="0"/>
              <w:contextualSpacing/>
              <w:textAlignment w:val="baseline"/>
              <w:rPr>
                <w:rFonts w:ascii="Arial" w:hAnsi="Arial" w:cs="Arial"/>
                <w:sz w:val="20"/>
                <w:szCs w:val="20"/>
                <w:highlight w:val="yellow"/>
              </w:rPr>
            </w:pPr>
            <w:r w:rsidRPr="002E714E">
              <w:rPr>
                <w:rFonts w:ascii="Arial" w:hAnsi="Arial" w:cs="Arial"/>
                <w:b/>
                <w:bCs/>
                <w:sz w:val="20"/>
                <w:szCs w:val="20"/>
                <w:highlight w:val="yellow"/>
              </w:rPr>
              <w:t>Silver IUD:</w:t>
            </w:r>
            <w:r w:rsidRPr="002E714E">
              <w:rPr>
                <w:rFonts w:ascii="Arial" w:hAnsi="Arial" w:cs="Arial"/>
                <w:sz w:val="20"/>
                <w:szCs w:val="20"/>
                <w:highlight w:val="yellow"/>
              </w:rPr>
              <w:t xml:space="preserve"> </w:t>
            </w:r>
            <w:proofErr w:type="spellStart"/>
            <w:r w:rsidR="00C552F2" w:rsidRPr="002E714E">
              <w:rPr>
                <w:rFonts w:ascii="Arial" w:hAnsi="Arial" w:cs="Arial"/>
                <w:sz w:val="20"/>
                <w:szCs w:val="20"/>
                <w:highlight w:val="yellow"/>
              </w:rPr>
              <w:t>Eurogine</w:t>
            </w:r>
            <w:proofErr w:type="spellEnd"/>
            <w:r w:rsidR="00C552F2" w:rsidRPr="002E714E">
              <w:rPr>
                <w:rFonts w:ascii="Arial" w:hAnsi="Arial" w:cs="Arial"/>
                <w:sz w:val="20"/>
                <w:szCs w:val="20"/>
                <w:highlight w:val="yellow"/>
              </w:rPr>
              <w:t xml:space="preserve"> (</w:t>
            </w:r>
            <w:proofErr w:type="spellStart"/>
            <w:r w:rsidR="00C552F2" w:rsidRPr="002E714E">
              <w:rPr>
                <w:rFonts w:ascii="Arial" w:hAnsi="Arial" w:cs="Arial"/>
                <w:sz w:val="20"/>
                <w:szCs w:val="20"/>
                <w:highlight w:val="yellow"/>
              </w:rPr>
              <w:t>Novaplus</w:t>
            </w:r>
            <w:proofErr w:type="spellEnd"/>
            <w:r w:rsidR="00C552F2" w:rsidRPr="002E714E">
              <w:rPr>
                <w:rFonts w:ascii="Arial" w:hAnsi="Arial" w:cs="Arial"/>
                <w:sz w:val="20"/>
                <w:szCs w:val="20"/>
                <w:highlight w:val="yellow"/>
              </w:rPr>
              <w:t xml:space="preserve">) </w:t>
            </w:r>
            <w:r w:rsidRPr="002E714E">
              <w:rPr>
                <w:rFonts w:ascii="Arial" w:hAnsi="Arial" w:cs="Arial"/>
                <w:sz w:val="20"/>
                <w:szCs w:val="20"/>
                <w:highlight w:val="yellow"/>
              </w:rPr>
              <w:t>T380® Ag</w:t>
            </w:r>
            <w:r w:rsidR="005640E1" w:rsidRPr="002E714E">
              <w:rPr>
                <w:rFonts w:ascii="Arial" w:hAnsi="Arial" w:cs="Arial"/>
                <w:sz w:val="20"/>
                <w:szCs w:val="20"/>
                <w:highlight w:val="yellow"/>
              </w:rPr>
              <w:t xml:space="preserve">, </w:t>
            </w:r>
            <w:proofErr w:type="spellStart"/>
            <w:r w:rsidR="005640E1" w:rsidRPr="002E714E">
              <w:rPr>
                <w:rFonts w:ascii="Arial" w:hAnsi="Arial" w:cs="Arial"/>
                <w:sz w:val="20"/>
                <w:szCs w:val="20"/>
                <w:highlight w:val="yellow"/>
              </w:rPr>
              <w:t>Eurogine</w:t>
            </w:r>
            <w:proofErr w:type="spellEnd"/>
            <w:r w:rsidR="005640E1" w:rsidRPr="002E714E">
              <w:rPr>
                <w:rFonts w:ascii="Arial" w:hAnsi="Arial" w:cs="Arial"/>
                <w:sz w:val="20"/>
                <w:szCs w:val="20"/>
                <w:highlight w:val="yellow"/>
              </w:rPr>
              <w:t xml:space="preserve"> (</w:t>
            </w:r>
            <w:proofErr w:type="spellStart"/>
            <w:r w:rsidR="005640E1" w:rsidRPr="002E714E">
              <w:rPr>
                <w:rFonts w:ascii="Arial" w:hAnsi="Arial" w:cs="Arial"/>
                <w:sz w:val="20"/>
                <w:szCs w:val="20"/>
                <w:highlight w:val="yellow"/>
              </w:rPr>
              <w:t>Novaplus</w:t>
            </w:r>
            <w:proofErr w:type="spellEnd"/>
            <w:r w:rsidR="005640E1" w:rsidRPr="002E714E">
              <w:rPr>
                <w:rFonts w:ascii="Arial" w:hAnsi="Arial" w:cs="Arial"/>
                <w:sz w:val="20"/>
                <w:szCs w:val="20"/>
                <w:highlight w:val="yellow"/>
              </w:rPr>
              <w:t>) T380® Ag mini</w:t>
            </w:r>
          </w:p>
          <w:p w14:paraId="4D6299ED" w14:textId="77777777" w:rsidR="008351E1" w:rsidRPr="00E647ED" w:rsidRDefault="00C96EF8" w:rsidP="00E647ED">
            <w:pPr>
              <w:numPr>
                <w:ilvl w:val="0"/>
                <w:numId w:val="19"/>
              </w:num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Note the FSRH supports extended use until menopause/age 55 of devices containing ≥300 mm2 copper when inserted over the age of 40 years</w:t>
            </w:r>
          </w:p>
        </w:tc>
      </w:tr>
      <w:bookmarkEnd w:id="2"/>
      <w:tr w:rsidR="008351E1" w14:paraId="259C9FC9" w14:textId="77777777" w:rsidTr="00C552F2">
        <w:trPr>
          <w:trHeight w:val="2967"/>
        </w:trPr>
        <w:tc>
          <w:tcPr>
            <w:tcW w:w="2192" w:type="dxa"/>
            <w:shd w:val="clear" w:color="auto" w:fill="D9D9D9" w:themeFill="background1" w:themeFillShade="D9"/>
          </w:tcPr>
          <w:p w14:paraId="5D8277C6" w14:textId="77777777" w:rsidR="008351E1" w:rsidRPr="00D00B34" w:rsidRDefault="008351E1"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lastRenderedPageBreak/>
              <w:t>Off label use</w:t>
            </w:r>
          </w:p>
        </w:tc>
        <w:tc>
          <w:tcPr>
            <w:tcW w:w="6824" w:type="dxa"/>
          </w:tcPr>
          <w:p w14:paraId="7139C377"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r w:rsidRPr="00253B37">
              <w:rPr>
                <w:rFonts w:ascii="Arial" w:hAnsi="Arial" w:cs="Arial"/>
                <w:sz w:val="20"/>
                <w:szCs w:val="20"/>
              </w:rPr>
              <w:t>Best practice advice is given by the FSRH and is used for guidance in this standardised protocol</w:t>
            </w:r>
            <w:r w:rsidR="00E647ED">
              <w:rPr>
                <w:rFonts w:ascii="Arial" w:hAnsi="Arial" w:cs="Arial"/>
                <w:sz w:val="20"/>
                <w:szCs w:val="20"/>
              </w:rPr>
              <w:t>.</w:t>
            </w:r>
            <w:r w:rsidRPr="00253B37">
              <w:rPr>
                <w:rFonts w:ascii="Arial" w:hAnsi="Arial" w:cs="Arial"/>
                <w:sz w:val="20"/>
                <w:szCs w:val="20"/>
              </w:rPr>
              <w:t xml:space="preserve"> </w:t>
            </w:r>
          </w:p>
          <w:p w14:paraId="500C9295"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p>
          <w:p w14:paraId="0D603CC4" w14:textId="77777777" w:rsidR="0027276A" w:rsidRPr="00F8251F" w:rsidRDefault="0027276A" w:rsidP="0027276A">
            <w:pPr>
              <w:overflowPunct w:val="0"/>
              <w:autoSpaceDE w:val="0"/>
              <w:autoSpaceDN w:val="0"/>
              <w:adjustRightInd w:val="0"/>
              <w:contextualSpacing/>
              <w:textAlignment w:val="baseline"/>
              <w:rPr>
                <w:rFonts w:ascii="Arial" w:hAnsi="Arial" w:cs="Arial"/>
                <w:sz w:val="20"/>
                <w:szCs w:val="20"/>
              </w:rPr>
            </w:pPr>
            <w:r w:rsidRPr="00F8251F">
              <w:rPr>
                <w:rFonts w:ascii="Arial" w:hAnsi="Arial" w:cs="Arial"/>
                <w:sz w:val="20"/>
                <w:szCs w:val="20"/>
              </w:rPr>
              <w:t xml:space="preserve">This standardised protocol specifically includes inclusion criteria and dosage regimens which are outside the market authorisation for many of the available </w:t>
            </w:r>
            <w:proofErr w:type="gramStart"/>
            <w:r w:rsidRPr="00F8251F">
              <w:rPr>
                <w:rFonts w:ascii="Arial" w:hAnsi="Arial" w:cs="Arial"/>
                <w:sz w:val="20"/>
                <w:szCs w:val="20"/>
              </w:rPr>
              <w:t>products</w:t>
            </w:r>
            <w:proofErr w:type="gramEnd"/>
            <w:r w:rsidRPr="00F8251F">
              <w:rPr>
                <w:rFonts w:ascii="Arial" w:hAnsi="Arial" w:cs="Arial"/>
                <w:sz w:val="20"/>
                <w:szCs w:val="20"/>
              </w:rPr>
              <w:t xml:space="preserve"> but which are included within FSRH guidance:</w:t>
            </w:r>
          </w:p>
          <w:p w14:paraId="4007EE7D" w14:textId="77777777" w:rsidR="0027276A" w:rsidRPr="00F8251F" w:rsidRDefault="0027276A" w:rsidP="0027276A">
            <w:pPr>
              <w:numPr>
                <w:ilvl w:val="0"/>
                <w:numId w:val="16"/>
              </w:numPr>
              <w:overflowPunct w:val="0"/>
              <w:autoSpaceDE w:val="0"/>
              <w:autoSpaceDN w:val="0"/>
              <w:adjustRightInd w:val="0"/>
              <w:spacing w:after="200"/>
              <w:contextualSpacing/>
              <w:textAlignment w:val="baseline"/>
              <w:rPr>
                <w:rFonts w:ascii="Arial" w:hAnsi="Arial" w:cs="Arial"/>
                <w:sz w:val="20"/>
                <w:szCs w:val="20"/>
              </w:rPr>
            </w:pPr>
            <w:r w:rsidRPr="00F8251F">
              <w:rPr>
                <w:rFonts w:ascii="Arial" w:hAnsi="Arial" w:cs="Arial"/>
                <w:sz w:val="20"/>
                <w:szCs w:val="20"/>
              </w:rPr>
              <w:t xml:space="preserve">When inserted over the age of 40 years any Cu-IUD containing ≥300 mm2 copper can be retained as contraception until menopause/the age of 55 </w:t>
            </w:r>
            <w:proofErr w:type="gramStart"/>
            <w:r w:rsidRPr="00F8251F">
              <w:rPr>
                <w:rFonts w:ascii="Arial" w:hAnsi="Arial" w:cs="Arial"/>
                <w:sz w:val="20"/>
                <w:szCs w:val="20"/>
              </w:rPr>
              <w:t>years</w:t>
            </w:r>
            <w:proofErr w:type="gramEnd"/>
            <w:r w:rsidRPr="00F8251F">
              <w:rPr>
                <w:rFonts w:ascii="Arial" w:hAnsi="Arial" w:cs="Arial"/>
                <w:sz w:val="20"/>
                <w:szCs w:val="20"/>
              </w:rPr>
              <w:t xml:space="preserve"> </w:t>
            </w:r>
          </w:p>
          <w:p w14:paraId="0B550F99" w14:textId="77777777" w:rsidR="0027276A" w:rsidRPr="00F8251F" w:rsidRDefault="0027276A" w:rsidP="0027276A">
            <w:pPr>
              <w:numPr>
                <w:ilvl w:val="0"/>
                <w:numId w:val="16"/>
              </w:numPr>
              <w:overflowPunct w:val="0"/>
              <w:autoSpaceDE w:val="0"/>
              <w:autoSpaceDN w:val="0"/>
              <w:adjustRightInd w:val="0"/>
              <w:spacing w:after="200"/>
              <w:contextualSpacing/>
              <w:textAlignment w:val="baseline"/>
              <w:rPr>
                <w:rFonts w:ascii="Arial" w:hAnsi="Arial" w:cs="Arial"/>
                <w:sz w:val="20"/>
                <w:szCs w:val="20"/>
              </w:rPr>
            </w:pPr>
            <w:r w:rsidRPr="00F8251F">
              <w:rPr>
                <w:rFonts w:ascii="Arial" w:hAnsi="Arial" w:cs="Arial"/>
                <w:sz w:val="20"/>
                <w:szCs w:val="20"/>
              </w:rPr>
              <w:t xml:space="preserve">Initial insertion after day 7 of the menstrual cycle if it is reasonably certain that the individual is not </w:t>
            </w:r>
            <w:proofErr w:type="gramStart"/>
            <w:r w:rsidRPr="00F8251F">
              <w:rPr>
                <w:rFonts w:ascii="Arial" w:hAnsi="Arial" w:cs="Arial"/>
                <w:sz w:val="20"/>
                <w:szCs w:val="20"/>
              </w:rPr>
              <w:t>pregnant</w:t>
            </w:r>
            <w:proofErr w:type="gramEnd"/>
          </w:p>
          <w:p w14:paraId="5944206B" w14:textId="77777777" w:rsidR="008351E1" w:rsidRPr="00E647ED" w:rsidRDefault="0027276A" w:rsidP="00E647ED">
            <w:pPr>
              <w:numPr>
                <w:ilvl w:val="0"/>
                <w:numId w:val="16"/>
              </w:numPr>
              <w:spacing w:after="200"/>
              <w:rPr>
                <w:rFonts w:ascii="Arial" w:hAnsi="Arial" w:cs="Arial"/>
                <w:sz w:val="20"/>
                <w:szCs w:val="20"/>
              </w:rPr>
            </w:pPr>
            <w:r w:rsidRPr="00F8251F">
              <w:rPr>
                <w:rFonts w:ascii="Arial" w:hAnsi="Arial" w:cs="Arial"/>
                <w:sz w:val="20"/>
                <w:szCs w:val="20"/>
              </w:rPr>
              <w:t>Postpartum insertion between 4-6 week</w:t>
            </w:r>
            <w:r w:rsidR="00E647ED">
              <w:rPr>
                <w:rFonts w:ascii="Arial" w:hAnsi="Arial" w:cs="Arial"/>
                <w:sz w:val="20"/>
                <w:szCs w:val="20"/>
              </w:rPr>
              <w:t>s</w:t>
            </w:r>
          </w:p>
        </w:tc>
      </w:tr>
      <w:tr w:rsidR="00EF2684" w14:paraId="1C0587D5" w14:textId="77777777" w:rsidTr="00C552F2">
        <w:tc>
          <w:tcPr>
            <w:tcW w:w="2192" w:type="dxa"/>
            <w:shd w:val="clear" w:color="auto" w:fill="D9D9D9" w:themeFill="background1" w:themeFillShade="D9"/>
          </w:tcPr>
          <w:p w14:paraId="04AA9F9D" w14:textId="77777777" w:rsidR="00EF2684" w:rsidRPr="00D00B34" w:rsidRDefault="00EF2684"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 xml:space="preserve">Storage </w:t>
            </w:r>
          </w:p>
        </w:tc>
        <w:tc>
          <w:tcPr>
            <w:tcW w:w="6824" w:type="dxa"/>
          </w:tcPr>
          <w:p w14:paraId="20BA095A" w14:textId="77777777" w:rsidR="00EF2684" w:rsidRPr="00D00B34" w:rsidRDefault="0027276A" w:rsidP="00095899">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F8251F">
              <w:rPr>
                <w:rFonts w:ascii="Arial" w:hAnsi="Arial" w:cs="Arial"/>
                <w:sz w:val="20"/>
                <w:szCs w:val="20"/>
              </w:rPr>
              <w:t xml:space="preserve">Devices must be stored securely according to </w:t>
            </w:r>
            <w:r w:rsidR="00A03E0A">
              <w:rPr>
                <w:rFonts w:ascii="Arial" w:hAnsi="Arial" w:cs="Arial"/>
                <w:sz w:val="20"/>
                <w:szCs w:val="20"/>
              </w:rPr>
              <w:t>manufacturer’s</w:t>
            </w:r>
            <w:r w:rsidR="00F7141B">
              <w:rPr>
                <w:rFonts w:ascii="Arial" w:hAnsi="Arial" w:cs="Arial"/>
                <w:sz w:val="20"/>
                <w:szCs w:val="20"/>
              </w:rPr>
              <w:t xml:space="preserve"> instructions</w:t>
            </w:r>
            <w:r>
              <w:rPr>
                <w:rFonts w:ascii="Arial" w:hAnsi="Arial" w:cs="Arial"/>
              </w:rPr>
              <w:t>.</w:t>
            </w:r>
          </w:p>
        </w:tc>
      </w:tr>
      <w:tr w:rsidR="009A4D22" w14:paraId="6CB75504" w14:textId="77777777" w:rsidTr="00C552F2">
        <w:tc>
          <w:tcPr>
            <w:tcW w:w="2192" w:type="dxa"/>
            <w:shd w:val="clear" w:color="auto" w:fill="D9D9D9" w:themeFill="background1" w:themeFillShade="D9"/>
          </w:tcPr>
          <w:p w14:paraId="1B38AA75" w14:textId="77777777" w:rsidR="009A4D22" w:rsidRPr="00D00B34" w:rsidRDefault="009A4D22" w:rsidP="00095899">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Adverse effects</w:t>
            </w:r>
          </w:p>
        </w:tc>
        <w:tc>
          <w:tcPr>
            <w:tcW w:w="6824" w:type="dxa"/>
          </w:tcPr>
          <w:p w14:paraId="67F00732" w14:textId="77777777" w:rsidR="00C96EF8" w:rsidRPr="00F8251F" w:rsidRDefault="00C96EF8" w:rsidP="00C96EF8">
            <w:pPr>
              <w:widowControl w:val="0"/>
              <w:contextualSpacing/>
              <w:rPr>
                <w:rFonts w:ascii="Arial" w:hAnsi="Arial" w:cs="Arial"/>
                <w:sz w:val="20"/>
                <w:szCs w:val="20"/>
              </w:rPr>
            </w:pPr>
            <w:r w:rsidRPr="00F8251F">
              <w:rPr>
                <w:rFonts w:ascii="Arial" w:hAnsi="Arial" w:cs="Arial"/>
                <w:sz w:val="20"/>
                <w:szCs w:val="20"/>
              </w:rPr>
              <w:t>The Cu-IUD is generally well tolerated. The following possible adverse effects are commonly reported with Cu-IUD:</w:t>
            </w:r>
          </w:p>
          <w:p w14:paraId="7E50E7F2"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 xml:space="preserve">Increase in menstrual blood </w:t>
            </w:r>
            <w:proofErr w:type="gramStart"/>
            <w:r w:rsidRPr="00F8251F">
              <w:rPr>
                <w:rFonts w:ascii="Arial" w:hAnsi="Arial" w:cs="Arial"/>
                <w:sz w:val="20"/>
                <w:szCs w:val="20"/>
              </w:rPr>
              <w:t>loss</w:t>
            </w:r>
            <w:proofErr w:type="gramEnd"/>
          </w:p>
          <w:p w14:paraId="00DF2681"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More painful menstrual bleeding</w:t>
            </w:r>
          </w:p>
          <w:p w14:paraId="0BD4D272" w14:textId="77777777" w:rsidR="00C96EF8" w:rsidRPr="00F8251F" w:rsidRDefault="00C96EF8" w:rsidP="00C96EF8">
            <w:pPr>
              <w:widowControl w:val="0"/>
              <w:numPr>
                <w:ilvl w:val="0"/>
                <w:numId w:val="17"/>
              </w:numPr>
              <w:contextualSpacing/>
              <w:rPr>
                <w:rFonts w:ascii="Arial" w:hAnsi="Arial" w:cs="Arial"/>
                <w:sz w:val="20"/>
                <w:szCs w:val="20"/>
              </w:rPr>
            </w:pPr>
            <w:r w:rsidRPr="00F8251F">
              <w:rPr>
                <w:rFonts w:ascii="Arial" w:hAnsi="Arial" w:cs="Arial"/>
                <w:sz w:val="20"/>
                <w:szCs w:val="20"/>
              </w:rPr>
              <w:t>Intermenstrual bleeding</w:t>
            </w:r>
          </w:p>
          <w:p w14:paraId="7E9A2000" w14:textId="77777777" w:rsidR="00C96EF8" w:rsidRPr="00F8251F" w:rsidRDefault="00C96EF8" w:rsidP="00C96EF8">
            <w:pPr>
              <w:widowControl w:val="0"/>
              <w:contextualSpacing/>
              <w:rPr>
                <w:rFonts w:ascii="Arial" w:hAnsi="Arial" w:cs="Arial"/>
                <w:sz w:val="20"/>
                <w:szCs w:val="20"/>
              </w:rPr>
            </w:pPr>
          </w:p>
          <w:p w14:paraId="79CA9B5E" w14:textId="77777777" w:rsidR="00C926C0" w:rsidRPr="00D00B34" w:rsidRDefault="00C96EF8" w:rsidP="00C96EF8">
            <w:pPr>
              <w:widowControl w:val="0"/>
              <w:tabs>
                <w:tab w:val="left" w:pos="235"/>
              </w:tabs>
              <w:autoSpaceDE w:val="0"/>
              <w:autoSpaceDN w:val="0"/>
              <w:spacing w:before="2" w:line="252" w:lineRule="exact"/>
              <w:ind w:right="736"/>
              <w:rPr>
                <w:rFonts w:ascii="Arial" w:eastAsia="Arial" w:hAnsi="Arial" w:cs="Arial"/>
                <w:sz w:val="20"/>
                <w:szCs w:val="20"/>
                <w:lang w:eastAsia="en-GB" w:bidi="en-GB"/>
              </w:rPr>
            </w:pPr>
            <w:r w:rsidRPr="00F8251F">
              <w:rPr>
                <w:rFonts w:ascii="Arial" w:hAnsi="Arial" w:cs="Arial"/>
                <w:sz w:val="20"/>
                <w:szCs w:val="20"/>
              </w:rPr>
              <w:t>Insertion complications may include infection, expulsion, or perforation. Individuals should be advised on the signs that these may have occurred and the action to take if they become concerned</w:t>
            </w:r>
            <w:r>
              <w:rPr>
                <w:rFonts w:ascii="Arial" w:hAnsi="Arial" w:cs="Arial"/>
              </w:rPr>
              <w:t xml:space="preserve">.  </w:t>
            </w:r>
          </w:p>
        </w:tc>
      </w:tr>
      <w:tr w:rsidR="000C4D7A" w14:paraId="51970F4B" w14:textId="77777777" w:rsidTr="00C552F2">
        <w:tc>
          <w:tcPr>
            <w:tcW w:w="2192" w:type="dxa"/>
            <w:shd w:val="clear" w:color="auto" w:fill="D9D9D9" w:themeFill="background1" w:themeFillShade="D9"/>
          </w:tcPr>
          <w:p w14:paraId="50455BA2" w14:textId="77777777" w:rsidR="000C4D7A" w:rsidRPr="00D00B34" w:rsidRDefault="000C4D7A" w:rsidP="000C4D7A">
            <w:pPr>
              <w:rPr>
                <w:rFonts w:ascii="Arial" w:eastAsia="Arial" w:hAnsi="Arial" w:cs="Arial"/>
                <w:b/>
                <w:bCs/>
                <w:sz w:val="20"/>
                <w:szCs w:val="20"/>
                <w:lang w:eastAsia="en-GB" w:bidi="en-GB"/>
              </w:rPr>
            </w:pPr>
            <w:r w:rsidRPr="00D00B34">
              <w:rPr>
                <w:rFonts w:ascii="Arial" w:hAnsi="Arial" w:cs="Arial"/>
                <w:b/>
                <w:sz w:val="20"/>
                <w:szCs w:val="20"/>
              </w:rPr>
              <w:t>Management of and reporting procedure for adverse reactions</w:t>
            </w:r>
          </w:p>
        </w:tc>
        <w:tc>
          <w:tcPr>
            <w:tcW w:w="6824" w:type="dxa"/>
          </w:tcPr>
          <w:p w14:paraId="0FD94652"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rPr>
            </w:pPr>
            <w:r w:rsidRPr="00D00B34">
              <w:rPr>
                <w:rFonts w:ascii="Arial" w:eastAsia="Arial" w:hAnsi="Arial" w:cs="Arial"/>
                <w:sz w:val="20"/>
                <w:szCs w:val="20"/>
              </w:rPr>
              <w:t>Healthcare</w:t>
            </w:r>
            <w:r w:rsidRPr="00D00B34">
              <w:rPr>
                <w:rFonts w:ascii="Arial" w:eastAsia="Arial" w:hAnsi="Arial" w:cs="Arial"/>
                <w:spacing w:val="26"/>
                <w:sz w:val="20"/>
                <w:szCs w:val="20"/>
              </w:rPr>
              <w:t xml:space="preserve"> </w:t>
            </w:r>
            <w:r w:rsidRPr="00D00B34">
              <w:rPr>
                <w:rFonts w:ascii="Arial" w:eastAsia="Arial" w:hAnsi="Arial" w:cs="Arial"/>
                <w:sz w:val="20"/>
                <w:szCs w:val="20"/>
              </w:rPr>
              <w:t>professionals</w:t>
            </w:r>
            <w:r w:rsidRPr="00D00B34">
              <w:rPr>
                <w:rFonts w:ascii="Arial" w:eastAsia="Arial" w:hAnsi="Arial" w:cs="Arial"/>
                <w:spacing w:val="24"/>
                <w:sz w:val="20"/>
                <w:szCs w:val="20"/>
              </w:rPr>
              <w:t xml:space="preserve"> </w:t>
            </w:r>
            <w:r w:rsidRPr="00D00B34">
              <w:rPr>
                <w:rFonts w:ascii="Arial" w:eastAsia="Arial" w:hAnsi="Arial" w:cs="Arial"/>
                <w:sz w:val="20"/>
                <w:szCs w:val="20"/>
              </w:rPr>
              <w:t>and</w:t>
            </w:r>
            <w:r w:rsidRPr="00D00B34">
              <w:rPr>
                <w:rFonts w:ascii="Arial" w:eastAsia="Arial" w:hAnsi="Arial" w:cs="Arial"/>
                <w:spacing w:val="14"/>
                <w:sz w:val="20"/>
                <w:szCs w:val="20"/>
              </w:rPr>
              <w:t xml:space="preserve"> </w:t>
            </w:r>
            <w:r w:rsidRPr="00D00B34">
              <w:rPr>
                <w:rFonts w:ascii="Arial" w:eastAsia="Arial" w:hAnsi="Arial" w:cs="Arial"/>
                <w:sz w:val="20"/>
                <w:szCs w:val="20"/>
              </w:rPr>
              <w:t>patients/carers are</w:t>
            </w:r>
            <w:r w:rsidRPr="00D00B34">
              <w:rPr>
                <w:rFonts w:ascii="Arial" w:eastAsia="Arial" w:hAnsi="Arial" w:cs="Arial"/>
                <w:spacing w:val="10"/>
                <w:sz w:val="20"/>
                <w:szCs w:val="20"/>
              </w:rPr>
              <w:t xml:space="preserve"> </w:t>
            </w:r>
            <w:r w:rsidRPr="00D00B34">
              <w:rPr>
                <w:rFonts w:ascii="Arial" w:eastAsia="Arial" w:hAnsi="Arial" w:cs="Arial"/>
                <w:sz w:val="20"/>
                <w:szCs w:val="20"/>
              </w:rPr>
              <w:t>encouraged</w:t>
            </w:r>
            <w:r w:rsidRPr="00D00B34">
              <w:rPr>
                <w:rFonts w:ascii="Arial" w:eastAsia="Arial" w:hAnsi="Arial" w:cs="Arial"/>
                <w:spacing w:val="25"/>
                <w:sz w:val="20"/>
                <w:szCs w:val="20"/>
              </w:rPr>
              <w:t xml:space="preserve"> </w:t>
            </w:r>
            <w:r w:rsidRPr="00D00B34">
              <w:rPr>
                <w:rFonts w:ascii="Arial" w:eastAsia="Arial" w:hAnsi="Arial" w:cs="Arial"/>
                <w:sz w:val="20"/>
                <w:szCs w:val="20"/>
              </w:rPr>
              <w:t>to</w:t>
            </w:r>
            <w:r w:rsidRPr="00D00B34">
              <w:rPr>
                <w:rFonts w:ascii="Arial" w:eastAsia="Arial" w:hAnsi="Arial" w:cs="Arial"/>
                <w:spacing w:val="21"/>
                <w:sz w:val="20"/>
                <w:szCs w:val="20"/>
              </w:rPr>
              <w:t xml:space="preserve"> </w:t>
            </w:r>
            <w:r w:rsidRPr="00D00B34">
              <w:rPr>
                <w:rFonts w:ascii="Arial" w:eastAsia="Arial" w:hAnsi="Arial" w:cs="Arial"/>
                <w:sz w:val="20"/>
                <w:szCs w:val="20"/>
              </w:rPr>
              <w:t>report</w:t>
            </w:r>
            <w:r w:rsidRPr="00D00B34">
              <w:rPr>
                <w:rFonts w:ascii="Arial" w:eastAsia="Arial" w:hAnsi="Arial" w:cs="Arial"/>
                <w:spacing w:val="13"/>
                <w:sz w:val="20"/>
                <w:szCs w:val="20"/>
              </w:rPr>
              <w:t xml:space="preserve"> </w:t>
            </w:r>
            <w:r w:rsidRPr="00D00B34">
              <w:rPr>
                <w:rFonts w:ascii="Arial" w:eastAsia="Arial" w:hAnsi="Arial" w:cs="Arial"/>
                <w:sz w:val="20"/>
                <w:szCs w:val="20"/>
              </w:rPr>
              <w:t>suspected</w:t>
            </w:r>
            <w:r w:rsidRPr="00D00B34">
              <w:rPr>
                <w:rFonts w:ascii="Arial" w:eastAsia="Arial" w:hAnsi="Arial" w:cs="Arial"/>
                <w:spacing w:val="18"/>
                <w:sz w:val="20"/>
                <w:szCs w:val="20"/>
              </w:rPr>
              <w:t xml:space="preserve"> </w:t>
            </w:r>
            <w:r w:rsidRPr="00D00B34">
              <w:rPr>
                <w:rFonts w:ascii="Arial" w:eastAsia="Arial" w:hAnsi="Arial" w:cs="Arial"/>
                <w:sz w:val="20"/>
                <w:szCs w:val="20"/>
              </w:rPr>
              <w:t>adverse</w:t>
            </w:r>
            <w:r w:rsidRPr="00D00B34">
              <w:rPr>
                <w:rFonts w:ascii="Arial" w:eastAsia="Arial" w:hAnsi="Arial" w:cs="Arial"/>
                <w:spacing w:val="29"/>
                <w:sz w:val="20"/>
                <w:szCs w:val="20"/>
              </w:rPr>
              <w:t xml:space="preserve"> </w:t>
            </w:r>
            <w:r w:rsidRPr="00D00B34">
              <w:rPr>
                <w:rFonts w:ascii="Arial" w:eastAsia="Arial" w:hAnsi="Arial" w:cs="Arial"/>
                <w:sz w:val="20"/>
                <w:szCs w:val="20"/>
              </w:rPr>
              <w:t>reactions</w:t>
            </w:r>
            <w:r w:rsidRPr="00D00B34">
              <w:rPr>
                <w:rFonts w:ascii="Arial" w:eastAsia="Arial" w:hAnsi="Arial" w:cs="Arial"/>
                <w:spacing w:val="10"/>
                <w:sz w:val="20"/>
                <w:szCs w:val="20"/>
              </w:rPr>
              <w:t xml:space="preserve"> </w:t>
            </w:r>
            <w:r w:rsidRPr="00D00B34">
              <w:rPr>
                <w:rFonts w:ascii="Arial" w:eastAsia="Arial" w:hAnsi="Arial" w:cs="Arial"/>
                <w:sz w:val="20"/>
                <w:szCs w:val="20"/>
              </w:rPr>
              <w:t>to</w:t>
            </w:r>
            <w:r w:rsidRPr="00D00B34">
              <w:rPr>
                <w:rFonts w:ascii="Arial" w:eastAsia="Arial" w:hAnsi="Arial" w:cs="Arial"/>
                <w:spacing w:val="14"/>
                <w:sz w:val="20"/>
                <w:szCs w:val="20"/>
              </w:rPr>
              <w:t xml:space="preserve"> </w:t>
            </w:r>
            <w:r w:rsidRPr="00D00B34">
              <w:rPr>
                <w:rFonts w:ascii="Arial" w:eastAsia="Arial" w:hAnsi="Arial" w:cs="Arial"/>
                <w:sz w:val="20"/>
                <w:szCs w:val="20"/>
              </w:rPr>
              <w:t>the</w:t>
            </w:r>
            <w:r w:rsidRPr="00D00B34">
              <w:rPr>
                <w:rFonts w:ascii="Arial" w:eastAsia="Arial" w:hAnsi="Arial" w:cs="Arial"/>
                <w:w w:val="98"/>
                <w:sz w:val="20"/>
                <w:szCs w:val="20"/>
              </w:rPr>
              <w:t xml:space="preserve"> </w:t>
            </w:r>
            <w:r w:rsidRPr="00D00B34">
              <w:rPr>
                <w:rFonts w:ascii="Arial" w:eastAsia="Arial" w:hAnsi="Arial" w:cs="Arial"/>
                <w:sz w:val="20"/>
                <w:szCs w:val="20"/>
              </w:rPr>
              <w:t>Medicines</w:t>
            </w:r>
            <w:r w:rsidRPr="00D00B34">
              <w:rPr>
                <w:rFonts w:ascii="Arial" w:eastAsia="Arial" w:hAnsi="Arial" w:cs="Arial"/>
                <w:spacing w:val="22"/>
                <w:sz w:val="20"/>
                <w:szCs w:val="20"/>
              </w:rPr>
              <w:t xml:space="preserve"> </w:t>
            </w:r>
            <w:r w:rsidRPr="00D00B34">
              <w:rPr>
                <w:rFonts w:ascii="Arial" w:eastAsia="Arial" w:hAnsi="Arial" w:cs="Arial"/>
                <w:sz w:val="20"/>
                <w:szCs w:val="20"/>
              </w:rPr>
              <w:t>and</w:t>
            </w:r>
            <w:r w:rsidRPr="00D00B34">
              <w:rPr>
                <w:rFonts w:ascii="Arial" w:eastAsia="Arial" w:hAnsi="Arial" w:cs="Arial"/>
                <w:spacing w:val="19"/>
                <w:sz w:val="20"/>
                <w:szCs w:val="20"/>
              </w:rPr>
              <w:t xml:space="preserve"> </w:t>
            </w:r>
            <w:r w:rsidRPr="00D00B34">
              <w:rPr>
                <w:rFonts w:ascii="Arial" w:eastAsia="Arial" w:hAnsi="Arial" w:cs="Arial"/>
                <w:sz w:val="20"/>
                <w:szCs w:val="20"/>
              </w:rPr>
              <w:t>Healthcare</w:t>
            </w:r>
            <w:r w:rsidRPr="00D00B34">
              <w:rPr>
                <w:rFonts w:ascii="Arial" w:eastAsia="Arial" w:hAnsi="Arial" w:cs="Arial"/>
                <w:spacing w:val="18"/>
                <w:sz w:val="20"/>
                <w:szCs w:val="20"/>
              </w:rPr>
              <w:t xml:space="preserve"> </w:t>
            </w:r>
            <w:r w:rsidRPr="00D00B34">
              <w:rPr>
                <w:rFonts w:ascii="Arial" w:eastAsia="Arial" w:hAnsi="Arial" w:cs="Arial"/>
                <w:sz w:val="20"/>
                <w:szCs w:val="20"/>
              </w:rPr>
              <w:t>products</w:t>
            </w:r>
            <w:r w:rsidRPr="00D00B34">
              <w:rPr>
                <w:rFonts w:ascii="Arial" w:eastAsia="Arial" w:hAnsi="Arial" w:cs="Arial"/>
                <w:spacing w:val="23"/>
                <w:sz w:val="20"/>
                <w:szCs w:val="20"/>
              </w:rPr>
              <w:t xml:space="preserve"> </w:t>
            </w:r>
            <w:r w:rsidRPr="00D00B34">
              <w:rPr>
                <w:rFonts w:ascii="Arial" w:eastAsia="Arial" w:hAnsi="Arial" w:cs="Arial"/>
                <w:sz w:val="20"/>
                <w:szCs w:val="20"/>
              </w:rPr>
              <w:t>Regulatory</w:t>
            </w:r>
            <w:r w:rsidRPr="00D00B34">
              <w:rPr>
                <w:rFonts w:ascii="Arial" w:eastAsia="Arial" w:hAnsi="Arial" w:cs="Arial"/>
                <w:spacing w:val="7"/>
                <w:sz w:val="20"/>
                <w:szCs w:val="20"/>
              </w:rPr>
              <w:t xml:space="preserve"> </w:t>
            </w:r>
            <w:r w:rsidRPr="00D00B34">
              <w:rPr>
                <w:rFonts w:ascii="Arial" w:eastAsia="Arial" w:hAnsi="Arial" w:cs="Arial"/>
                <w:sz w:val="20"/>
                <w:szCs w:val="20"/>
              </w:rPr>
              <w:t>Agency</w:t>
            </w:r>
            <w:r w:rsidRPr="00D00B34">
              <w:rPr>
                <w:rFonts w:ascii="Arial" w:eastAsia="Arial" w:hAnsi="Arial" w:cs="Arial"/>
                <w:spacing w:val="38"/>
                <w:sz w:val="20"/>
                <w:szCs w:val="20"/>
              </w:rPr>
              <w:t xml:space="preserve"> </w:t>
            </w:r>
            <w:r w:rsidRPr="00D00B34">
              <w:rPr>
                <w:rFonts w:ascii="Arial" w:eastAsia="Arial" w:hAnsi="Arial" w:cs="Arial"/>
                <w:sz w:val="20"/>
                <w:szCs w:val="20"/>
              </w:rPr>
              <w:t>(MHRA)</w:t>
            </w:r>
            <w:r w:rsidRPr="00D00B34">
              <w:rPr>
                <w:rFonts w:ascii="Arial" w:eastAsia="Arial" w:hAnsi="Arial" w:cs="Arial"/>
                <w:w w:val="101"/>
                <w:sz w:val="20"/>
                <w:szCs w:val="20"/>
              </w:rPr>
              <w:t xml:space="preserve"> </w:t>
            </w:r>
            <w:r w:rsidRPr="00D00B34">
              <w:rPr>
                <w:rFonts w:ascii="Arial" w:eastAsia="Arial" w:hAnsi="Arial" w:cs="Arial"/>
                <w:sz w:val="20"/>
                <w:szCs w:val="20"/>
              </w:rPr>
              <w:t>using</w:t>
            </w:r>
            <w:r w:rsidRPr="00D00B34">
              <w:rPr>
                <w:rFonts w:ascii="Arial" w:eastAsia="Arial" w:hAnsi="Arial" w:cs="Arial"/>
                <w:spacing w:val="9"/>
                <w:sz w:val="20"/>
                <w:szCs w:val="20"/>
              </w:rPr>
              <w:t xml:space="preserve"> </w:t>
            </w:r>
            <w:r w:rsidRPr="00D00B34">
              <w:rPr>
                <w:rFonts w:ascii="Arial" w:eastAsia="Arial" w:hAnsi="Arial" w:cs="Arial"/>
                <w:sz w:val="20"/>
                <w:szCs w:val="20"/>
              </w:rPr>
              <w:t>the</w:t>
            </w:r>
            <w:r w:rsidRPr="00D00B34">
              <w:rPr>
                <w:rFonts w:ascii="Arial" w:eastAsia="Arial" w:hAnsi="Arial" w:cs="Arial"/>
                <w:spacing w:val="11"/>
                <w:sz w:val="20"/>
                <w:szCs w:val="20"/>
              </w:rPr>
              <w:t xml:space="preserve"> </w:t>
            </w:r>
            <w:r w:rsidRPr="00D00B34">
              <w:rPr>
                <w:rFonts w:ascii="Arial" w:eastAsia="Arial" w:hAnsi="Arial" w:cs="Arial"/>
                <w:sz w:val="20"/>
                <w:szCs w:val="20"/>
              </w:rPr>
              <w:t>Yellow</w:t>
            </w:r>
            <w:r w:rsidRPr="00D00B34">
              <w:rPr>
                <w:rFonts w:ascii="Arial" w:eastAsia="Arial" w:hAnsi="Arial" w:cs="Arial"/>
                <w:spacing w:val="28"/>
                <w:sz w:val="20"/>
                <w:szCs w:val="20"/>
              </w:rPr>
              <w:t xml:space="preserve"> </w:t>
            </w:r>
            <w:r w:rsidRPr="00D00B34">
              <w:rPr>
                <w:rFonts w:ascii="Arial" w:eastAsia="Arial" w:hAnsi="Arial" w:cs="Arial"/>
                <w:sz w:val="20"/>
                <w:szCs w:val="20"/>
              </w:rPr>
              <w:t>Card</w:t>
            </w:r>
            <w:r w:rsidRPr="00D00B34">
              <w:rPr>
                <w:rFonts w:ascii="Arial" w:eastAsia="Arial" w:hAnsi="Arial" w:cs="Arial"/>
                <w:spacing w:val="16"/>
                <w:sz w:val="20"/>
                <w:szCs w:val="20"/>
              </w:rPr>
              <w:t xml:space="preserve"> </w:t>
            </w:r>
            <w:r w:rsidRPr="00D00B34">
              <w:rPr>
                <w:rFonts w:ascii="Arial" w:eastAsia="Arial" w:hAnsi="Arial" w:cs="Arial"/>
                <w:sz w:val="20"/>
                <w:szCs w:val="20"/>
              </w:rPr>
              <w:t>reporting</w:t>
            </w:r>
            <w:r w:rsidRPr="00D00B34">
              <w:rPr>
                <w:rFonts w:ascii="Arial" w:eastAsia="Arial" w:hAnsi="Arial" w:cs="Arial"/>
                <w:spacing w:val="12"/>
                <w:sz w:val="20"/>
                <w:szCs w:val="20"/>
              </w:rPr>
              <w:t xml:space="preserve"> </w:t>
            </w:r>
            <w:r w:rsidRPr="00D00B34">
              <w:rPr>
                <w:rFonts w:ascii="Arial" w:eastAsia="Arial" w:hAnsi="Arial" w:cs="Arial"/>
                <w:sz w:val="20"/>
                <w:szCs w:val="20"/>
              </w:rPr>
              <w:t>scheme</w:t>
            </w:r>
            <w:r w:rsidRPr="00D00B34">
              <w:rPr>
                <w:rFonts w:ascii="Arial" w:eastAsia="Arial" w:hAnsi="Arial" w:cs="Arial"/>
                <w:spacing w:val="16"/>
                <w:sz w:val="20"/>
                <w:szCs w:val="20"/>
              </w:rPr>
              <w:t xml:space="preserve"> </w:t>
            </w:r>
            <w:r w:rsidRPr="00D00B34">
              <w:rPr>
                <w:rFonts w:ascii="Arial" w:eastAsia="Arial" w:hAnsi="Arial" w:cs="Arial"/>
                <w:sz w:val="20"/>
                <w:szCs w:val="20"/>
              </w:rPr>
              <w:t xml:space="preserve">on: </w:t>
            </w:r>
            <w:hyperlink r:id="rId18" w:history="1">
              <w:r w:rsidRPr="00D00B34">
                <w:rPr>
                  <w:rFonts w:ascii="Arial" w:eastAsia="Arial" w:hAnsi="Arial" w:cs="Arial"/>
                  <w:color w:val="2F5496"/>
                  <w:sz w:val="20"/>
                  <w:szCs w:val="20"/>
                  <w:u w:val="single"/>
                </w:rPr>
                <w:t>http://yellowcard.mhra.gov.uk</w:t>
              </w:r>
            </w:hyperlink>
            <w:r w:rsidRPr="00D00B34">
              <w:rPr>
                <w:rFonts w:ascii="Arial" w:eastAsia="Arial" w:hAnsi="Arial" w:cs="Arial"/>
                <w:color w:val="2F5496"/>
                <w:sz w:val="20"/>
                <w:szCs w:val="20"/>
                <w:u w:val="single"/>
              </w:rPr>
              <w:t xml:space="preserve"> </w:t>
            </w:r>
            <w:r w:rsidRPr="00D00B34">
              <w:rPr>
                <w:rFonts w:ascii="Arial" w:eastAsia="Arial" w:hAnsi="Arial" w:cs="Arial"/>
                <w:color w:val="2F5496"/>
                <w:sz w:val="20"/>
                <w:szCs w:val="20"/>
              </w:rPr>
              <w:t xml:space="preserve">   </w:t>
            </w:r>
          </w:p>
          <w:p w14:paraId="1D6B83EB"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D00B34">
              <w:rPr>
                <w:rFonts w:ascii="Arial" w:hAnsi="Arial" w:cs="Arial"/>
                <w:sz w:val="20"/>
                <w:szCs w:val="20"/>
              </w:rPr>
              <w:t xml:space="preserve">Record all adverse drug reactions (ADRs) in the </w:t>
            </w:r>
            <w:r w:rsidR="00A03E0A">
              <w:rPr>
                <w:rFonts w:ascii="Arial" w:hAnsi="Arial" w:cs="Arial"/>
                <w:sz w:val="20"/>
                <w:szCs w:val="20"/>
              </w:rPr>
              <w:t>individual’s clinical</w:t>
            </w:r>
            <w:r w:rsidRPr="00D00B34">
              <w:rPr>
                <w:rFonts w:ascii="Arial" w:hAnsi="Arial" w:cs="Arial"/>
                <w:sz w:val="20"/>
                <w:szCs w:val="20"/>
              </w:rPr>
              <w:t xml:space="preserve"> record.</w:t>
            </w:r>
          </w:p>
          <w:p w14:paraId="40B096D4" w14:textId="77777777" w:rsidR="000C4D7A" w:rsidRPr="00D00B34" w:rsidRDefault="000C4D7A" w:rsidP="000C4D7A">
            <w:pPr>
              <w:widowControl w:val="0"/>
              <w:numPr>
                <w:ilvl w:val="0"/>
                <w:numId w:val="11"/>
              </w:numPr>
              <w:overflowPunct w:val="0"/>
              <w:autoSpaceDE w:val="0"/>
              <w:autoSpaceDN w:val="0"/>
              <w:adjustRightInd w:val="0"/>
              <w:contextualSpacing/>
              <w:textAlignment w:val="baseline"/>
              <w:rPr>
                <w:rFonts w:ascii="Arial" w:eastAsia="Arial" w:hAnsi="Arial" w:cs="Arial"/>
                <w:sz w:val="20"/>
                <w:szCs w:val="20"/>
                <w:lang w:eastAsia="en-GB" w:bidi="en-GB"/>
              </w:rPr>
            </w:pPr>
            <w:r w:rsidRPr="00A03E0A">
              <w:rPr>
                <w:rFonts w:ascii="Arial" w:hAnsi="Arial" w:cs="Arial"/>
                <w:sz w:val="20"/>
                <w:szCs w:val="20"/>
                <w:highlight w:val="yellow"/>
              </w:rPr>
              <w:t>Report via organisation incident policy.</w:t>
            </w:r>
          </w:p>
        </w:tc>
      </w:tr>
      <w:tr w:rsidR="0062480D" w14:paraId="337B6159" w14:textId="77777777" w:rsidTr="00C552F2">
        <w:tc>
          <w:tcPr>
            <w:tcW w:w="2192" w:type="dxa"/>
            <w:shd w:val="clear" w:color="auto" w:fill="D9D9D9"/>
          </w:tcPr>
          <w:p w14:paraId="5EE71251" w14:textId="16E2FB87" w:rsidR="0062480D" w:rsidRPr="007B4938" w:rsidRDefault="0062480D" w:rsidP="0062480D">
            <w:pPr>
              <w:rPr>
                <w:rFonts w:ascii="Arial" w:eastAsia="Arial" w:hAnsi="Arial" w:cs="Arial"/>
                <w:b/>
                <w:bCs/>
                <w:sz w:val="20"/>
                <w:szCs w:val="20"/>
                <w:lang w:eastAsia="en-GB" w:bidi="en-GB"/>
              </w:rPr>
            </w:pPr>
            <w:r w:rsidRPr="007B4938">
              <w:rPr>
                <w:rFonts w:ascii="Arial" w:hAnsi="Arial" w:cs="Arial"/>
                <w:b/>
                <w:sz w:val="20"/>
                <w:szCs w:val="20"/>
              </w:rPr>
              <w:t>Additional facilities and supplies</w:t>
            </w:r>
          </w:p>
        </w:tc>
        <w:tc>
          <w:tcPr>
            <w:tcW w:w="6824" w:type="dxa"/>
          </w:tcPr>
          <w:p w14:paraId="1CD81E92" w14:textId="77777777" w:rsidR="0062480D" w:rsidRPr="007B4938" w:rsidRDefault="0062480D" w:rsidP="0062480D">
            <w:pPr>
              <w:pStyle w:val="TableParagraph"/>
              <w:numPr>
                <w:ilvl w:val="0"/>
                <w:numId w:val="22"/>
              </w:numPr>
              <w:rPr>
                <w:rFonts w:ascii="Arial" w:hAnsi="Arial" w:cs="Arial"/>
                <w:color w:val="000000"/>
                <w:sz w:val="20"/>
                <w:szCs w:val="20"/>
                <w:lang w:val="en-GB"/>
              </w:rPr>
            </w:pPr>
            <w:r w:rsidRPr="007B4938">
              <w:rPr>
                <w:rFonts w:ascii="Arial" w:hAnsi="Arial" w:cs="Arial"/>
                <w:color w:val="000000"/>
                <w:sz w:val="20"/>
                <w:szCs w:val="20"/>
                <w:lang w:val="en-GB"/>
              </w:rPr>
              <w:t xml:space="preserve">Access to working </w:t>
            </w:r>
            <w:proofErr w:type="gramStart"/>
            <w:r w:rsidRPr="007B4938">
              <w:rPr>
                <w:rFonts w:ascii="Arial" w:hAnsi="Arial" w:cs="Arial"/>
                <w:color w:val="000000"/>
                <w:sz w:val="20"/>
                <w:szCs w:val="20"/>
                <w:lang w:val="en-GB"/>
              </w:rPr>
              <w:t>telephone</w:t>
            </w:r>
            <w:proofErr w:type="gramEnd"/>
          </w:p>
          <w:p w14:paraId="2A19872E" w14:textId="77777777" w:rsidR="0062480D" w:rsidRPr="007B4938" w:rsidRDefault="0062480D" w:rsidP="0062480D">
            <w:pPr>
              <w:pStyle w:val="TableParagraph"/>
              <w:numPr>
                <w:ilvl w:val="0"/>
                <w:numId w:val="22"/>
              </w:numPr>
              <w:rPr>
                <w:rFonts w:ascii="Arial" w:hAnsi="Arial" w:cs="Arial"/>
                <w:color w:val="000000"/>
                <w:sz w:val="20"/>
                <w:szCs w:val="20"/>
                <w:lang w:val="en-GB"/>
              </w:rPr>
            </w:pPr>
            <w:r w:rsidRPr="007B4938">
              <w:rPr>
                <w:rFonts w:ascii="Arial" w:hAnsi="Arial" w:cs="Arial"/>
                <w:color w:val="000000"/>
                <w:sz w:val="20"/>
                <w:szCs w:val="20"/>
                <w:lang w:val="en-GB"/>
              </w:rPr>
              <w:t>Suitable waste disposal facilities</w:t>
            </w:r>
          </w:p>
          <w:p w14:paraId="61B68E3B" w14:textId="3063B5C5" w:rsidR="0062480D" w:rsidRPr="007B4938" w:rsidRDefault="0062480D" w:rsidP="0062480D">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3D76DB">
              <w:rPr>
                <w:rFonts w:ascii="Arial" w:hAnsi="Arial" w:cs="Arial"/>
                <w:color w:val="000000"/>
                <w:sz w:val="20"/>
                <w:szCs w:val="20"/>
                <w:lang w:val="en-GB"/>
              </w:rPr>
              <w:t>Immediate access to in-date anaphylaxis kit (IM adrenaline 1:1000) and emergency drugs including atropine and oxygen according to local protocol.</w:t>
            </w:r>
          </w:p>
        </w:tc>
      </w:tr>
      <w:tr w:rsidR="007B4938" w14:paraId="5B151C8F" w14:textId="77777777" w:rsidTr="00C552F2">
        <w:tc>
          <w:tcPr>
            <w:tcW w:w="2192" w:type="dxa"/>
            <w:shd w:val="clear" w:color="auto" w:fill="D9D9D9"/>
          </w:tcPr>
          <w:p w14:paraId="24E85931" w14:textId="5A63AE56" w:rsidR="0062480D" w:rsidRPr="007B4938" w:rsidRDefault="0062480D" w:rsidP="0062480D">
            <w:pPr>
              <w:rPr>
                <w:rFonts w:ascii="Arial" w:eastAsia="Arial" w:hAnsi="Arial" w:cs="Arial"/>
                <w:b/>
                <w:bCs/>
                <w:sz w:val="20"/>
                <w:szCs w:val="20"/>
                <w:lang w:eastAsia="en-GB" w:bidi="en-GB"/>
              </w:rPr>
            </w:pPr>
            <w:r w:rsidRPr="007B4938">
              <w:rPr>
                <w:sz w:val="20"/>
                <w:szCs w:val="20"/>
              </w:rPr>
              <w:br w:type="page"/>
            </w:r>
            <w:r w:rsidRPr="007B4938">
              <w:rPr>
                <w:sz w:val="20"/>
                <w:szCs w:val="20"/>
              </w:rPr>
              <w:br w:type="page"/>
            </w:r>
            <w:r w:rsidRPr="007B4938">
              <w:rPr>
                <w:rFonts w:ascii="Arial" w:hAnsi="Arial" w:cs="Arial"/>
                <w:b/>
                <w:sz w:val="20"/>
                <w:szCs w:val="20"/>
              </w:rPr>
              <w:t xml:space="preserve">Written information and further advice to be given to individual </w:t>
            </w:r>
          </w:p>
        </w:tc>
        <w:tc>
          <w:tcPr>
            <w:tcW w:w="6824" w:type="dxa"/>
          </w:tcPr>
          <w:p w14:paraId="3D23EE96" w14:textId="0C48E459"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Provide patient information leaflet (PIL) provided </w:t>
            </w:r>
            <w:r w:rsidR="007B4938" w:rsidRPr="007B4938">
              <w:rPr>
                <w:rFonts w:ascii="Arial" w:eastAsia="Arial" w:hAnsi="Arial" w:cs="Arial"/>
                <w:sz w:val="20"/>
                <w:szCs w:val="20"/>
              </w:rPr>
              <w:t>by the manufacturer.</w:t>
            </w:r>
          </w:p>
          <w:p w14:paraId="2684C610" w14:textId="6D52C032"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Explain mode of action, side effects, </w:t>
            </w:r>
            <w:proofErr w:type="gramStart"/>
            <w:r w:rsidRPr="007B4938">
              <w:rPr>
                <w:rFonts w:ascii="Arial" w:eastAsia="Arial" w:hAnsi="Arial" w:cs="Arial"/>
                <w:sz w:val="20"/>
                <w:szCs w:val="20"/>
              </w:rPr>
              <w:t>risks</w:t>
            </w:r>
            <w:proofErr w:type="gramEnd"/>
            <w:r w:rsidRPr="007B4938">
              <w:rPr>
                <w:rFonts w:ascii="Arial" w:eastAsia="Arial" w:hAnsi="Arial" w:cs="Arial"/>
                <w:sz w:val="20"/>
                <w:szCs w:val="20"/>
              </w:rPr>
              <w:t xml:space="preserve"> and benefits of the </w:t>
            </w:r>
            <w:r w:rsidR="007B4938" w:rsidRPr="007B4938">
              <w:rPr>
                <w:rFonts w:ascii="Arial" w:eastAsia="Arial" w:hAnsi="Arial" w:cs="Arial"/>
                <w:sz w:val="20"/>
                <w:szCs w:val="20"/>
              </w:rPr>
              <w:t>Cu-IUD</w:t>
            </w:r>
          </w:p>
          <w:p w14:paraId="4EAF17EC" w14:textId="5F337BD2"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Advise about the </w:t>
            </w:r>
            <w:r w:rsidR="007B4938" w:rsidRPr="007B4938">
              <w:rPr>
                <w:rFonts w:ascii="Arial" w:eastAsia="Arial" w:hAnsi="Arial" w:cs="Arial"/>
                <w:sz w:val="20"/>
                <w:szCs w:val="20"/>
              </w:rPr>
              <w:t>risks including</w:t>
            </w:r>
            <w:r w:rsidRPr="007B4938">
              <w:rPr>
                <w:rFonts w:ascii="Arial" w:eastAsia="Arial" w:hAnsi="Arial" w:cs="Arial"/>
                <w:sz w:val="20"/>
                <w:szCs w:val="20"/>
              </w:rPr>
              <w:t xml:space="preserve"> failure rates and serious side effects and the actions to be taken.</w:t>
            </w:r>
          </w:p>
          <w:p w14:paraId="2E3596D9" w14:textId="77777777"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Advise about the possible symptoms of serious sequelae e.g. infection, ectopic pregnancy, expulsion and perforation and when to seek clinical </w:t>
            </w:r>
            <w:proofErr w:type="gramStart"/>
            <w:r w:rsidRPr="007B4938">
              <w:rPr>
                <w:rFonts w:ascii="Arial" w:eastAsia="Arial" w:hAnsi="Arial" w:cs="Arial"/>
                <w:sz w:val="20"/>
                <w:szCs w:val="20"/>
              </w:rPr>
              <w:t>advice</w:t>
            </w:r>
            <w:proofErr w:type="gramEnd"/>
          </w:p>
          <w:p w14:paraId="58E8BBB4" w14:textId="188B6903"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lastRenderedPageBreak/>
              <w:t xml:space="preserve">Teach individual how to check threads and to seek clinical advice if </w:t>
            </w:r>
            <w:r w:rsidR="007B4938" w:rsidRPr="007B4938">
              <w:rPr>
                <w:rFonts w:ascii="Arial" w:eastAsia="Arial" w:hAnsi="Arial" w:cs="Arial"/>
                <w:sz w:val="20"/>
                <w:szCs w:val="20"/>
              </w:rPr>
              <w:t>unable to feel threads.</w:t>
            </w:r>
          </w:p>
          <w:p w14:paraId="7375BD0F" w14:textId="5BFF8DB9"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Advise when replacement of the </w:t>
            </w:r>
            <w:r w:rsidR="007B4938" w:rsidRPr="007B4938">
              <w:rPr>
                <w:rFonts w:ascii="Arial" w:eastAsia="Arial" w:hAnsi="Arial" w:cs="Arial"/>
                <w:sz w:val="20"/>
                <w:szCs w:val="20"/>
              </w:rPr>
              <w:t>Cu-IUD</w:t>
            </w:r>
            <w:r w:rsidRPr="007B4938">
              <w:rPr>
                <w:rFonts w:ascii="Arial" w:eastAsia="Arial" w:hAnsi="Arial" w:cs="Arial"/>
                <w:sz w:val="20"/>
                <w:szCs w:val="20"/>
              </w:rPr>
              <w:t xml:space="preserve"> will be </w:t>
            </w:r>
            <w:r w:rsidR="007B4938" w:rsidRPr="007B4938">
              <w:rPr>
                <w:rFonts w:ascii="Arial" w:eastAsia="Arial" w:hAnsi="Arial" w:cs="Arial"/>
                <w:sz w:val="20"/>
                <w:szCs w:val="20"/>
              </w:rPr>
              <w:t>required</w:t>
            </w:r>
            <w:r w:rsidRPr="007B4938">
              <w:rPr>
                <w:rFonts w:ascii="Arial" w:eastAsia="Arial" w:hAnsi="Arial" w:cs="Arial"/>
                <w:sz w:val="20"/>
                <w:szCs w:val="20"/>
              </w:rPr>
              <w:t xml:space="preserve">.  </w:t>
            </w:r>
          </w:p>
          <w:p w14:paraId="06E2CC08" w14:textId="77777777" w:rsidR="0062480D" w:rsidRPr="007B4938" w:rsidRDefault="0062480D" w:rsidP="0062480D">
            <w:pPr>
              <w:widowControl w:val="0"/>
              <w:numPr>
                <w:ilvl w:val="0"/>
                <w:numId w:val="24"/>
              </w:numPr>
              <w:overflowPunct w:val="0"/>
              <w:autoSpaceDE w:val="0"/>
              <w:autoSpaceDN w:val="0"/>
              <w:adjustRightInd w:val="0"/>
              <w:contextualSpacing/>
              <w:textAlignment w:val="baseline"/>
              <w:rPr>
                <w:rFonts w:ascii="Arial" w:eastAsia="Arial" w:hAnsi="Arial" w:cs="Arial"/>
                <w:sz w:val="20"/>
                <w:szCs w:val="20"/>
              </w:rPr>
            </w:pPr>
            <w:r w:rsidRPr="007B4938">
              <w:rPr>
                <w:rFonts w:ascii="Arial" w:eastAsia="Arial" w:hAnsi="Arial" w:cs="Arial"/>
                <w:sz w:val="20"/>
                <w:szCs w:val="20"/>
              </w:rPr>
              <w:t xml:space="preserve">Offer condoms and advice on safer sex practices and possible need for screening for sexually transmitted infections (STIs) </w:t>
            </w:r>
          </w:p>
          <w:p w14:paraId="00B28140" w14:textId="45BA11D1" w:rsidR="0062480D" w:rsidRPr="007B4938" w:rsidRDefault="0062480D" w:rsidP="0062480D">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7B4938">
              <w:rPr>
                <w:rFonts w:ascii="Arial" w:eastAsia="Arial" w:hAnsi="Arial" w:cs="Arial"/>
                <w:sz w:val="20"/>
                <w:szCs w:val="20"/>
              </w:rPr>
              <w:t>Ensure the individual has contact details of local service/sexual health services.</w:t>
            </w:r>
          </w:p>
        </w:tc>
      </w:tr>
      <w:tr w:rsidR="000C4D7A" w14:paraId="541F81E1" w14:textId="77777777" w:rsidTr="00C552F2">
        <w:tc>
          <w:tcPr>
            <w:tcW w:w="2192" w:type="dxa"/>
            <w:shd w:val="clear" w:color="auto" w:fill="D9D9D9" w:themeFill="background1" w:themeFillShade="D9"/>
          </w:tcPr>
          <w:p w14:paraId="2B3286A4" w14:textId="77777777" w:rsidR="000C4D7A" w:rsidRPr="00D00B34" w:rsidRDefault="000C4D7A" w:rsidP="000C4D7A">
            <w:pPr>
              <w:rPr>
                <w:rFonts w:ascii="Arial" w:hAnsi="Arial" w:cs="Arial"/>
                <w:b/>
                <w:bCs/>
                <w:i/>
                <w:sz w:val="20"/>
                <w:szCs w:val="20"/>
              </w:rPr>
            </w:pPr>
            <w:r w:rsidRPr="00D00B34">
              <w:rPr>
                <w:rFonts w:ascii="Arial" w:eastAsia="Arial" w:hAnsi="Arial" w:cs="Arial"/>
                <w:b/>
                <w:bCs/>
                <w:sz w:val="20"/>
                <w:szCs w:val="20"/>
                <w:lang w:eastAsia="en-GB" w:bidi="en-GB"/>
              </w:rPr>
              <w:lastRenderedPageBreak/>
              <w:t>Record keeping</w:t>
            </w:r>
          </w:p>
        </w:tc>
        <w:tc>
          <w:tcPr>
            <w:tcW w:w="6824" w:type="dxa"/>
          </w:tcPr>
          <w:p w14:paraId="4C64059D"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The consent of the individual and</w:t>
            </w:r>
          </w:p>
          <w:p w14:paraId="34382F2E"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If individual is under 13 years of age record action taken</w:t>
            </w:r>
          </w:p>
          <w:p w14:paraId="6A76B4B3"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If individual is under 16 years of age document capacity using Fraser guidelines.  If </w:t>
            </w:r>
            <w:proofErr w:type="gramStart"/>
            <w:r w:rsidRPr="00F8251F">
              <w:rPr>
                <w:rFonts w:ascii="Arial" w:hAnsi="Arial" w:cs="Arial"/>
                <w:color w:val="000000"/>
                <w:sz w:val="20"/>
                <w:szCs w:val="20"/>
              </w:rPr>
              <w:t>not</w:t>
            </w:r>
            <w:proofErr w:type="gramEnd"/>
            <w:r w:rsidRPr="00F8251F">
              <w:rPr>
                <w:rFonts w:ascii="Arial" w:hAnsi="Arial" w:cs="Arial"/>
                <w:color w:val="000000"/>
                <w:sz w:val="20"/>
                <w:szCs w:val="20"/>
              </w:rPr>
              <w:t xml:space="preserve"> competent record action taken.  </w:t>
            </w:r>
          </w:p>
          <w:p w14:paraId="66FF31AF"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If individual over 16 years of age and not competent, record action </w:t>
            </w:r>
            <w:proofErr w:type="gramStart"/>
            <w:r w:rsidRPr="00F8251F">
              <w:rPr>
                <w:rFonts w:ascii="Arial" w:hAnsi="Arial" w:cs="Arial"/>
                <w:color w:val="000000"/>
                <w:sz w:val="20"/>
                <w:szCs w:val="20"/>
              </w:rPr>
              <w:t>taken</w:t>
            </w:r>
            <w:proofErr w:type="gramEnd"/>
          </w:p>
          <w:p w14:paraId="6721EDAC"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Name of individual, address, date of birth </w:t>
            </w:r>
          </w:p>
          <w:p w14:paraId="1BA7DD4B"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strike/>
                <w:color w:val="000000"/>
                <w:sz w:val="20"/>
                <w:szCs w:val="20"/>
              </w:rPr>
            </w:pPr>
            <w:r w:rsidRPr="00F8251F">
              <w:rPr>
                <w:rFonts w:ascii="Arial" w:hAnsi="Arial" w:cs="Arial"/>
                <w:color w:val="000000"/>
                <w:sz w:val="20"/>
                <w:szCs w:val="20"/>
              </w:rPr>
              <w:t>GP contact details where appropriate</w:t>
            </w:r>
          </w:p>
          <w:p w14:paraId="11E138C0" w14:textId="77777777" w:rsidR="00C96EF8"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rPr>
            </w:pPr>
            <w:r w:rsidRPr="00F8251F">
              <w:rPr>
                <w:rFonts w:ascii="Arial" w:hAnsi="Arial" w:cs="Arial"/>
                <w:color w:val="000000"/>
                <w:sz w:val="20"/>
                <w:szCs w:val="20"/>
              </w:rPr>
              <w:t>Relevant past and present medical history, including medication and family history</w:t>
            </w:r>
            <w:r>
              <w:rPr>
                <w:rFonts w:ascii="Arial" w:hAnsi="Arial" w:cs="Arial"/>
                <w:color w:val="000000"/>
              </w:rPr>
              <w:t xml:space="preserve">. </w:t>
            </w:r>
          </w:p>
          <w:p w14:paraId="084AE190"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Any known allergies</w:t>
            </w:r>
          </w:p>
          <w:p w14:paraId="3BBC138D" w14:textId="77777777" w:rsidR="00C96EF8"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rPr>
            </w:pPr>
            <w:r w:rsidRPr="00F8251F">
              <w:rPr>
                <w:rFonts w:ascii="Arial" w:hAnsi="Arial" w:cs="Arial"/>
                <w:color w:val="000000"/>
                <w:sz w:val="20"/>
                <w:szCs w:val="20"/>
              </w:rPr>
              <w:t>Details of insertion procedure to include</w:t>
            </w:r>
            <w:r>
              <w:rPr>
                <w:rFonts w:ascii="Arial" w:hAnsi="Arial" w:cs="Arial"/>
                <w:color w:val="000000"/>
              </w:rPr>
              <w:t>:</w:t>
            </w:r>
          </w:p>
          <w:p w14:paraId="3946D194"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Name of registered health professional</w:t>
            </w:r>
          </w:p>
          <w:p w14:paraId="6CE2EDEF"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Date of insertion</w:t>
            </w:r>
          </w:p>
          <w:p w14:paraId="58CEDB7D"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Name/brand of Cu-IUD </w:t>
            </w:r>
            <w:proofErr w:type="gramStart"/>
            <w:r w:rsidRPr="00F8251F">
              <w:rPr>
                <w:rFonts w:ascii="Arial" w:hAnsi="Arial" w:cs="Arial"/>
                <w:color w:val="000000"/>
                <w:sz w:val="20"/>
                <w:szCs w:val="20"/>
              </w:rPr>
              <w:t>inserted</w:t>
            </w:r>
            <w:proofErr w:type="gramEnd"/>
            <w:r w:rsidRPr="00F8251F">
              <w:rPr>
                <w:rFonts w:ascii="Arial" w:hAnsi="Arial" w:cs="Arial"/>
                <w:color w:val="000000"/>
                <w:sz w:val="20"/>
                <w:szCs w:val="20"/>
              </w:rPr>
              <w:t xml:space="preserve"> </w:t>
            </w:r>
          </w:p>
          <w:p w14:paraId="12C73962" w14:textId="77777777" w:rsidR="00C96EF8" w:rsidRPr="00BF4CA0"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BF4CA0">
              <w:rPr>
                <w:rFonts w:ascii="Arial" w:hAnsi="Arial" w:cs="Arial"/>
                <w:color w:val="000000"/>
                <w:sz w:val="20"/>
                <w:szCs w:val="20"/>
              </w:rPr>
              <w:t xml:space="preserve">Batch number and expiry date of product in line with local </w:t>
            </w:r>
            <w:proofErr w:type="gramStart"/>
            <w:r w:rsidRPr="00BF4CA0">
              <w:rPr>
                <w:rFonts w:ascii="Arial" w:hAnsi="Arial" w:cs="Arial"/>
                <w:color w:val="000000"/>
                <w:sz w:val="20"/>
                <w:szCs w:val="20"/>
              </w:rPr>
              <w:t>procedure</w:t>
            </w:r>
            <w:proofErr w:type="gramEnd"/>
          </w:p>
          <w:p w14:paraId="7FF11873"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Bimanual examination and speculum findings </w:t>
            </w:r>
          </w:p>
          <w:p w14:paraId="5F43E84A"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Uterine sounding</w:t>
            </w:r>
          </w:p>
          <w:p w14:paraId="4B334A1B"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Use of no touch technique</w:t>
            </w:r>
          </w:p>
          <w:p w14:paraId="09AEC4E1"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Name of assistant/their role</w:t>
            </w:r>
          </w:p>
          <w:p w14:paraId="10C3A1C4"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Analgesia or local anaesthetic </w:t>
            </w:r>
            <w:proofErr w:type="gramStart"/>
            <w:r w:rsidRPr="00F8251F">
              <w:rPr>
                <w:rFonts w:ascii="Arial" w:hAnsi="Arial" w:cs="Arial"/>
                <w:color w:val="000000"/>
                <w:sz w:val="20"/>
                <w:szCs w:val="20"/>
              </w:rPr>
              <w:t>used</w:t>
            </w:r>
            <w:proofErr w:type="gramEnd"/>
          </w:p>
          <w:p w14:paraId="3C218E41" w14:textId="77777777" w:rsidR="00C96EF8" w:rsidRPr="00F8251F" w:rsidRDefault="00C96EF8" w:rsidP="00C96EF8">
            <w:pPr>
              <w:widowControl w:val="0"/>
              <w:numPr>
                <w:ilvl w:val="1"/>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Problems encountered during </w:t>
            </w:r>
            <w:proofErr w:type="gramStart"/>
            <w:r w:rsidRPr="00F8251F">
              <w:rPr>
                <w:rFonts w:ascii="Arial" w:hAnsi="Arial" w:cs="Arial"/>
                <w:color w:val="000000"/>
                <w:sz w:val="20"/>
                <w:szCs w:val="20"/>
              </w:rPr>
              <w:t>insertion</w:t>
            </w:r>
            <w:proofErr w:type="gramEnd"/>
          </w:p>
          <w:p w14:paraId="6E5B3A56" w14:textId="77777777" w:rsidR="00C96EF8" w:rsidRPr="00F8251F"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8251F">
              <w:rPr>
                <w:rFonts w:ascii="Arial" w:hAnsi="Arial" w:cs="Arial"/>
                <w:color w:val="000000"/>
                <w:sz w:val="20"/>
                <w:szCs w:val="20"/>
              </w:rPr>
              <w:t xml:space="preserve">Advice given, including advice given if excluded or declines </w:t>
            </w:r>
            <w:proofErr w:type="gramStart"/>
            <w:r w:rsidRPr="00F8251F">
              <w:rPr>
                <w:rFonts w:ascii="Arial" w:hAnsi="Arial" w:cs="Arial"/>
                <w:color w:val="000000"/>
                <w:sz w:val="20"/>
                <w:szCs w:val="20"/>
              </w:rPr>
              <w:t>treatment</w:t>
            </w:r>
            <w:proofErr w:type="gramEnd"/>
          </w:p>
          <w:p w14:paraId="3CD9F692" w14:textId="77777777" w:rsidR="00C96EF8" w:rsidRPr="00253B37"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253B37">
              <w:rPr>
                <w:rFonts w:ascii="Arial" w:hAnsi="Arial" w:cs="Arial"/>
                <w:color w:val="000000"/>
                <w:sz w:val="20"/>
                <w:szCs w:val="20"/>
              </w:rPr>
              <w:t>Details of any adverse reactions and actions taken</w:t>
            </w:r>
          </w:p>
          <w:p w14:paraId="10D5064D" w14:textId="77777777" w:rsidR="00C96EF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253B37">
              <w:rPr>
                <w:rFonts w:ascii="Arial" w:hAnsi="Arial" w:cs="Arial"/>
                <w:color w:val="000000"/>
                <w:sz w:val="20"/>
                <w:szCs w:val="20"/>
              </w:rPr>
              <w:t xml:space="preserve">Advice given about the </w:t>
            </w:r>
            <w:r w:rsidR="005A5878" w:rsidRPr="00253B37">
              <w:rPr>
                <w:rFonts w:ascii="Arial" w:hAnsi="Arial" w:cs="Arial"/>
                <w:color w:val="000000"/>
                <w:sz w:val="20"/>
                <w:szCs w:val="20"/>
              </w:rPr>
              <w:t xml:space="preserve">device </w:t>
            </w:r>
            <w:r w:rsidRPr="00253B37">
              <w:rPr>
                <w:rFonts w:ascii="Arial" w:hAnsi="Arial" w:cs="Arial"/>
                <w:color w:val="000000"/>
                <w:sz w:val="20"/>
                <w:szCs w:val="20"/>
              </w:rPr>
              <w:t xml:space="preserve">including side effects, benefits, and when and what to do if any </w:t>
            </w:r>
            <w:proofErr w:type="gramStart"/>
            <w:r w:rsidRPr="00253B37">
              <w:rPr>
                <w:rFonts w:ascii="Arial" w:hAnsi="Arial" w:cs="Arial"/>
                <w:color w:val="000000"/>
                <w:sz w:val="20"/>
                <w:szCs w:val="20"/>
              </w:rPr>
              <w:t>concerns</w:t>
            </w:r>
            <w:proofErr w:type="gramEnd"/>
            <w:r w:rsidRPr="00253B37">
              <w:rPr>
                <w:rFonts w:ascii="Arial" w:hAnsi="Arial" w:cs="Arial"/>
                <w:color w:val="000000"/>
                <w:sz w:val="20"/>
                <w:szCs w:val="20"/>
              </w:rPr>
              <w:t xml:space="preserve"> </w:t>
            </w:r>
          </w:p>
          <w:p w14:paraId="575F617B" w14:textId="77777777" w:rsidR="00C96EF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7141B">
              <w:rPr>
                <w:rFonts w:ascii="Arial" w:hAnsi="Arial" w:cs="Arial"/>
                <w:color w:val="000000"/>
                <w:sz w:val="20"/>
                <w:szCs w:val="20"/>
              </w:rPr>
              <w:t>Any referral arrangements made</w:t>
            </w:r>
            <w:r w:rsidR="005A5878" w:rsidRPr="00F7141B">
              <w:rPr>
                <w:rFonts w:ascii="Arial" w:hAnsi="Arial" w:cs="Arial"/>
                <w:color w:val="000000"/>
                <w:sz w:val="20"/>
                <w:szCs w:val="20"/>
              </w:rPr>
              <w:t xml:space="preserve"> if </w:t>
            </w:r>
            <w:proofErr w:type="gramStart"/>
            <w:r w:rsidR="005A5878" w:rsidRPr="00F7141B">
              <w:rPr>
                <w:rFonts w:ascii="Arial" w:hAnsi="Arial" w:cs="Arial"/>
                <w:color w:val="000000"/>
                <w:sz w:val="20"/>
                <w:szCs w:val="20"/>
              </w:rPr>
              <w:t>required</w:t>
            </w:r>
            <w:proofErr w:type="gramEnd"/>
          </w:p>
          <w:p w14:paraId="012B9DA7" w14:textId="77777777" w:rsidR="005A5878" w:rsidRPr="00F7141B" w:rsidRDefault="00C96EF8" w:rsidP="00C96EF8">
            <w:pPr>
              <w:widowControl w:val="0"/>
              <w:numPr>
                <w:ilvl w:val="0"/>
                <w:numId w:val="20"/>
              </w:numPr>
              <w:overflowPunct w:val="0"/>
              <w:autoSpaceDE w:val="0"/>
              <w:autoSpaceDN w:val="0"/>
              <w:adjustRightInd w:val="0"/>
              <w:contextualSpacing/>
              <w:textAlignment w:val="baseline"/>
              <w:rPr>
                <w:rFonts w:ascii="Arial" w:hAnsi="Arial" w:cs="Arial"/>
                <w:color w:val="000000"/>
                <w:sz w:val="20"/>
                <w:szCs w:val="20"/>
              </w:rPr>
            </w:pPr>
            <w:r w:rsidRPr="00F7141B">
              <w:rPr>
                <w:rFonts w:ascii="Arial" w:hAnsi="Arial" w:cs="Arial"/>
                <w:color w:val="000000"/>
                <w:sz w:val="20"/>
                <w:szCs w:val="20"/>
              </w:rPr>
              <w:t xml:space="preserve">Any administration outside the terms of the product marketing authorisation and additional advice given relating to this and advice </w:t>
            </w:r>
            <w:proofErr w:type="gramStart"/>
            <w:r w:rsidRPr="00F7141B">
              <w:rPr>
                <w:rFonts w:ascii="Arial" w:hAnsi="Arial" w:cs="Arial"/>
                <w:color w:val="000000"/>
                <w:sz w:val="20"/>
                <w:szCs w:val="20"/>
              </w:rPr>
              <w:t>given</w:t>
            </w:r>
            <w:proofErr w:type="gramEnd"/>
            <w:r w:rsidRPr="00F7141B">
              <w:rPr>
                <w:rFonts w:ascii="Arial" w:hAnsi="Arial" w:cs="Arial"/>
                <w:color w:val="000000"/>
                <w:sz w:val="20"/>
                <w:szCs w:val="20"/>
              </w:rPr>
              <w:t xml:space="preserve"> </w:t>
            </w:r>
          </w:p>
          <w:p w14:paraId="014BCDB6" w14:textId="77777777" w:rsidR="000C4D7A" w:rsidRPr="00E647ED" w:rsidRDefault="005A5878" w:rsidP="00E647ED">
            <w:pPr>
              <w:keepNext/>
              <w:numPr>
                <w:ilvl w:val="0"/>
                <w:numId w:val="5"/>
              </w:numPr>
              <w:rPr>
                <w:rFonts w:ascii="Arial" w:eastAsia="Times New Roman" w:hAnsi="Arial" w:cs="Arial"/>
                <w:sz w:val="20"/>
                <w:szCs w:val="20"/>
              </w:rPr>
            </w:pPr>
            <w:r w:rsidRPr="00874F67">
              <w:rPr>
                <w:rFonts w:ascii="Arial" w:eastAsia="Times New Roman" w:hAnsi="Arial" w:cs="Arial"/>
                <w:sz w:val="20"/>
                <w:szCs w:val="20"/>
              </w:rPr>
              <w:t>A statement that administration is under a protocol</w:t>
            </w:r>
            <w:r w:rsidRPr="00D00B34">
              <w:rPr>
                <w:rFonts w:ascii="Arial" w:eastAsia="Times New Roman" w:hAnsi="Arial" w:cs="Arial"/>
                <w:sz w:val="20"/>
                <w:szCs w:val="20"/>
              </w:rPr>
              <w:t>.</w:t>
            </w:r>
          </w:p>
        </w:tc>
      </w:tr>
      <w:tr w:rsidR="00E03768" w14:paraId="0B2DB547" w14:textId="77777777" w:rsidTr="00C552F2">
        <w:tc>
          <w:tcPr>
            <w:tcW w:w="2192" w:type="dxa"/>
            <w:shd w:val="clear" w:color="auto" w:fill="D9D9D9" w:themeFill="background1" w:themeFillShade="D9"/>
          </w:tcPr>
          <w:p w14:paraId="57C67402" w14:textId="642D0AE3" w:rsidR="00E03768" w:rsidRPr="00D00B34" w:rsidRDefault="00E03768" w:rsidP="00E03768">
            <w:pPr>
              <w:rPr>
                <w:rFonts w:ascii="Arial" w:eastAsia="Arial" w:hAnsi="Arial" w:cs="Arial"/>
                <w:b/>
                <w:bCs/>
                <w:sz w:val="20"/>
                <w:szCs w:val="20"/>
                <w:lang w:eastAsia="en-GB" w:bidi="en-GB"/>
              </w:rPr>
            </w:pPr>
            <w:r w:rsidRPr="00D00B34">
              <w:rPr>
                <w:rFonts w:ascii="Arial" w:eastAsia="Arial" w:hAnsi="Arial" w:cs="Arial"/>
                <w:b/>
                <w:bCs/>
                <w:sz w:val="20"/>
                <w:szCs w:val="20"/>
                <w:lang w:eastAsia="en-GB" w:bidi="en-GB"/>
              </w:rPr>
              <w:t xml:space="preserve">References </w:t>
            </w:r>
            <w:r w:rsidR="00AD316F">
              <w:rPr>
                <w:rFonts w:ascii="Arial" w:eastAsia="Arial" w:hAnsi="Arial" w:cs="Arial"/>
                <w:b/>
                <w:bCs/>
                <w:sz w:val="20"/>
                <w:szCs w:val="20"/>
                <w:lang w:eastAsia="en-GB" w:bidi="en-GB"/>
              </w:rPr>
              <w:t>(accessed September 2023)</w:t>
            </w:r>
          </w:p>
        </w:tc>
        <w:tc>
          <w:tcPr>
            <w:tcW w:w="6824" w:type="dxa"/>
          </w:tcPr>
          <w:p w14:paraId="287332F2"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FSRH Clinical Guideline: Intrauterine contraception (March 2023)</w:t>
            </w:r>
          </w:p>
          <w:p w14:paraId="66763CE3" w14:textId="77777777" w:rsidR="00E93CC5" w:rsidRPr="00E93CC5" w:rsidRDefault="00B12D16" w:rsidP="00E93CC5">
            <w:pPr>
              <w:pStyle w:val="ListParagraph"/>
              <w:ind w:left="360"/>
              <w:rPr>
                <w:rFonts w:ascii="Arial" w:hAnsi="Arial" w:cs="Arial"/>
                <w:sz w:val="20"/>
                <w:szCs w:val="20"/>
              </w:rPr>
            </w:pPr>
            <w:hyperlink r:id="rId19" w:history="1">
              <w:r w:rsidR="00E93CC5" w:rsidRPr="00E93CC5">
                <w:rPr>
                  <w:rStyle w:val="Hyperlink"/>
                  <w:rFonts w:ascii="Arial" w:hAnsi="Arial" w:cs="Arial"/>
                  <w:sz w:val="20"/>
                  <w:szCs w:val="20"/>
                </w:rPr>
                <w:t>Intrauterine Contraception | FSRH</w:t>
              </w:r>
            </w:hyperlink>
          </w:p>
          <w:p w14:paraId="610ABB89"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(2016) UK Medical Eligibility Criteria for Contraceptive Use.      </w:t>
            </w:r>
          </w:p>
          <w:p w14:paraId="73C96643" w14:textId="77777777" w:rsidR="00E93CC5" w:rsidRPr="00E93CC5" w:rsidRDefault="00B12D16" w:rsidP="00E93CC5">
            <w:pPr>
              <w:pStyle w:val="ListParagraph"/>
              <w:ind w:left="360"/>
              <w:rPr>
                <w:rFonts w:ascii="Arial" w:hAnsi="Arial" w:cs="Arial"/>
                <w:sz w:val="20"/>
                <w:szCs w:val="20"/>
              </w:rPr>
            </w:pPr>
            <w:hyperlink r:id="rId20" w:history="1">
              <w:r w:rsidR="00E93CC5" w:rsidRPr="00E93CC5">
                <w:rPr>
                  <w:rStyle w:val="Hyperlink"/>
                  <w:rFonts w:ascii="Arial" w:hAnsi="Arial" w:cs="Arial"/>
                  <w:sz w:val="20"/>
                  <w:szCs w:val="20"/>
                </w:rPr>
                <w:t>UK Medical Eligibility Criteria for Contraceptive Use (UKMEC) | FSRH</w:t>
              </w:r>
            </w:hyperlink>
            <w:r w:rsidR="00E93CC5" w:rsidRPr="00E93CC5">
              <w:rPr>
                <w:rFonts w:ascii="Arial" w:hAnsi="Arial" w:cs="Arial"/>
                <w:sz w:val="20"/>
                <w:szCs w:val="20"/>
              </w:rPr>
              <w:t xml:space="preserve"> </w:t>
            </w:r>
          </w:p>
          <w:p w14:paraId="1064FCF9"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(2016 Clinical Guideline: Quick Starting Contraception (April 2017) </w:t>
            </w:r>
          </w:p>
          <w:p w14:paraId="0D498DD7" w14:textId="77777777" w:rsidR="00E93CC5" w:rsidRPr="00E93CC5" w:rsidRDefault="00B12D16" w:rsidP="00E93CC5">
            <w:pPr>
              <w:pStyle w:val="ListParagraph"/>
              <w:ind w:left="360"/>
              <w:rPr>
                <w:rFonts w:ascii="Arial" w:hAnsi="Arial" w:cs="Arial"/>
                <w:sz w:val="20"/>
                <w:szCs w:val="20"/>
              </w:rPr>
            </w:pPr>
            <w:hyperlink r:id="rId21" w:history="1">
              <w:r w:rsidR="00E93CC5" w:rsidRPr="00E93CC5">
                <w:rPr>
                  <w:rStyle w:val="Hyperlink"/>
                  <w:rFonts w:ascii="Arial" w:hAnsi="Arial" w:cs="Arial"/>
                  <w:sz w:val="20"/>
                  <w:szCs w:val="20"/>
                </w:rPr>
                <w:t>FSRH Clinical Guideline: Quick Starting Contraception (April 2017) | FSRH</w:t>
              </w:r>
            </w:hyperlink>
          </w:p>
          <w:p w14:paraId="59D3191E" w14:textId="77777777" w:rsidR="00E93CC5" w:rsidRPr="00E93CC5" w:rsidRDefault="00E93CC5" w:rsidP="00E93CC5">
            <w:pPr>
              <w:pStyle w:val="ListParagraph"/>
              <w:numPr>
                <w:ilvl w:val="0"/>
                <w:numId w:val="5"/>
              </w:numPr>
              <w:rPr>
                <w:rFonts w:ascii="Arial" w:hAnsi="Arial" w:cs="Arial"/>
                <w:sz w:val="20"/>
                <w:szCs w:val="20"/>
              </w:rPr>
            </w:pPr>
            <w:r w:rsidRPr="00E93CC5">
              <w:rPr>
                <w:rFonts w:ascii="Arial" w:hAnsi="Arial" w:cs="Arial"/>
                <w:sz w:val="20"/>
                <w:szCs w:val="20"/>
              </w:rPr>
              <w:t xml:space="preserve">Faculty of Sexual and Reproductive Healthcare (2019) Service standards for record keeping </w:t>
            </w:r>
          </w:p>
          <w:p w14:paraId="12776D97" w14:textId="77777777" w:rsidR="00E93CC5" w:rsidRPr="00E93CC5" w:rsidRDefault="00B12D16" w:rsidP="00E93CC5">
            <w:pPr>
              <w:pStyle w:val="ListParagraph"/>
              <w:ind w:left="360"/>
              <w:rPr>
                <w:rFonts w:ascii="Arial" w:hAnsi="Arial" w:cs="Arial"/>
                <w:sz w:val="20"/>
                <w:szCs w:val="20"/>
              </w:rPr>
            </w:pPr>
            <w:hyperlink r:id="rId22" w:history="1">
              <w:r w:rsidR="00E93CC5" w:rsidRPr="00E93CC5">
                <w:rPr>
                  <w:rStyle w:val="Hyperlink"/>
                  <w:rFonts w:ascii="Arial" w:hAnsi="Arial" w:cs="Arial"/>
                  <w:sz w:val="20"/>
                  <w:szCs w:val="20"/>
                </w:rPr>
                <w:t>FSRH Service Standards for Record Keeping (July 2019) | FSRH</w:t>
              </w:r>
            </w:hyperlink>
          </w:p>
          <w:p w14:paraId="15878609" w14:textId="1DAB35F5" w:rsidR="00E03768" w:rsidRPr="00E93CC5" w:rsidRDefault="00E93CC5" w:rsidP="00E93CC5">
            <w:pPr>
              <w:pStyle w:val="ListParagraph"/>
              <w:numPr>
                <w:ilvl w:val="0"/>
                <w:numId w:val="5"/>
              </w:numPr>
              <w:rPr>
                <w:rFonts w:eastAsiaTheme="minorHAnsi"/>
                <w:sz w:val="22"/>
                <w:szCs w:val="22"/>
                <w:lang w:val="en-GB"/>
              </w:rPr>
            </w:pPr>
            <w:r w:rsidRPr="00E93CC5">
              <w:rPr>
                <w:rFonts w:ascii="Arial" w:hAnsi="Arial" w:cs="Arial"/>
                <w:sz w:val="20"/>
                <w:szCs w:val="20"/>
              </w:rPr>
              <w:t xml:space="preserve">FSRH CEU Guidance: Switching or Starting Methods of Contraception (April 2023) </w:t>
            </w:r>
            <w:hyperlink r:id="rId23" w:history="1"/>
            <w:r w:rsidRPr="00E93CC5">
              <w:rPr>
                <w:rFonts w:ascii="Arial" w:hAnsi="Arial" w:cs="Arial"/>
                <w:sz w:val="20"/>
                <w:szCs w:val="20"/>
              </w:rPr>
              <w:t xml:space="preserve"> </w:t>
            </w:r>
            <w:r w:rsidRPr="00E93CC5">
              <w:rPr>
                <w:rFonts w:ascii="Arial" w:hAnsi="Arial" w:cs="Arial"/>
                <w:sz w:val="20"/>
                <w:szCs w:val="20"/>
              </w:rPr>
              <w:br/>
            </w:r>
            <w:hyperlink r:id="rId24" w:history="1">
              <w:r w:rsidRPr="00E93CC5">
                <w:rPr>
                  <w:rStyle w:val="Hyperlink"/>
                  <w:rFonts w:ascii="Arial" w:hAnsi="Arial" w:cs="Arial"/>
                  <w:sz w:val="20"/>
                  <w:szCs w:val="20"/>
                </w:rPr>
                <w:t>Switching or Starting Methods of Contraception | FSRH</w:t>
              </w:r>
            </w:hyperlink>
            <w:r w:rsidR="00A03E0A" w:rsidRPr="00E93CC5">
              <w:rPr>
                <w:rFonts w:ascii="Arial" w:eastAsia="Times New Roman" w:hAnsi="Arial" w:cs="Arial"/>
                <w:sz w:val="20"/>
                <w:szCs w:val="20"/>
              </w:rPr>
              <w:t xml:space="preserve"> </w:t>
            </w:r>
          </w:p>
        </w:tc>
      </w:tr>
    </w:tbl>
    <w:p w14:paraId="73902C7F" w14:textId="77777777" w:rsidR="00034850" w:rsidRDefault="00034850"/>
    <w:sectPr w:rsidR="00034850" w:rsidSect="009320A1">
      <w:headerReference w:type="even" r:id="rId25"/>
      <w:headerReference w:type="default" r:id="rId26"/>
      <w:foot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0F518" w14:textId="77777777" w:rsidR="005C0F51" w:rsidRDefault="005C0F51" w:rsidP="008351E1">
      <w:pPr>
        <w:spacing w:after="0" w:line="240" w:lineRule="auto"/>
      </w:pPr>
      <w:r>
        <w:separator/>
      </w:r>
    </w:p>
  </w:endnote>
  <w:endnote w:type="continuationSeparator" w:id="0">
    <w:p w14:paraId="19133214" w14:textId="77777777" w:rsidR="005C0F51" w:rsidRDefault="005C0F51" w:rsidP="0083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551"/>
    </w:tblGrid>
    <w:tr w:rsidR="005C0F51" w:rsidRPr="00D00B34" w14:paraId="57C25F37" w14:textId="77777777" w:rsidTr="00B6653F">
      <w:tc>
        <w:tcPr>
          <w:tcW w:w="2439" w:type="dxa"/>
        </w:tcPr>
        <w:p w14:paraId="0600CD92" w14:textId="0AEA298A"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Publication date</w:t>
          </w:r>
          <w:r w:rsidR="00AD316F">
            <w:rPr>
              <w:rFonts w:ascii="Arial" w:eastAsia="Times New Roman" w:hAnsi="Arial" w:cs="Arial"/>
              <w:b/>
              <w:bCs/>
              <w:sz w:val="18"/>
              <w:szCs w:val="18"/>
            </w:rPr>
            <w:t xml:space="preserve"> (SPS)</w:t>
          </w:r>
          <w:r w:rsidRPr="00D00B34">
            <w:rPr>
              <w:rFonts w:ascii="Arial" w:eastAsia="Times New Roman" w:hAnsi="Arial" w:cs="Arial"/>
              <w:b/>
              <w:bCs/>
              <w:sz w:val="18"/>
              <w:szCs w:val="18"/>
            </w:rPr>
            <w:t>:</w:t>
          </w:r>
        </w:p>
      </w:tc>
      <w:tc>
        <w:tcPr>
          <w:tcW w:w="2551" w:type="dxa"/>
        </w:tcPr>
        <w:p w14:paraId="67DB0101" w14:textId="77936D32"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October 2023</w:t>
          </w:r>
        </w:p>
      </w:tc>
    </w:tr>
    <w:tr w:rsidR="005C0F51" w:rsidRPr="00D00B34" w14:paraId="06EE315C" w14:textId="77777777" w:rsidTr="00B6653F">
      <w:trPr>
        <w:trHeight w:val="327"/>
      </w:trPr>
      <w:tc>
        <w:tcPr>
          <w:tcW w:w="2439" w:type="dxa"/>
        </w:tcPr>
        <w:p w14:paraId="56CBA60F" w14:textId="05BFF64B"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Review date</w:t>
          </w:r>
          <w:r w:rsidR="00AD316F">
            <w:rPr>
              <w:rFonts w:ascii="Arial" w:eastAsia="Times New Roman" w:hAnsi="Arial" w:cs="Arial"/>
              <w:b/>
              <w:bCs/>
              <w:sz w:val="18"/>
              <w:szCs w:val="18"/>
            </w:rPr>
            <w:t xml:space="preserve"> (SPS):</w:t>
          </w:r>
        </w:p>
      </w:tc>
      <w:tc>
        <w:tcPr>
          <w:tcW w:w="2551" w:type="dxa"/>
        </w:tcPr>
        <w:p w14:paraId="5DAE688F" w14:textId="22717141"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April 2026</w:t>
          </w:r>
        </w:p>
      </w:tc>
    </w:tr>
    <w:tr w:rsidR="005C0F51" w:rsidRPr="00D00B34" w14:paraId="3633B576" w14:textId="77777777" w:rsidTr="00B6653F">
      <w:tc>
        <w:tcPr>
          <w:tcW w:w="2439" w:type="dxa"/>
        </w:tcPr>
        <w:p w14:paraId="7AE8501D" w14:textId="6F76BC09" w:rsidR="005C0F51" w:rsidRPr="00D00B34" w:rsidRDefault="005C0F51" w:rsidP="00D00B34">
          <w:pPr>
            <w:tabs>
              <w:tab w:val="center" w:pos="3312"/>
              <w:tab w:val="right" w:pos="6624"/>
              <w:tab w:val="left" w:pos="8460"/>
              <w:tab w:val="left" w:pos="9936"/>
            </w:tabs>
            <w:spacing w:after="0" w:line="240" w:lineRule="auto"/>
            <w:rPr>
              <w:rFonts w:ascii="Arial" w:eastAsia="Times New Roman" w:hAnsi="Arial" w:cs="Arial"/>
              <w:b/>
              <w:bCs/>
              <w:sz w:val="18"/>
              <w:szCs w:val="18"/>
            </w:rPr>
          </w:pPr>
          <w:r w:rsidRPr="00D00B34">
            <w:rPr>
              <w:rFonts w:ascii="Arial" w:eastAsia="Times New Roman" w:hAnsi="Arial" w:cs="Arial"/>
              <w:b/>
              <w:bCs/>
              <w:sz w:val="18"/>
              <w:szCs w:val="18"/>
            </w:rPr>
            <w:t>Expiry date</w:t>
          </w:r>
          <w:r w:rsidR="00AD316F">
            <w:rPr>
              <w:rFonts w:ascii="Arial" w:eastAsia="Times New Roman" w:hAnsi="Arial" w:cs="Arial"/>
              <w:b/>
              <w:bCs/>
              <w:sz w:val="18"/>
              <w:szCs w:val="18"/>
            </w:rPr>
            <w:t xml:space="preserve"> (SPS)</w:t>
          </w:r>
          <w:r w:rsidRPr="00D00B34">
            <w:rPr>
              <w:rFonts w:ascii="Arial" w:eastAsia="Times New Roman" w:hAnsi="Arial" w:cs="Arial"/>
              <w:b/>
              <w:bCs/>
              <w:sz w:val="18"/>
              <w:szCs w:val="18"/>
            </w:rPr>
            <w:t xml:space="preserve">: </w:t>
          </w:r>
        </w:p>
      </w:tc>
      <w:tc>
        <w:tcPr>
          <w:tcW w:w="2551" w:type="dxa"/>
        </w:tcPr>
        <w:p w14:paraId="3D56637E" w14:textId="0F65906D" w:rsidR="005C0F51" w:rsidRPr="00AD316F" w:rsidRDefault="00AD316F" w:rsidP="00D00B34">
          <w:pPr>
            <w:tabs>
              <w:tab w:val="center" w:pos="3312"/>
              <w:tab w:val="right" w:pos="6624"/>
              <w:tab w:val="left" w:pos="8460"/>
              <w:tab w:val="left" w:pos="9936"/>
            </w:tabs>
            <w:spacing w:after="0" w:line="240" w:lineRule="auto"/>
            <w:rPr>
              <w:rFonts w:ascii="Arial" w:eastAsia="Times New Roman" w:hAnsi="Arial" w:cs="Arial"/>
              <w:sz w:val="18"/>
              <w:szCs w:val="18"/>
            </w:rPr>
          </w:pPr>
          <w:r w:rsidRPr="00AD316F">
            <w:rPr>
              <w:rFonts w:ascii="Arial" w:eastAsia="Times New Roman" w:hAnsi="Arial" w:cs="Arial"/>
              <w:sz w:val="18"/>
              <w:szCs w:val="18"/>
              <w:lang w:eastAsia="en-GB"/>
            </w:rPr>
            <w:t>September 2026</w:t>
          </w:r>
        </w:p>
      </w:tc>
    </w:tr>
  </w:tbl>
  <w:p w14:paraId="78C53DCA" w14:textId="77777777" w:rsidR="005C0F51" w:rsidRDefault="005C0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453E4" w14:textId="77777777" w:rsidR="005C0F51" w:rsidRDefault="005C0F51" w:rsidP="008351E1">
      <w:pPr>
        <w:spacing w:after="0" w:line="240" w:lineRule="auto"/>
      </w:pPr>
      <w:r>
        <w:separator/>
      </w:r>
    </w:p>
  </w:footnote>
  <w:footnote w:type="continuationSeparator" w:id="0">
    <w:p w14:paraId="428DDDDF" w14:textId="77777777" w:rsidR="005C0F51" w:rsidRDefault="005C0F51" w:rsidP="0083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F143" w14:textId="77777777" w:rsidR="005C0F51" w:rsidRDefault="00B12D16">
    <w:pPr>
      <w:pStyle w:val="Header"/>
    </w:pPr>
    <w:r>
      <w:rPr>
        <w:noProof/>
      </w:rPr>
      <w:pict w14:anchorId="27F0D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2" o:spid="_x0000_s1026"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23E7" w14:textId="77777777" w:rsidR="005C0F51" w:rsidRDefault="00B12D16">
    <w:pPr>
      <w:pStyle w:val="Header"/>
    </w:pPr>
    <w:r>
      <w:rPr>
        <w:noProof/>
      </w:rPr>
      <w:pict w14:anchorId="5EC0C9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3" o:spid="_x0000_s1027"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5C0F51">
      <w:t xml:space="preserve">Organisation logo </w:t>
    </w:r>
  </w:p>
  <w:p w14:paraId="71B32D2E" w14:textId="77777777" w:rsidR="005C0F51" w:rsidRDefault="005C0F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54872" w14:textId="77777777" w:rsidR="005C0F51" w:rsidRDefault="00B12D16">
    <w:pPr>
      <w:pStyle w:val="Header"/>
    </w:pPr>
    <w:r>
      <w:rPr>
        <w:noProof/>
      </w:rPr>
      <w:pict w14:anchorId="2507F0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655281" o:spid="_x0000_s1025"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0C46"/>
    <w:multiLevelType w:val="hybridMultilevel"/>
    <w:tmpl w:val="27AC79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C1909"/>
    <w:multiLevelType w:val="hybridMultilevel"/>
    <w:tmpl w:val="53F440EE"/>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2" w15:restartNumberingAfterBreak="0">
    <w:nsid w:val="121B48E9"/>
    <w:multiLevelType w:val="hybridMultilevel"/>
    <w:tmpl w:val="9CA61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880075"/>
    <w:multiLevelType w:val="hybridMultilevel"/>
    <w:tmpl w:val="6BA065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C115D69"/>
    <w:multiLevelType w:val="hybridMultilevel"/>
    <w:tmpl w:val="914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C62AC"/>
    <w:multiLevelType w:val="hybridMultilevel"/>
    <w:tmpl w:val="7B6EC1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2EB4D09"/>
    <w:multiLevelType w:val="hybridMultilevel"/>
    <w:tmpl w:val="5AC015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C1F1C"/>
    <w:multiLevelType w:val="hybridMultilevel"/>
    <w:tmpl w:val="7E24A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026D42"/>
    <w:multiLevelType w:val="hybridMultilevel"/>
    <w:tmpl w:val="8A14A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60E79CC"/>
    <w:multiLevelType w:val="hybridMultilevel"/>
    <w:tmpl w:val="9006A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9F87C89"/>
    <w:multiLevelType w:val="hybridMultilevel"/>
    <w:tmpl w:val="CF069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010C54"/>
    <w:multiLevelType w:val="hybridMultilevel"/>
    <w:tmpl w:val="39F28C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4C6805DA"/>
    <w:multiLevelType w:val="hybridMultilevel"/>
    <w:tmpl w:val="60B6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FD686F"/>
    <w:multiLevelType w:val="hybridMultilevel"/>
    <w:tmpl w:val="68D07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670520"/>
    <w:multiLevelType w:val="hybridMultilevel"/>
    <w:tmpl w:val="AE4E82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66E76D2F"/>
    <w:multiLevelType w:val="hybridMultilevel"/>
    <w:tmpl w:val="E1F8A2F4"/>
    <w:lvl w:ilvl="0" w:tplc="08090001">
      <w:start w:val="1"/>
      <w:numFmt w:val="bullet"/>
      <w:lvlText w:val=""/>
      <w:lvlJc w:val="left"/>
      <w:pPr>
        <w:ind w:left="595" w:hanging="360"/>
      </w:pPr>
      <w:rPr>
        <w:rFonts w:ascii="Symbol" w:hAnsi="Symbol" w:hint="default"/>
      </w:rPr>
    </w:lvl>
    <w:lvl w:ilvl="1" w:tplc="08090003" w:tentative="1">
      <w:start w:val="1"/>
      <w:numFmt w:val="bullet"/>
      <w:lvlText w:val="o"/>
      <w:lvlJc w:val="left"/>
      <w:pPr>
        <w:ind w:left="1315" w:hanging="360"/>
      </w:pPr>
      <w:rPr>
        <w:rFonts w:ascii="Courier New" w:hAnsi="Courier New" w:cs="Courier New" w:hint="default"/>
      </w:rPr>
    </w:lvl>
    <w:lvl w:ilvl="2" w:tplc="08090005" w:tentative="1">
      <w:start w:val="1"/>
      <w:numFmt w:val="bullet"/>
      <w:lvlText w:val=""/>
      <w:lvlJc w:val="left"/>
      <w:pPr>
        <w:ind w:left="2035" w:hanging="360"/>
      </w:pPr>
      <w:rPr>
        <w:rFonts w:ascii="Wingdings" w:hAnsi="Wingdings" w:hint="default"/>
      </w:rPr>
    </w:lvl>
    <w:lvl w:ilvl="3" w:tplc="08090001" w:tentative="1">
      <w:start w:val="1"/>
      <w:numFmt w:val="bullet"/>
      <w:lvlText w:val=""/>
      <w:lvlJc w:val="left"/>
      <w:pPr>
        <w:ind w:left="2755" w:hanging="360"/>
      </w:pPr>
      <w:rPr>
        <w:rFonts w:ascii="Symbol" w:hAnsi="Symbol" w:hint="default"/>
      </w:rPr>
    </w:lvl>
    <w:lvl w:ilvl="4" w:tplc="08090003" w:tentative="1">
      <w:start w:val="1"/>
      <w:numFmt w:val="bullet"/>
      <w:lvlText w:val="o"/>
      <w:lvlJc w:val="left"/>
      <w:pPr>
        <w:ind w:left="3475" w:hanging="360"/>
      </w:pPr>
      <w:rPr>
        <w:rFonts w:ascii="Courier New" w:hAnsi="Courier New" w:cs="Courier New" w:hint="default"/>
      </w:rPr>
    </w:lvl>
    <w:lvl w:ilvl="5" w:tplc="08090005" w:tentative="1">
      <w:start w:val="1"/>
      <w:numFmt w:val="bullet"/>
      <w:lvlText w:val=""/>
      <w:lvlJc w:val="left"/>
      <w:pPr>
        <w:ind w:left="4195" w:hanging="360"/>
      </w:pPr>
      <w:rPr>
        <w:rFonts w:ascii="Wingdings" w:hAnsi="Wingdings" w:hint="default"/>
      </w:rPr>
    </w:lvl>
    <w:lvl w:ilvl="6" w:tplc="08090001" w:tentative="1">
      <w:start w:val="1"/>
      <w:numFmt w:val="bullet"/>
      <w:lvlText w:val=""/>
      <w:lvlJc w:val="left"/>
      <w:pPr>
        <w:ind w:left="4915" w:hanging="360"/>
      </w:pPr>
      <w:rPr>
        <w:rFonts w:ascii="Symbol" w:hAnsi="Symbol" w:hint="default"/>
      </w:rPr>
    </w:lvl>
    <w:lvl w:ilvl="7" w:tplc="08090003" w:tentative="1">
      <w:start w:val="1"/>
      <w:numFmt w:val="bullet"/>
      <w:lvlText w:val="o"/>
      <w:lvlJc w:val="left"/>
      <w:pPr>
        <w:ind w:left="5635" w:hanging="360"/>
      </w:pPr>
      <w:rPr>
        <w:rFonts w:ascii="Courier New" w:hAnsi="Courier New" w:cs="Courier New" w:hint="default"/>
      </w:rPr>
    </w:lvl>
    <w:lvl w:ilvl="8" w:tplc="08090005" w:tentative="1">
      <w:start w:val="1"/>
      <w:numFmt w:val="bullet"/>
      <w:lvlText w:val=""/>
      <w:lvlJc w:val="left"/>
      <w:pPr>
        <w:ind w:left="6355" w:hanging="360"/>
      </w:pPr>
      <w:rPr>
        <w:rFonts w:ascii="Wingdings" w:hAnsi="Wingdings" w:hint="default"/>
      </w:rPr>
    </w:lvl>
  </w:abstractNum>
  <w:abstractNum w:abstractNumId="16" w15:restartNumberingAfterBreak="0">
    <w:nsid w:val="67394D61"/>
    <w:multiLevelType w:val="hybridMultilevel"/>
    <w:tmpl w:val="624A2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CD5171"/>
    <w:multiLevelType w:val="hybridMultilevel"/>
    <w:tmpl w:val="5DD8AF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136F32"/>
    <w:multiLevelType w:val="hybridMultilevel"/>
    <w:tmpl w:val="2572DC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67C56EB"/>
    <w:multiLevelType w:val="hybridMultilevel"/>
    <w:tmpl w:val="55E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577C70"/>
    <w:multiLevelType w:val="hybridMultilevel"/>
    <w:tmpl w:val="09C66B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94777E7"/>
    <w:multiLevelType w:val="hybridMultilevel"/>
    <w:tmpl w:val="4C744D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C65D83"/>
    <w:multiLevelType w:val="hybridMultilevel"/>
    <w:tmpl w:val="4DDE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9424625">
    <w:abstractNumId w:val="16"/>
  </w:num>
  <w:num w:numId="2" w16cid:durableId="234779622">
    <w:abstractNumId w:val="21"/>
  </w:num>
  <w:num w:numId="3" w16cid:durableId="729424129">
    <w:abstractNumId w:val="15"/>
  </w:num>
  <w:num w:numId="4" w16cid:durableId="398332678">
    <w:abstractNumId w:val="1"/>
  </w:num>
  <w:num w:numId="5" w16cid:durableId="1778598934">
    <w:abstractNumId w:val="6"/>
  </w:num>
  <w:num w:numId="6" w16cid:durableId="210307238">
    <w:abstractNumId w:val="13"/>
  </w:num>
  <w:num w:numId="7" w16cid:durableId="483661157">
    <w:abstractNumId w:val="4"/>
  </w:num>
  <w:num w:numId="8" w16cid:durableId="1854415563">
    <w:abstractNumId w:val="19"/>
  </w:num>
  <w:num w:numId="9" w16cid:durableId="1067606769">
    <w:abstractNumId w:val="12"/>
  </w:num>
  <w:num w:numId="10" w16cid:durableId="1551304232">
    <w:abstractNumId w:val="22"/>
  </w:num>
  <w:num w:numId="11" w16cid:durableId="152452613">
    <w:abstractNumId w:val="7"/>
  </w:num>
  <w:num w:numId="12" w16cid:durableId="1193421934">
    <w:abstractNumId w:val="20"/>
  </w:num>
  <w:num w:numId="13" w16cid:durableId="1799372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9267660">
    <w:abstractNumId w:val="18"/>
  </w:num>
  <w:num w:numId="15" w16cid:durableId="1151823998">
    <w:abstractNumId w:val="5"/>
  </w:num>
  <w:num w:numId="16" w16cid:durableId="745345697">
    <w:abstractNumId w:val="10"/>
  </w:num>
  <w:num w:numId="17" w16cid:durableId="2050762934">
    <w:abstractNumId w:val="9"/>
  </w:num>
  <w:num w:numId="18" w16cid:durableId="709040431">
    <w:abstractNumId w:val="11"/>
  </w:num>
  <w:num w:numId="19" w16cid:durableId="1585644164">
    <w:abstractNumId w:val="17"/>
  </w:num>
  <w:num w:numId="20" w16cid:durableId="1600674381">
    <w:abstractNumId w:val="8"/>
  </w:num>
  <w:num w:numId="21" w16cid:durableId="1628856811">
    <w:abstractNumId w:val="3"/>
  </w:num>
  <w:num w:numId="22" w16cid:durableId="414397505">
    <w:abstractNumId w:val="0"/>
  </w:num>
  <w:num w:numId="23" w16cid:durableId="1570456450">
    <w:abstractNumId w:val="14"/>
  </w:num>
  <w:num w:numId="24" w16cid:durableId="868566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1E1"/>
    <w:rsid w:val="00034850"/>
    <w:rsid w:val="000434B1"/>
    <w:rsid w:val="00095899"/>
    <w:rsid w:val="000A1691"/>
    <w:rsid w:val="000A45A8"/>
    <w:rsid w:val="000C4D7A"/>
    <w:rsid w:val="000C5E4F"/>
    <w:rsid w:val="000D32AA"/>
    <w:rsid w:val="000E38A7"/>
    <w:rsid w:val="000E719D"/>
    <w:rsid w:val="00145F9A"/>
    <w:rsid w:val="00164BE0"/>
    <w:rsid w:val="001953DB"/>
    <w:rsid w:val="001D4C75"/>
    <w:rsid w:val="001E11C8"/>
    <w:rsid w:val="00204B15"/>
    <w:rsid w:val="00253B37"/>
    <w:rsid w:val="0027276A"/>
    <w:rsid w:val="00272D07"/>
    <w:rsid w:val="002B4F54"/>
    <w:rsid w:val="002C4D04"/>
    <w:rsid w:val="002E714E"/>
    <w:rsid w:val="002F7ECC"/>
    <w:rsid w:val="00311C35"/>
    <w:rsid w:val="003750D6"/>
    <w:rsid w:val="003D76DB"/>
    <w:rsid w:val="003F52F8"/>
    <w:rsid w:val="00402682"/>
    <w:rsid w:val="00405A99"/>
    <w:rsid w:val="004711FD"/>
    <w:rsid w:val="004D6604"/>
    <w:rsid w:val="00513269"/>
    <w:rsid w:val="00516F98"/>
    <w:rsid w:val="005640E1"/>
    <w:rsid w:val="005A5878"/>
    <w:rsid w:val="005C0F51"/>
    <w:rsid w:val="005C231E"/>
    <w:rsid w:val="0062480D"/>
    <w:rsid w:val="0069630E"/>
    <w:rsid w:val="006E0EFE"/>
    <w:rsid w:val="006E30E3"/>
    <w:rsid w:val="006F25CD"/>
    <w:rsid w:val="00717CFB"/>
    <w:rsid w:val="007A1C52"/>
    <w:rsid w:val="007B4938"/>
    <w:rsid w:val="007B61F5"/>
    <w:rsid w:val="008351E1"/>
    <w:rsid w:val="00874F67"/>
    <w:rsid w:val="00877F44"/>
    <w:rsid w:val="00891ED0"/>
    <w:rsid w:val="008A6AC5"/>
    <w:rsid w:val="008A7923"/>
    <w:rsid w:val="009320A1"/>
    <w:rsid w:val="00936A33"/>
    <w:rsid w:val="0098673B"/>
    <w:rsid w:val="00987EE0"/>
    <w:rsid w:val="009A4D22"/>
    <w:rsid w:val="00A03E0A"/>
    <w:rsid w:val="00AB06DF"/>
    <w:rsid w:val="00AD0DBC"/>
    <w:rsid w:val="00AD316F"/>
    <w:rsid w:val="00B12D16"/>
    <w:rsid w:val="00B372DC"/>
    <w:rsid w:val="00B40193"/>
    <w:rsid w:val="00B50D71"/>
    <w:rsid w:val="00B63C43"/>
    <w:rsid w:val="00B6653F"/>
    <w:rsid w:val="00B876F7"/>
    <w:rsid w:val="00BB5EAA"/>
    <w:rsid w:val="00BD4344"/>
    <w:rsid w:val="00BF45DB"/>
    <w:rsid w:val="00BF4CA0"/>
    <w:rsid w:val="00C0713F"/>
    <w:rsid w:val="00C552F2"/>
    <w:rsid w:val="00C7000B"/>
    <w:rsid w:val="00C732C6"/>
    <w:rsid w:val="00C807AE"/>
    <w:rsid w:val="00C926C0"/>
    <w:rsid w:val="00C96EF8"/>
    <w:rsid w:val="00CA3898"/>
    <w:rsid w:val="00CB33F3"/>
    <w:rsid w:val="00CD5982"/>
    <w:rsid w:val="00D00B34"/>
    <w:rsid w:val="00D37AB5"/>
    <w:rsid w:val="00D73782"/>
    <w:rsid w:val="00D9064C"/>
    <w:rsid w:val="00DA1288"/>
    <w:rsid w:val="00DE005B"/>
    <w:rsid w:val="00E03768"/>
    <w:rsid w:val="00E46D8B"/>
    <w:rsid w:val="00E647ED"/>
    <w:rsid w:val="00E74373"/>
    <w:rsid w:val="00E93CC5"/>
    <w:rsid w:val="00EA68EE"/>
    <w:rsid w:val="00EC63CE"/>
    <w:rsid w:val="00EE695A"/>
    <w:rsid w:val="00EF2684"/>
    <w:rsid w:val="00F0230F"/>
    <w:rsid w:val="00F51413"/>
    <w:rsid w:val="00F7141B"/>
    <w:rsid w:val="00F71689"/>
    <w:rsid w:val="00F8251F"/>
    <w:rsid w:val="00F93CEB"/>
    <w:rsid w:val="00F977C3"/>
    <w:rsid w:val="00FC4332"/>
    <w:rsid w:val="00FD0A2B"/>
    <w:rsid w:val="00FE39E4"/>
    <w:rsid w:val="00FE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97764"/>
  <w15:docId w15:val="{731ECC97-5431-4E67-A73B-835DED45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1E1"/>
    <w:rPr>
      <w:color w:val="0563C1" w:themeColor="hyperlink"/>
      <w:u w:val="single"/>
    </w:rPr>
  </w:style>
  <w:style w:type="paragraph" w:styleId="ListParagraph">
    <w:name w:val="List Paragraph"/>
    <w:basedOn w:val="Normal"/>
    <w:uiPriority w:val="99"/>
    <w:qFormat/>
    <w:rsid w:val="008351E1"/>
    <w:pPr>
      <w:ind w:left="720"/>
      <w:contextualSpacing/>
    </w:pPr>
  </w:style>
  <w:style w:type="table" w:styleId="TableGrid">
    <w:name w:val="Table Grid"/>
    <w:basedOn w:val="TableNormal"/>
    <w:uiPriority w:val="59"/>
    <w:rsid w:val="008351E1"/>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351E1"/>
    <w:rPr>
      <w:color w:val="605E5C"/>
      <w:shd w:val="clear" w:color="auto" w:fill="E1DFDD"/>
    </w:rPr>
  </w:style>
  <w:style w:type="paragraph" w:styleId="Header">
    <w:name w:val="header"/>
    <w:basedOn w:val="Normal"/>
    <w:link w:val="HeaderChar"/>
    <w:uiPriority w:val="99"/>
    <w:unhideWhenUsed/>
    <w:rsid w:val="0083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1E1"/>
  </w:style>
  <w:style w:type="paragraph" w:styleId="Footer">
    <w:name w:val="footer"/>
    <w:basedOn w:val="Normal"/>
    <w:link w:val="FooterChar"/>
    <w:uiPriority w:val="99"/>
    <w:unhideWhenUsed/>
    <w:rsid w:val="0083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1E1"/>
  </w:style>
  <w:style w:type="paragraph" w:styleId="Revision">
    <w:name w:val="Revision"/>
    <w:hidden/>
    <w:uiPriority w:val="99"/>
    <w:semiHidden/>
    <w:rsid w:val="00AD0DBC"/>
    <w:pPr>
      <w:spacing w:after="0" w:line="240" w:lineRule="auto"/>
    </w:pPr>
  </w:style>
  <w:style w:type="character" w:styleId="CommentReference">
    <w:name w:val="annotation reference"/>
    <w:basedOn w:val="DefaultParagraphFont"/>
    <w:uiPriority w:val="99"/>
    <w:semiHidden/>
    <w:unhideWhenUsed/>
    <w:rsid w:val="006F25CD"/>
    <w:rPr>
      <w:sz w:val="16"/>
      <w:szCs w:val="16"/>
    </w:rPr>
  </w:style>
  <w:style w:type="paragraph" w:styleId="CommentText">
    <w:name w:val="annotation text"/>
    <w:basedOn w:val="Normal"/>
    <w:link w:val="CommentTextChar"/>
    <w:uiPriority w:val="99"/>
    <w:unhideWhenUsed/>
    <w:rsid w:val="006F25CD"/>
    <w:pPr>
      <w:spacing w:line="240" w:lineRule="auto"/>
    </w:pPr>
    <w:rPr>
      <w:sz w:val="20"/>
      <w:szCs w:val="20"/>
    </w:rPr>
  </w:style>
  <w:style w:type="character" w:customStyle="1" w:styleId="CommentTextChar">
    <w:name w:val="Comment Text Char"/>
    <w:basedOn w:val="DefaultParagraphFont"/>
    <w:link w:val="CommentText"/>
    <w:uiPriority w:val="99"/>
    <w:rsid w:val="006F25CD"/>
    <w:rPr>
      <w:sz w:val="20"/>
      <w:szCs w:val="20"/>
    </w:rPr>
  </w:style>
  <w:style w:type="paragraph" w:styleId="CommentSubject">
    <w:name w:val="annotation subject"/>
    <w:basedOn w:val="CommentText"/>
    <w:next w:val="CommentText"/>
    <w:link w:val="CommentSubjectChar"/>
    <w:uiPriority w:val="99"/>
    <w:semiHidden/>
    <w:unhideWhenUsed/>
    <w:rsid w:val="006F25CD"/>
    <w:rPr>
      <w:b/>
      <w:bCs/>
    </w:rPr>
  </w:style>
  <w:style w:type="character" w:customStyle="1" w:styleId="CommentSubjectChar">
    <w:name w:val="Comment Subject Char"/>
    <w:basedOn w:val="CommentTextChar"/>
    <w:link w:val="CommentSubject"/>
    <w:uiPriority w:val="99"/>
    <w:semiHidden/>
    <w:rsid w:val="006F25CD"/>
    <w:rPr>
      <w:b/>
      <w:bCs/>
      <w:sz w:val="20"/>
      <w:szCs w:val="20"/>
    </w:rPr>
  </w:style>
  <w:style w:type="character" w:styleId="FollowedHyperlink">
    <w:name w:val="FollowedHyperlink"/>
    <w:basedOn w:val="DefaultParagraphFont"/>
    <w:uiPriority w:val="99"/>
    <w:semiHidden/>
    <w:unhideWhenUsed/>
    <w:rsid w:val="000A45A8"/>
    <w:rPr>
      <w:color w:val="954F72" w:themeColor="followedHyperlink"/>
      <w:u w:val="single"/>
    </w:rPr>
  </w:style>
  <w:style w:type="paragraph" w:styleId="BalloonText">
    <w:name w:val="Balloon Text"/>
    <w:basedOn w:val="Normal"/>
    <w:link w:val="BalloonTextChar"/>
    <w:uiPriority w:val="99"/>
    <w:semiHidden/>
    <w:unhideWhenUsed/>
    <w:rsid w:val="0009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899"/>
    <w:rPr>
      <w:rFonts w:ascii="Tahoma" w:hAnsi="Tahoma" w:cs="Tahoma"/>
      <w:sz w:val="16"/>
      <w:szCs w:val="16"/>
    </w:rPr>
  </w:style>
  <w:style w:type="paragraph" w:styleId="NormalWeb">
    <w:name w:val="Normal (Web)"/>
    <w:basedOn w:val="Normal"/>
    <w:uiPriority w:val="99"/>
    <w:unhideWhenUsed/>
    <w:rsid w:val="00717C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D00B34"/>
    <w:rPr>
      <w:color w:val="605E5C"/>
      <w:shd w:val="clear" w:color="auto" w:fill="E1DFDD"/>
    </w:rPr>
  </w:style>
  <w:style w:type="paragraph" w:customStyle="1" w:styleId="Tabletext">
    <w:name w:val="Table text"/>
    <w:basedOn w:val="Normal"/>
    <w:rsid w:val="00AB06DF"/>
    <w:pPr>
      <w:keepNext/>
      <w:spacing w:after="60" w:line="240" w:lineRule="auto"/>
    </w:pPr>
    <w:rPr>
      <w:rFonts w:ascii="Arial" w:eastAsia="Times New Roman" w:hAnsi="Arial" w:cs="Times New Roman"/>
      <w:szCs w:val="24"/>
      <w:lang w:val="en-US"/>
    </w:rPr>
  </w:style>
  <w:style w:type="paragraph" w:customStyle="1" w:styleId="Default">
    <w:name w:val="Default"/>
    <w:rsid w:val="00AB06D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FE7119"/>
    <w:pPr>
      <w:widowControl w:val="0"/>
      <w:spacing w:after="0" w:line="240" w:lineRule="auto"/>
    </w:pPr>
    <w:rPr>
      <w:lang w:val="en-US"/>
    </w:rPr>
  </w:style>
  <w:style w:type="character" w:customStyle="1" w:styleId="cf01">
    <w:name w:val="cf01"/>
    <w:basedOn w:val="DefaultParagraphFont"/>
    <w:rsid w:val="00891ED0"/>
    <w:rPr>
      <w:rFonts w:ascii="Segoe UI" w:hAnsi="Segoe UI" w:cs="Segoe UI" w:hint="default"/>
      <w:sz w:val="18"/>
      <w:szCs w:val="18"/>
    </w:rPr>
  </w:style>
  <w:style w:type="character" w:styleId="UnresolvedMention">
    <w:name w:val="Unresolved Mention"/>
    <w:basedOn w:val="DefaultParagraphFont"/>
    <w:uiPriority w:val="99"/>
    <w:semiHidden/>
    <w:unhideWhenUsed/>
    <w:rsid w:val="00471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6026">
      <w:bodyDiv w:val="1"/>
      <w:marLeft w:val="0"/>
      <w:marRight w:val="0"/>
      <w:marTop w:val="0"/>
      <w:marBottom w:val="0"/>
      <w:divBdr>
        <w:top w:val="none" w:sz="0" w:space="0" w:color="auto"/>
        <w:left w:val="none" w:sz="0" w:space="0" w:color="auto"/>
        <w:bottom w:val="none" w:sz="0" w:space="0" w:color="auto"/>
        <w:right w:val="none" w:sz="0" w:space="0" w:color="auto"/>
      </w:divBdr>
    </w:div>
    <w:div w:id="15089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when-patient-group-directions-are-not-required/" TargetMode="External"/><Relationship Id="rId13" Type="http://schemas.openxmlformats.org/officeDocument/2006/relationships/hyperlink" Target="http://www.mhra.gov.uk/spc-pil/" TargetMode="External"/><Relationship Id="rId18" Type="http://schemas.openxmlformats.org/officeDocument/2006/relationships/hyperlink" Target="http://yellowcard.mhra.gov.uk"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fsrh.org/Public/Documents/fsrh-clinical-guidance-quick-starting-contraception-april-2017.aspx" TargetMode="External"/><Relationship Id="rId7" Type="http://schemas.openxmlformats.org/officeDocument/2006/relationships/endnotes" Target="endnotes.xml"/><Relationship Id="rId12" Type="http://schemas.openxmlformats.org/officeDocument/2006/relationships/hyperlink" Target="https://www.fsrh.org/news/new-guidance-on-management-of-anticoagulants-or-antiplatelet/" TargetMode="External"/><Relationship Id="rId17" Type="http://schemas.openxmlformats.org/officeDocument/2006/relationships/hyperlink" Target="https://www.fsrh.org/standards-and-guidance/documents/contraception-after-pregnancy-guideline-january-201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srh.org/standards-and-guidance/fsrh-guidelines-and-statements/switching-or-starting-methods-of-contraception/" TargetMode="External"/><Relationship Id="rId20" Type="http://schemas.openxmlformats.org/officeDocument/2006/relationships/hyperlink" Target="https://www.fsrh.org/Public/Public/Standards-and-Guidance/uk-medical-eligibility-criteria-for-contraceptive-use-ukmec.aspx?hkey=82727ce6-756b-4b88-a5ab-acaf27c4866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rh.org/Public/Standards-and-Guidance/Intrauterine-Contraception.aspx" TargetMode="External"/><Relationship Id="rId24" Type="http://schemas.openxmlformats.org/officeDocument/2006/relationships/hyperlink" Target="https://www.fsrh.org/Public/Standards-and-Guidance/Switching-or-Starting-Methods-of-Contraception.aspx" TargetMode="External"/><Relationship Id="rId5" Type="http://schemas.openxmlformats.org/officeDocument/2006/relationships/webSettings" Target="webSettings.xml"/><Relationship Id="rId15" Type="http://schemas.openxmlformats.org/officeDocument/2006/relationships/hyperlink" Target="https://www.fsrh.org/standards-and-guidance/documents/ceuguidanceintrauterinecontraception/" TargetMode="External"/><Relationship Id="rId23" Type="http://schemas.openxmlformats.org/officeDocument/2006/relationships/hyperlink" Target="https://www.fsrh.org/standards-and-guidance/fsrh-guidelines-and-statements/switching-or-starting-methods-of-contraception/" TargetMode="External"/><Relationship Id="rId28" Type="http://schemas.openxmlformats.org/officeDocument/2006/relationships/header" Target="header3.xml"/><Relationship Id="rId10" Type="http://schemas.openxmlformats.org/officeDocument/2006/relationships/hyperlink" Target="https://www.fsrh.org/standards-and-guidaFSRH%20Clinical%20Guideline:%20Intrauterine%20contraception%20(March%202023,%20Amended%20July%202023)%20|%20FSRHnce/documents/ceuguidanceintrauterinecontraception/" TargetMode="External"/><Relationship Id="rId19" Type="http://schemas.openxmlformats.org/officeDocument/2006/relationships/hyperlink" Target="https://www.fsrh.org/Public/Standards-and-Guidance/Intrauterine-Contraception.aspx" TargetMode="External"/><Relationship Id="rId4" Type="http://schemas.openxmlformats.org/officeDocument/2006/relationships/settings" Target="settings.xml"/><Relationship Id="rId9" Type="http://schemas.openxmlformats.org/officeDocument/2006/relationships/hyperlink" Target="https://www.sps.nhs.uk/articles/about-the-sps-medicines-governance-do-once-programme/" TargetMode="External"/><Relationship Id="rId14" Type="http://schemas.openxmlformats.org/officeDocument/2006/relationships/hyperlink" Target="http://www.medicines.org.uk" TargetMode="External"/><Relationship Id="rId22" Type="http://schemas.openxmlformats.org/officeDocument/2006/relationships/hyperlink" Target="https://www.fsrh.org/Public/Documents/fsrh-service-standards-for-record-keeping-july-2019.asp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4B47-175E-491E-B779-0A3049839BC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Jenkins</dc:creator>
  <cp:lastModifiedBy>Jo Jenkins</cp:lastModifiedBy>
  <cp:revision>2</cp:revision>
  <dcterms:created xsi:type="dcterms:W3CDTF">2024-08-12T06:51:00Z</dcterms:created>
  <dcterms:modified xsi:type="dcterms:W3CDTF">2024-08-12T06:51:00Z</dcterms:modified>
</cp:coreProperties>
</file>