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155AC296" w14:textId="77777777" w:rsidTr="009B0BCE">
        <w:trPr>
          <w:trHeight w:val="192"/>
        </w:trPr>
        <w:tc>
          <w:tcPr>
            <w:tcW w:w="5000" w:type="pct"/>
            <w:shd w:val="clear" w:color="auto" w:fill="auto"/>
            <w:tcMar>
              <w:top w:w="57" w:type="dxa"/>
              <w:bottom w:w="57" w:type="dxa"/>
            </w:tcMar>
          </w:tcPr>
          <w:p w14:paraId="1A8C59B9"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55E7A6B1"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579"/>
        <w:gridCol w:w="6972"/>
      </w:tblGrid>
      <w:tr w:rsidR="0020101A" w:rsidRPr="00862949" w14:paraId="27147E74" w14:textId="77777777" w:rsidTr="002772ED">
        <w:tc>
          <w:tcPr>
            <w:tcW w:w="5000" w:type="pct"/>
            <w:gridSpan w:val="2"/>
            <w:shd w:val="clear" w:color="auto" w:fill="0070C0"/>
            <w:tcMar>
              <w:top w:w="85" w:type="dxa"/>
              <w:bottom w:w="85" w:type="dxa"/>
            </w:tcMar>
            <w:vAlign w:val="bottom"/>
          </w:tcPr>
          <w:p w14:paraId="32F2C8F7"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415AEAE5" w14:textId="77777777" w:rsidTr="002772ED">
        <w:tc>
          <w:tcPr>
            <w:tcW w:w="5000" w:type="pct"/>
            <w:gridSpan w:val="2"/>
            <w:shd w:val="clear" w:color="auto" w:fill="DAEEF3"/>
            <w:tcMar>
              <w:top w:w="0" w:type="dxa"/>
              <w:bottom w:w="0" w:type="dxa"/>
            </w:tcMar>
          </w:tcPr>
          <w:p w14:paraId="5843EFFF" w14:textId="77777777" w:rsidR="0020101A" w:rsidRPr="00862949" w:rsidRDefault="0020101A" w:rsidP="00720F9E">
            <w:pPr>
              <w:rPr>
                <w:rFonts w:cs="Arial"/>
                <w:b/>
                <w:bCs/>
                <w:i/>
                <w:iCs/>
                <w:color w:val="000000"/>
                <w:sz w:val="8"/>
                <w:szCs w:val="8"/>
                <w:lang w:val="en-US"/>
              </w:rPr>
            </w:pPr>
          </w:p>
        </w:tc>
      </w:tr>
      <w:tr w:rsidR="0020101A" w:rsidRPr="00862949" w14:paraId="7F632CD6" w14:textId="77777777" w:rsidTr="002772ED">
        <w:tc>
          <w:tcPr>
            <w:tcW w:w="5000" w:type="pct"/>
            <w:gridSpan w:val="2"/>
            <w:shd w:val="clear" w:color="auto" w:fill="00B050"/>
            <w:tcMar>
              <w:top w:w="57" w:type="dxa"/>
              <w:bottom w:w="57" w:type="dxa"/>
            </w:tcMar>
          </w:tcPr>
          <w:p w14:paraId="57F22430"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E73F99" w:rsidRPr="00131D4C" w14:paraId="75C37F0A" w14:textId="77777777" w:rsidTr="007F7209">
        <w:tc>
          <w:tcPr>
            <w:tcW w:w="1696" w:type="pct"/>
            <w:shd w:val="clear" w:color="auto" w:fill="auto"/>
            <w:tcMar>
              <w:top w:w="57" w:type="dxa"/>
              <w:left w:w="170" w:type="dxa"/>
              <w:bottom w:w="57" w:type="dxa"/>
              <w:right w:w="170" w:type="dxa"/>
            </w:tcMar>
          </w:tcPr>
          <w:p w14:paraId="7261D52D" w14:textId="77777777" w:rsidR="00E73F99" w:rsidRDefault="00E73F99" w:rsidP="00E73F99">
            <w:pPr>
              <w:rPr>
                <w:rFonts w:cs="Arial"/>
                <w:szCs w:val="19"/>
              </w:rPr>
            </w:pPr>
            <w:r w:rsidRPr="005D120E">
              <w:rPr>
                <w:rFonts w:cs="Arial"/>
                <w:szCs w:val="19"/>
              </w:rPr>
              <w:t>Adalimumab biosimilar (</w:t>
            </w:r>
            <w:r w:rsidRPr="005D120E">
              <w:rPr>
                <w:rFonts w:cs="Arial"/>
                <w:i/>
                <w:iCs/>
                <w:szCs w:val="19"/>
              </w:rPr>
              <w:t>Imraldi</w:t>
            </w:r>
            <w:r w:rsidRPr="005D120E">
              <w:rPr>
                <w:rFonts w:cs="Arial"/>
                <w:szCs w:val="19"/>
              </w:rPr>
              <w:t xml:space="preserve">) </w:t>
            </w:r>
          </w:p>
          <w:p w14:paraId="47F0F5DC" w14:textId="2E3C0BEC" w:rsidR="00E73F99" w:rsidRDefault="00E73F99" w:rsidP="00E73F99">
            <w:pPr>
              <w:rPr>
                <w:rFonts w:cs="Arial"/>
                <w:szCs w:val="19"/>
              </w:rPr>
            </w:pPr>
            <w:r w:rsidRPr="005D120E">
              <w:rPr>
                <w:rFonts w:cs="Arial"/>
                <w:sz w:val="16"/>
                <w:szCs w:val="16"/>
                <w:lang w:val="en-US"/>
              </w:rPr>
              <w:t>40mg in 0.4mL prefilled pen and syringe</w:t>
            </w:r>
          </w:p>
        </w:tc>
        <w:tc>
          <w:tcPr>
            <w:tcW w:w="3304" w:type="pct"/>
            <w:shd w:val="clear" w:color="auto" w:fill="auto"/>
            <w:tcMar>
              <w:top w:w="57" w:type="dxa"/>
              <w:left w:w="170" w:type="dxa"/>
              <w:bottom w:w="57" w:type="dxa"/>
              <w:right w:w="170" w:type="dxa"/>
            </w:tcMar>
          </w:tcPr>
          <w:p w14:paraId="0214DF34" w14:textId="7BB0AD97" w:rsidR="00E73F99" w:rsidRPr="00E73F99" w:rsidRDefault="00E73F99" w:rsidP="00E73F99">
            <w:pPr>
              <w:tabs>
                <w:tab w:val="center" w:pos="3152"/>
              </w:tabs>
              <w:rPr>
                <w:rFonts w:cs="Arial"/>
                <w:i/>
                <w:iCs/>
                <w:sz w:val="16"/>
                <w:szCs w:val="16"/>
                <w:lang w:val="en-US"/>
              </w:rPr>
            </w:pPr>
            <w:r w:rsidRPr="005D120E">
              <w:rPr>
                <w:rFonts w:cs="Arial"/>
                <w:szCs w:val="19"/>
                <w:lang w:val="en-US"/>
              </w:rPr>
              <w:t xml:space="preserve">Treatment of rheumatoid arthritis in adults, juvenile idiopathic arthritis, axial spondyloarthritis in adults (including ankylosing spondylitis), psoriatic arthritis in adults, psoriasis in adults, paediatric plaque psoriasis, hidradenitis suppurativa in adults, Crohn´s disease in adults and children, ulcerative colitis in adults and children, and uveitis </w:t>
            </w:r>
            <w:r w:rsidR="009937C7">
              <w:rPr>
                <w:rFonts w:cs="Arial"/>
                <w:szCs w:val="19"/>
                <w:lang w:val="en-US"/>
              </w:rPr>
              <w:t>in</w:t>
            </w:r>
            <w:r w:rsidRPr="005D120E">
              <w:rPr>
                <w:rFonts w:cs="Arial"/>
                <w:szCs w:val="19"/>
                <w:lang w:val="en-US"/>
              </w:rPr>
              <w:t xml:space="preserve"> adults and children</w:t>
            </w:r>
            <w:r>
              <w:rPr>
                <w:rFonts w:cs="Arial"/>
                <w:szCs w:val="19"/>
                <w:lang w:val="en-US"/>
              </w:rPr>
              <w:t xml:space="preserve"> </w:t>
            </w:r>
            <w:r w:rsidRPr="005D120E">
              <w:rPr>
                <w:rFonts w:cs="Arial"/>
                <w:sz w:val="16"/>
                <w:szCs w:val="16"/>
                <w:lang w:val="en-US"/>
              </w:rPr>
              <w:t>[new higher strength citrate- and sorbitol-free formulation]</w:t>
            </w:r>
            <w:r>
              <w:rPr>
                <w:rFonts w:cs="Arial"/>
                <w:sz w:val="16"/>
                <w:szCs w:val="16"/>
                <w:lang w:val="en-US"/>
              </w:rPr>
              <w:t xml:space="preserve"> </w:t>
            </w:r>
            <w:r w:rsidRPr="005D120E">
              <w:rPr>
                <w:rFonts w:cs="Arial"/>
                <w:i/>
                <w:iCs/>
                <w:sz w:val="16"/>
                <w:szCs w:val="16"/>
                <w:lang w:val="en-US"/>
              </w:rPr>
              <w:t xml:space="preserve">See </w:t>
            </w:r>
            <w:hyperlink r:id="rId10" w:history="1">
              <w:r w:rsidRPr="001137C8">
                <w:rPr>
                  <w:rStyle w:val="Hyperlink"/>
                  <w:rFonts w:ascii="Arial" w:hAnsi="Arial" w:cs="Arial"/>
                  <w:i/>
                  <w:iCs/>
                  <w:sz w:val="16"/>
                  <w:szCs w:val="16"/>
                  <w:lang w:val="en-US"/>
                </w:rPr>
                <w:t>SmPC</w:t>
              </w:r>
            </w:hyperlink>
            <w:r w:rsidRPr="005D120E">
              <w:rPr>
                <w:rFonts w:cs="Arial"/>
                <w:i/>
                <w:iCs/>
                <w:sz w:val="16"/>
                <w:szCs w:val="16"/>
                <w:lang w:val="en-US"/>
              </w:rPr>
              <w:t xml:space="preserve"> for full details of indication</w:t>
            </w:r>
          </w:p>
        </w:tc>
      </w:tr>
      <w:tr w:rsidR="00E73F99" w:rsidRPr="00131D4C" w14:paraId="405A935A" w14:textId="77777777" w:rsidTr="007F7209">
        <w:tc>
          <w:tcPr>
            <w:tcW w:w="1696" w:type="pct"/>
            <w:shd w:val="clear" w:color="auto" w:fill="auto"/>
            <w:tcMar>
              <w:top w:w="57" w:type="dxa"/>
              <w:left w:w="170" w:type="dxa"/>
              <w:bottom w:w="57" w:type="dxa"/>
              <w:right w:w="170" w:type="dxa"/>
            </w:tcMar>
          </w:tcPr>
          <w:p w14:paraId="76C58AE0" w14:textId="77777777" w:rsidR="00E73F99" w:rsidRDefault="00E73F99" w:rsidP="00E73F99">
            <w:pPr>
              <w:rPr>
                <w:rFonts w:cs="Arial"/>
                <w:szCs w:val="19"/>
              </w:rPr>
            </w:pPr>
            <w:r>
              <w:rPr>
                <w:rFonts w:cs="Arial"/>
                <w:szCs w:val="19"/>
              </w:rPr>
              <w:t>Avapritinib (</w:t>
            </w:r>
            <w:r>
              <w:rPr>
                <w:rFonts w:cs="Arial"/>
                <w:i/>
                <w:iCs/>
                <w:szCs w:val="19"/>
              </w:rPr>
              <w:t>Ayvakyt</w:t>
            </w:r>
            <w:r>
              <w:rPr>
                <w:rFonts w:cs="Arial"/>
                <w:szCs w:val="19"/>
              </w:rPr>
              <w:t>)</w:t>
            </w:r>
          </w:p>
          <w:p w14:paraId="77606DA3" w14:textId="136DA352" w:rsidR="00E73F99" w:rsidRDefault="00E73F99" w:rsidP="00E73F99">
            <w:pPr>
              <w:rPr>
                <w:rFonts w:cs="Arial"/>
                <w:szCs w:val="19"/>
              </w:rPr>
            </w:pPr>
            <w:r>
              <w:rPr>
                <w:rFonts w:cs="Arial"/>
                <w:sz w:val="16"/>
                <w:szCs w:val="16"/>
              </w:rPr>
              <w:t xml:space="preserve">100mg, </w:t>
            </w:r>
            <w:r w:rsidRPr="0043740A">
              <w:rPr>
                <w:rFonts w:cs="Arial"/>
                <w:sz w:val="16"/>
                <w:szCs w:val="16"/>
              </w:rPr>
              <w:t>200mg and 300mg tablets</w:t>
            </w:r>
          </w:p>
        </w:tc>
        <w:tc>
          <w:tcPr>
            <w:tcW w:w="3304" w:type="pct"/>
            <w:shd w:val="clear" w:color="auto" w:fill="auto"/>
            <w:tcMar>
              <w:top w:w="57" w:type="dxa"/>
              <w:left w:w="170" w:type="dxa"/>
              <w:bottom w:w="57" w:type="dxa"/>
              <w:right w:w="170" w:type="dxa"/>
            </w:tcMar>
          </w:tcPr>
          <w:p w14:paraId="495AED9E" w14:textId="701F42A6" w:rsidR="00E73F99" w:rsidRDefault="00E73F99" w:rsidP="00E73F99">
            <w:pPr>
              <w:tabs>
                <w:tab w:val="center" w:pos="3152"/>
              </w:tabs>
              <w:rPr>
                <w:rFonts w:cs="Arial"/>
                <w:szCs w:val="19"/>
                <w:lang w:val="en-US"/>
              </w:rPr>
            </w:pPr>
            <w:r w:rsidRPr="0043740A">
              <w:rPr>
                <w:rFonts w:cs="Arial"/>
                <w:szCs w:val="19"/>
                <w:lang w:val="en-US"/>
              </w:rPr>
              <w:t>Monotherapy for the treatment of adult</w:t>
            </w:r>
            <w:r>
              <w:rPr>
                <w:rFonts w:cs="Arial"/>
                <w:szCs w:val="19"/>
                <w:lang w:val="en-US"/>
              </w:rPr>
              <w:t>s</w:t>
            </w:r>
            <w:r w:rsidRPr="0043740A">
              <w:rPr>
                <w:rFonts w:cs="Arial"/>
                <w:szCs w:val="19"/>
                <w:lang w:val="en-US"/>
              </w:rPr>
              <w:t xml:space="preserve"> with aggressive systemic mastocytosis, systemic mastocytosis with an associated haematological neoplasm or mast cell leukaemia</w:t>
            </w:r>
            <w:r>
              <w:rPr>
                <w:rFonts w:cs="Arial"/>
                <w:szCs w:val="19"/>
                <w:lang w:val="en-US"/>
              </w:rPr>
              <w:t xml:space="preserve"> </w:t>
            </w:r>
            <w:r w:rsidRPr="00AA7881">
              <w:rPr>
                <w:rFonts w:cs="Arial"/>
                <w:sz w:val="16"/>
                <w:szCs w:val="16"/>
                <w:lang w:val="en-US"/>
              </w:rPr>
              <w:t>[new indication]</w:t>
            </w:r>
          </w:p>
        </w:tc>
      </w:tr>
      <w:tr w:rsidR="00E73F99" w:rsidRPr="00131D4C" w14:paraId="35117C0E" w14:textId="77777777" w:rsidTr="007F7209">
        <w:tc>
          <w:tcPr>
            <w:tcW w:w="1696" w:type="pct"/>
            <w:shd w:val="clear" w:color="auto" w:fill="auto"/>
            <w:tcMar>
              <w:top w:w="57" w:type="dxa"/>
              <w:left w:w="170" w:type="dxa"/>
              <w:bottom w:w="57" w:type="dxa"/>
              <w:right w:w="170" w:type="dxa"/>
            </w:tcMar>
          </w:tcPr>
          <w:p w14:paraId="2339C62B" w14:textId="309E5917" w:rsidR="00E73F99" w:rsidRDefault="00E73F99" w:rsidP="00E73F99">
            <w:pPr>
              <w:rPr>
                <w:rFonts w:cs="Arial"/>
                <w:szCs w:val="19"/>
              </w:rPr>
            </w:pPr>
            <w:r>
              <w:rPr>
                <w:rFonts w:cs="Arial"/>
                <w:szCs w:val="19"/>
              </w:rPr>
              <w:t>Aztreona</w:t>
            </w:r>
            <w:r w:rsidRPr="001414BF">
              <w:rPr>
                <w:rFonts w:cs="Arial"/>
                <w:szCs w:val="19"/>
              </w:rPr>
              <w:t>m + avibactam </w:t>
            </w:r>
            <w:r>
              <w:rPr>
                <w:rFonts w:cs="Arial"/>
                <w:szCs w:val="19"/>
              </w:rPr>
              <w:t>(</w:t>
            </w:r>
            <w:r w:rsidRPr="001414BF">
              <w:rPr>
                <w:rFonts w:cs="Arial"/>
                <w:i/>
                <w:iCs/>
                <w:szCs w:val="19"/>
              </w:rPr>
              <w:t>Emblaveo</w:t>
            </w:r>
            <w:r>
              <w:rPr>
                <w:rFonts w:cs="Arial"/>
                <w:szCs w:val="19"/>
              </w:rPr>
              <w:t>)</w:t>
            </w:r>
          </w:p>
          <w:p w14:paraId="61777B95" w14:textId="7A7412CB" w:rsidR="00E73F99" w:rsidRPr="005B7310" w:rsidRDefault="00E73F99" w:rsidP="00E73F99">
            <w:pPr>
              <w:rPr>
                <w:rFonts w:cs="Arial"/>
                <w:szCs w:val="19"/>
              </w:rPr>
            </w:pPr>
            <w:r w:rsidRPr="006F34D1">
              <w:rPr>
                <w:rFonts w:cs="Arial"/>
                <w:sz w:val="16"/>
                <w:szCs w:val="16"/>
              </w:rPr>
              <w:t>1.5g/0.5g vial</w:t>
            </w:r>
          </w:p>
        </w:tc>
        <w:tc>
          <w:tcPr>
            <w:tcW w:w="3304" w:type="pct"/>
            <w:shd w:val="clear" w:color="auto" w:fill="auto"/>
            <w:tcMar>
              <w:top w:w="57" w:type="dxa"/>
              <w:left w:w="170" w:type="dxa"/>
              <w:bottom w:w="57" w:type="dxa"/>
              <w:right w:w="170" w:type="dxa"/>
            </w:tcMar>
          </w:tcPr>
          <w:p w14:paraId="3FCCF64B" w14:textId="48089C9B" w:rsidR="00E73F99" w:rsidRPr="005B7310" w:rsidRDefault="00E73F99" w:rsidP="00E73F99">
            <w:pPr>
              <w:tabs>
                <w:tab w:val="center" w:pos="3152"/>
              </w:tabs>
              <w:rPr>
                <w:rFonts w:cs="Arial"/>
                <w:szCs w:val="19"/>
                <w:lang w:val="en-US"/>
              </w:rPr>
            </w:pPr>
            <w:r w:rsidRPr="001414BF">
              <w:rPr>
                <w:rFonts w:cs="Arial"/>
                <w:szCs w:val="19"/>
                <w:lang w:val="en-US"/>
              </w:rPr>
              <w:t xml:space="preserve">Treatment of the following infections in adults: Complicated intra-abdominal infection; </w:t>
            </w:r>
            <w:r>
              <w:rPr>
                <w:rFonts w:cs="Arial"/>
                <w:szCs w:val="19"/>
                <w:lang w:val="en-US"/>
              </w:rPr>
              <w:t>hospita</w:t>
            </w:r>
            <w:r w:rsidRPr="001414BF">
              <w:rPr>
                <w:rFonts w:cs="Arial"/>
                <w:szCs w:val="19"/>
                <w:lang w:val="en-US"/>
              </w:rPr>
              <w:t xml:space="preserve">l-acquired pneumonia, including ventilator-associated pneumonia; complicated urinary tract infection, including pyelonephritis. </w:t>
            </w:r>
            <w:r>
              <w:rPr>
                <w:rFonts w:cs="Arial"/>
                <w:szCs w:val="19"/>
                <w:lang w:val="en-US"/>
              </w:rPr>
              <w:t>Also</w:t>
            </w:r>
            <w:r w:rsidRPr="001414BF">
              <w:rPr>
                <w:rFonts w:cs="Arial"/>
                <w:szCs w:val="19"/>
                <w:lang w:val="en-US"/>
              </w:rPr>
              <w:t xml:space="preserve"> treatment of infections due to aerobic Gram-negative organisms in adults with limited treatment options</w:t>
            </w:r>
            <w:r>
              <w:rPr>
                <w:rFonts w:cs="Arial"/>
                <w:szCs w:val="19"/>
                <w:lang w:val="en-US"/>
              </w:rPr>
              <w:t>.</w:t>
            </w:r>
          </w:p>
        </w:tc>
      </w:tr>
      <w:tr w:rsidR="00E73F99" w:rsidRPr="00131D4C" w14:paraId="1E83F0DE" w14:textId="77777777" w:rsidTr="007F7209">
        <w:tc>
          <w:tcPr>
            <w:tcW w:w="1696" w:type="pct"/>
            <w:shd w:val="clear" w:color="auto" w:fill="auto"/>
            <w:tcMar>
              <w:top w:w="57" w:type="dxa"/>
              <w:left w:w="170" w:type="dxa"/>
              <w:bottom w:w="57" w:type="dxa"/>
              <w:right w:w="170" w:type="dxa"/>
            </w:tcMar>
          </w:tcPr>
          <w:p w14:paraId="46229AFD" w14:textId="77777777" w:rsidR="00E73F99" w:rsidRDefault="00E73F99" w:rsidP="00E73F99">
            <w:pPr>
              <w:rPr>
                <w:rFonts w:cs="Arial"/>
                <w:szCs w:val="19"/>
              </w:rPr>
            </w:pPr>
            <w:r w:rsidRPr="005B7310">
              <w:rPr>
                <w:rFonts w:cs="Arial"/>
                <w:szCs w:val="19"/>
              </w:rPr>
              <w:t>Baloxavir marboxil</w:t>
            </w:r>
            <w:r>
              <w:rPr>
                <w:rFonts w:cs="Arial"/>
                <w:szCs w:val="19"/>
              </w:rPr>
              <w:t xml:space="preserve"> (</w:t>
            </w:r>
            <w:r>
              <w:rPr>
                <w:rFonts w:cs="Arial"/>
                <w:i/>
                <w:iCs/>
                <w:szCs w:val="19"/>
              </w:rPr>
              <w:t>Xofluza</w:t>
            </w:r>
            <w:r>
              <w:rPr>
                <w:rFonts w:cs="Arial"/>
                <w:szCs w:val="19"/>
              </w:rPr>
              <w:t>)</w:t>
            </w:r>
          </w:p>
          <w:p w14:paraId="3A6FB2A2" w14:textId="4F554780" w:rsidR="00E73F99" w:rsidRPr="005B7310" w:rsidRDefault="00E73F99" w:rsidP="00E73F99">
            <w:pPr>
              <w:rPr>
                <w:rFonts w:cs="Arial"/>
                <w:szCs w:val="19"/>
              </w:rPr>
            </w:pPr>
            <w:r w:rsidRPr="005B7310">
              <w:rPr>
                <w:rFonts w:cs="Arial"/>
                <w:sz w:val="16"/>
                <w:szCs w:val="16"/>
              </w:rPr>
              <w:t>80mg tablet</w:t>
            </w:r>
          </w:p>
        </w:tc>
        <w:tc>
          <w:tcPr>
            <w:tcW w:w="3304" w:type="pct"/>
            <w:shd w:val="clear" w:color="auto" w:fill="auto"/>
            <w:tcMar>
              <w:top w:w="57" w:type="dxa"/>
              <w:left w:w="170" w:type="dxa"/>
              <w:bottom w:w="57" w:type="dxa"/>
              <w:right w:w="170" w:type="dxa"/>
            </w:tcMar>
          </w:tcPr>
          <w:p w14:paraId="4D476362" w14:textId="25199F76" w:rsidR="00E73F99" w:rsidRDefault="00E73F99" w:rsidP="00E73F99">
            <w:pPr>
              <w:tabs>
                <w:tab w:val="center" w:pos="3152"/>
              </w:tabs>
              <w:rPr>
                <w:rFonts w:cs="Arial"/>
                <w:szCs w:val="19"/>
                <w:lang w:val="en-US"/>
              </w:rPr>
            </w:pPr>
            <w:r w:rsidRPr="005B7310">
              <w:rPr>
                <w:rFonts w:cs="Arial"/>
                <w:szCs w:val="19"/>
                <w:lang w:val="en-US"/>
              </w:rPr>
              <w:t xml:space="preserve">Treatment of uncomplicated influenza in patients aged </w:t>
            </w:r>
            <w:r>
              <w:rPr>
                <w:rFonts w:cs="Arial"/>
                <w:szCs w:val="19"/>
                <w:lang w:val="en-US"/>
              </w:rPr>
              <w:t>≥</w:t>
            </w:r>
            <w:r w:rsidRPr="005B7310">
              <w:rPr>
                <w:rFonts w:cs="Arial"/>
                <w:szCs w:val="19"/>
                <w:lang w:val="en-US"/>
              </w:rPr>
              <w:t xml:space="preserve">1 year and post-exposure prophylaxis of influenza in individuals aged </w:t>
            </w:r>
            <w:r>
              <w:rPr>
                <w:rFonts w:cs="Arial"/>
                <w:szCs w:val="19"/>
                <w:lang w:val="en-US"/>
              </w:rPr>
              <w:t>≥</w:t>
            </w:r>
            <w:r w:rsidRPr="005B7310">
              <w:rPr>
                <w:rFonts w:cs="Arial"/>
                <w:szCs w:val="19"/>
                <w:lang w:val="en-US"/>
              </w:rPr>
              <w:t>1 year</w:t>
            </w:r>
          </w:p>
          <w:p w14:paraId="6A24BD6D" w14:textId="6DA218FD" w:rsidR="00E73F99" w:rsidRPr="008109D0" w:rsidRDefault="00E73F99" w:rsidP="00E73F99">
            <w:pPr>
              <w:tabs>
                <w:tab w:val="center" w:pos="3152"/>
              </w:tabs>
              <w:rPr>
                <w:rFonts w:cs="Arial"/>
                <w:szCs w:val="19"/>
                <w:lang w:val="en-US"/>
              </w:rPr>
            </w:pPr>
            <w:r w:rsidRPr="005B7310">
              <w:rPr>
                <w:rFonts w:cs="Arial"/>
                <w:sz w:val="16"/>
                <w:szCs w:val="16"/>
                <w:lang w:val="en-US"/>
              </w:rPr>
              <w:t>[new higher strength formulation</w:t>
            </w:r>
            <w:r>
              <w:rPr>
                <w:rFonts w:cs="Arial"/>
                <w:sz w:val="16"/>
                <w:szCs w:val="16"/>
                <w:lang w:val="en-US"/>
              </w:rPr>
              <w:t xml:space="preserve"> for </w:t>
            </w:r>
            <w:r w:rsidRPr="006C325C">
              <w:rPr>
                <w:rFonts w:cs="Arial"/>
                <w:sz w:val="16"/>
                <w:szCs w:val="16"/>
                <w:lang w:val="en-US"/>
              </w:rPr>
              <w:t>people weighing ≥80kg</w:t>
            </w:r>
            <w:r w:rsidRPr="005B7310">
              <w:rPr>
                <w:rFonts w:cs="Arial"/>
                <w:sz w:val="16"/>
                <w:szCs w:val="16"/>
                <w:lang w:val="en-US"/>
              </w:rPr>
              <w:t>]</w:t>
            </w:r>
          </w:p>
        </w:tc>
      </w:tr>
      <w:tr w:rsidR="00E73F99" w:rsidRPr="00131D4C" w14:paraId="0818C7CB" w14:textId="77777777" w:rsidTr="007F7209">
        <w:tc>
          <w:tcPr>
            <w:tcW w:w="1696" w:type="pct"/>
            <w:shd w:val="clear" w:color="auto" w:fill="auto"/>
            <w:tcMar>
              <w:top w:w="57" w:type="dxa"/>
              <w:left w:w="170" w:type="dxa"/>
              <w:bottom w:w="57" w:type="dxa"/>
              <w:right w:w="170" w:type="dxa"/>
            </w:tcMar>
          </w:tcPr>
          <w:p w14:paraId="5C7F5D94" w14:textId="77777777" w:rsidR="00E73F99" w:rsidRDefault="00E73F99" w:rsidP="00E73F99">
            <w:pPr>
              <w:rPr>
                <w:rFonts w:cs="Arial"/>
                <w:szCs w:val="19"/>
              </w:rPr>
            </w:pPr>
            <w:r>
              <w:rPr>
                <w:rFonts w:cs="Arial"/>
                <w:szCs w:val="19"/>
              </w:rPr>
              <w:t>Brentuxima</w:t>
            </w:r>
            <w:r w:rsidRPr="0060581C">
              <w:rPr>
                <w:rFonts w:cs="Arial"/>
                <w:szCs w:val="19"/>
              </w:rPr>
              <w:t>b vedotin </w:t>
            </w:r>
            <w:r>
              <w:rPr>
                <w:rFonts w:cs="Arial"/>
                <w:szCs w:val="19"/>
              </w:rPr>
              <w:t>(</w:t>
            </w:r>
            <w:r>
              <w:rPr>
                <w:rFonts w:cs="Arial"/>
                <w:i/>
                <w:iCs/>
                <w:szCs w:val="19"/>
              </w:rPr>
              <w:t>Adcetris</w:t>
            </w:r>
            <w:r>
              <w:rPr>
                <w:rFonts w:cs="Arial"/>
                <w:szCs w:val="19"/>
              </w:rPr>
              <w:t>)</w:t>
            </w:r>
          </w:p>
          <w:p w14:paraId="2B19D08B" w14:textId="432E3D1E" w:rsidR="00E73F99" w:rsidRPr="007875EA" w:rsidRDefault="00E73F99" w:rsidP="00E73F99">
            <w:pPr>
              <w:rPr>
                <w:rFonts w:cs="Arial"/>
                <w:szCs w:val="19"/>
              </w:rPr>
            </w:pPr>
            <w:r w:rsidRPr="003451DF">
              <w:rPr>
                <w:rFonts w:cs="Arial"/>
                <w:sz w:val="16"/>
                <w:szCs w:val="16"/>
              </w:rPr>
              <w:t>50mg vial</w:t>
            </w:r>
          </w:p>
        </w:tc>
        <w:tc>
          <w:tcPr>
            <w:tcW w:w="3304" w:type="pct"/>
            <w:shd w:val="clear" w:color="auto" w:fill="auto"/>
            <w:tcMar>
              <w:top w:w="57" w:type="dxa"/>
              <w:left w:w="170" w:type="dxa"/>
              <w:bottom w:w="57" w:type="dxa"/>
              <w:right w:w="170" w:type="dxa"/>
            </w:tcMar>
          </w:tcPr>
          <w:p w14:paraId="61C45988" w14:textId="207D821C" w:rsidR="00E73F99" w:rsidRDefault="00E73F99" w:rsidP="00E73F99">
            <w:pPr>
              <w:tabs>
                <w:tab w:val="center" w:pos="3152"/>
              </w:tabs>
              <w:rPr>
                <w:rFonts w:cs="Arial"/>
                <w:sz w:val="16"/>
                <w:szCs w:val="16"/>
                <w:lang w:val="en-US"/>
              </w:rPr>
            </w:pPr>
            <w:r w:rsidRPr="0060581C">
              <w:rPr>
                <w:rFonts w:cs="Arial"/>
                <w:szCs w:val="19"/>
                <w:lang w:val="en-US"/>
              </w:rPr>
              <w:t>Use for adults with previously untreated CD30+ Stage III or IV Hodgkin lymphoma in combination with doxorubicin, vinblastine and dacarbazine</w:t>
            </w:r>
            <w:r w:rsidRPr="0060581C">
              <w:rPr>
                <w:rFonts w:cs="Arial"/>
                <w:sz w:val="16"/>
                <w:szCs w:val="16"/>
                <w:lang w:val="en-US"/>
              </w:rPr>
              <w:t xml:space="preserve"> </w:t>
            </w:r>
          </w:p>
          <w:p w14:paraId="18622456" w14:textId="44ABB2DD" w:rsidR="00E73F99" w:rsidRPr="008109D0" w:rsidRDefault="00E73F99" w:rsidP="00E73F99">
            <w:pPr>
              <w:tabs>
                <w:tab w:val="center" w:pos="3152"/>
              </w:tabs>
              <w:rPr>
                <w:rFonts w:cs="Arial"/>
                <w:szCs w:val="19"/>
                <w:lang w:val="en-US"/>
              </w:rPr>
            </w:pPr>
            <w:r w:rsidRPr="0060581C">
              <w:rPr>
                <w:rFonts w:cs="Arial"/>
                <w:sz w:val="16"/>
                <w:szCs w:val="16"/>
                <w:lang w:val="en-US"/>
              </w:rPr>
              <w:t>[licence change from use only in Stage IV disease]</w:t>
            </w:r>
          </w:p>
        </w:tc>
      </w:tr>
      <w:tr w:rsidR="00E73F99" w:rsidRPr="00131D4C" w14:paraId="061A7982" w14:textId="77777777" w:rsidTr="007F7209">
        <w:tc>
          <w:tcPr>
            <w:tcW w:w="1696" w:type="pct"/>
            <w:shd w:val="clear" w:color="auto" w:fill="auto"/>
            <w:tcMar>
              <w:top w:w="57" w:type="dxa"/>
              <w:left w:w="170" w:type="dxa"/>
              <w:bottom w:w="57" w:type="dxa"/>
              <w:right w:w="170" w:type="dxa"/>
            </w:tcMar>
          </w:tcPr>
          <w:p w14:paraId="30332A3B" w14:textId="77777777" w:rsidR="00E73F99" w:rsidRDefault="00E73F99" w:rsidP="00E73F99">
            <w:pPr>
              <w:rPr>
                <w:rFonts w:cs="Arial"/>
                <w:szCs w:val="19"/>
              </w:rPr>
            </w:pPr>
            <w:r w:rsidRPr="007875EA">
              <w:rPr>
                <w:rFonts w:cs="Arial"/>
                <w:szCs w:val="19"/>
              </w:rPr>
              <w:t>Bretovamera</w:t>
            </w:r>
            <w:r>
              <w:rPr>
                <w:rFonts w:cs="Arial"/>
                <w:szCs w:val="19"/>
              </w:rPr>
              <w:t xml:space="preserve">n </w:t>
            </w:r>
          </w:p>
          <w:p w14:paraId="2B1B5D03" w14:textId="1906AD4D" w:rsidR="00E73F99" w:rsidRDefault="00E73F99" w:rsidP="00E73F99">
            <w:pPr>
              <w:rPr>
                <w:rFonts w:cs="Arial"/>
                <w:szCs w:val="19"/>
              </w:rPr>
            </w:pPr>
            <w:r>
              <w:rPr>
                <w:rFonts w:cs="Arial"/>
                <w:szCs w:val="19"/>
              </w:rPr>
              <w:t>(</w:t>
            </w:r>
            <w:r>
              <w:rPr>
                <w:rFonts w:cs="Arial"/>
                <w:i/>
                <w:iCs/>
                <w:szCs w:val="19"/>
              </w:rPr>
              <w:t xml:space="preserve">Comirnaty </w:t>
            </w:r>
            <w:r w:rsidRPr="007875EA">
              <w:rPr>
                <w:rFonts w:cs="Arial"/>
                <w:i/>
                <w:iCs/>
                <w:szCs w:val="19"/>
              </w:rPr>
              <w:t>JN.1 3micrograms/dose)</w:t>
            </w:r>
          </w:p>
          <w:p w14:paraId="54351857" w14:textId="53CC0B5D" w:rsidR="00E73F99" w:rsidRPr="00CB7CB1" w:rsidRDefault="00E73F99" w:rsidP="00E73F99">
            <w:pPr>
              <w:rPr>
                <w:rFonts w:cs="Arial"/>
                <w:szCs w:val="19"/>
              </w:rPr>
            </w:pPr>
            <w:r w:rsidRPr="008035B5">
              <w:rPr>
                <w:rFonts w:cs="Arial"/>
                <w:sz w:val="16"/>
                <w:szCs w:val="16"/>
              </w:rPr>
              <w:t>3-dose multi-dose vial</w:t>
            </w:r>
          </w:p>
        </w:tc>
        <w:tc>
          <w:tcPr>
            <w:tcW w:w="3304" w:type="pct"/>
            <w:shd w:val="clear" w:color="auto" w:fill="auto"/>
            <w:tcMar>
              <w:top w:w="57" w:type="dxa"/>
              <w:left w:w="170" w:type="dxa"/>
              <w:bottom w:w="57" w:type="dxa"/>
              <w:right w:w="170" w:type="dxa"/>
            </w:tcMar>
          </w:tcPr>
          <w:p w14:paraId="13F3AC02" w14:textId="55DCCF5E" w:rsidR="00E73F99" w:rsidRDefault="00E73F99" w:rsidP="00E73F99">
            <w:pPr>
              <w:tabs>
                <w:tab w:val="center" w:pos="3152"/>
              </w:tabs>
              <w:rPr>
                <w:rFonts w:cs="Arial"/>
                <w:bCs/>
                <w:szCs w:val="19"/>
              </w:rPr>
            </w:pPr>
            <w:r w:rsidRPr="008109D0">
              <w:rPr>
                <w:rFonts w:cs="Arial"/>
                <w:szCs w:val="19"/>
                <w:lang w:val="en-US"/>
              </w:rPr>
              <w:t>Active immunisation to prevent COVID-19 caused by SARS-CoV-2 in infants and children aged 6 months to 4 years</w:t>
            </w:r>
          </w:p>
        </w:tc>
      </w:tr>
      <w:tr w:rsidR="00E73F99" w:rsidRPr="00131D4C" w14:paraId="360D05E1" w14:textId="77777777" w:rsidTr="007F7209">
        <w:tc>
          <w:tcPr>
            <w:tcW w:w="1696" w:type="pct"/>
            <w:shd w:val="clear" w:color="auto" w:fill="auto"/>
            <w:tcMar>
              <w:top w:w="57" w:type="dxa"/>
              <w:left w:w="170" w:type="dxa"/>
              <w:bottom w:w="57" w:type="dxa"/>
              <w:right w:w="170" w:type="dxa"/>
            </w:tcMar>
          </w:tcPr>
          <w:p w14:paraId="1CEE474E" w14:textId="77777777" w:rsidR="00E73F99" w:rsidRDefault="00E73F99" w:rsidP="00E73F99">
            <w:pPr>
              <w:rPr>
                <w:rFonts w:cs="Arial"/>
                <w:szCs w:val="19"/>
              </w:rPr>
            </w:pPr>
            <w:r w:rsidRPr="007875EA">
              <w:rPr>
                <w:rFonts w:cs="Arial"/>
                <w:szCs w:val="19"/>
              </w:rPr>
              <w:t>Bretovamera</w:t>
            </w:r>
            <w:r>
              <w:rPr>
                <w:rFonts w:cs="Arial"/>
                <w:szCs w:val="19"/>
              </w:rPr>
              <w:t xml:space="preserve">n </w:t>
            </w:r>
          </w:p>
          <w:p w14:paraId="130C2829" w14:textId="35E7E94F" w:rsidR="00E73F99" w:rsidRDefault="00E73F99" w:rsidP="00E73F99">
            <w:pPr>
              <w:rPr>
                <w:rFonts w:cs="Arial"/>
                <w:szCs w:val="19"/>
              </w:rPr>
            </w:pPr>
            <w:r>
              <w:rPr>
                <w:rFonts w:cs="Arial"/>
                <w:szCs w:val="19"/>
              </w:rPr>
              <w:t>(</w:t>
            </w:r>
            <w:r>
              <w:rPr>
                <w:rFonts w:cs="Arial"/>
                <w:i/>
                <w:iCs/>
                <w:szCs w:val="19"/>
              </w:rPr>
              <w:t xml:space="preserve">Comirnaty </w:t>
            </w:r>
            <w:r w:rsidRPr="007875EA">
              <w:rPr>
                <w:rFonts w:cs="Arial"/>
                <w:i/>
                <w:iCs/>
                <w:szCs w:val="19"/>
              </w:rPr>
              <w:t xml:space="preserve">JN.1 </w:t>
            </w:r>
            <w:r>
              <w:rPr>
                <w:rFonts w:cs="Arial"/>
                <w:i/>
                <w:iCs/>
                <w:szCs w:val="19"/>
              </w:rPr>
              <w:t>10</w:t>
            </w:r>
            <w:r w:rsidRPr="007875EA">
              <w:rPr>
                <w:rFonts w:cs="Arial"/>
                <w:i/>
                <w:iCs/>
                <w:szCs w:val="19"/>
              </w:rPr>
              <w:t>micrograms/dose)</w:t>
            </w:r>
          </w:p>
          <w:p w14:paraId="3FD82451" w14:textId="546D6CA8" w:rsidR="00E73F99" w:rsidRPr="00CB7CB1" w:rsidRDefault="00E73F99" w:rsidP="00E73F99">
            <w:pPr>
              <w:rPr>
                <w:rFonts w:cs="Arial"/>
                <w:szCs w:val="19"/>
              </w:rPr>
            </w:pPr>
            <w:r w:rsidRPr="008109D0">
              <w:rPr>
                <w:rFonts w:cs="Arial"/>
                <w:sz w:val="16"/>
                <w:szCs w:val="16"/>
              </w:rPr>
              <w:t>10microgram in 0.3mL single-dose vial</w:t>
            </w:r>
          </w:p>
        </w:tc>
        <w:tc>
          <w:tcPr>
            <w:tcW w:w="3304" w:type="pct"/>
            <w:shd w:val="clear" w:color="auto" w:fill="auto"/>
            <w:tcMar>
              <w:top w:w="57" w:type="dxa"/>
              <w:left w:w="170" w:type="dxa"/>
              <w:bottom w:w="57" w:type="dxa"/>
              <w:right w:w="170" w:type="dxa"/>
            </w:tcMar>
          </w:tcPr>
          <w:p w14:paraId="61F6043A" w14:textId="04EE58FA" w:rsidR="00E73F99" w:rsidRDefault="00E73F99" w:rsidP="00E73F99">
            <w:pPr>
              <w:tabs>
                <w:tab w:val="center" w:pos="3152"/>
              </w:tabs>
              <w:rPr>
                <w:rFonts w:cs="Arial"/>
                <w:bCs/>
                <w:szCs w:val="19"/>
              </w:rPr>
            </w:pPr>
            <w:r>
              <w:rPr>
                <w:rFonts w:cs="Arial"/>
                <w:szCs w:val="19"/>
                <w:lang w:val="en-US"/>
              </w:rPr>
              <w:t>A</w:t>
            </w:r>
            <w:r w:rsidRPr="00981139">
              <w:rPr>
                <w:rFonts w:cs="Arial"/>
                <w:szCs w:val="19"/>
                <w:lang w:val="en-US"/>
              </w:rPr>
              <w:t>ctive</w:t>
            </w:r>
            <w:r>
              <w:rPr>
                <w:rFonts w:cs="Arial"/>
                <w:szCs w:val="19"/>
                <w:lang w:val="en-US"/>
              </w:rPr>
              <w:t xml:space="preserve"> </w:t>
            </w:r>
            <w:r w:rsidRPr="00981139">
              <w:rPr>
                <w:rFonts w:cs="Arial"/>
                <w:szCs w:val="19"/>
                <w:lang w:val="en-US"/>
              </w:rPr>
              <w:t>immunisation to prevent COVID-19 caused by SARS-CoV-2 in children aged 5 to</w:t>
            </w:r>
            <w:r>
              <w:rPr>
                <w:rFonts w:cs="Arial"/>
                <w:szCs w:val="19"/>
                <w:lang w:val="en-US"/>
              </w:rPr>
              <w:t xml:space="preserve"> </w:t>
            </w:r>
            <w:r w:rsidRPr="00981139">
              <w:rPr>
                <w:rFonts w:cs="Arial"/>
                <w:szCs w:val="19"/>
                <w:lang w:val="en-US"/>
              </w:rPr>
              <w:t>11 years</w:t>
            </w:r>
          </w:p>
        </w:tc>
      </w:tr>
      <w:tr w:rsidR="00E73F99" w:rsidRPr="00131D4C" w14:paraId="7DDB0150" w14:textId="77777777" w:rsidTr="007F7209">
        <w:tc>
          <w:tcPr>
            <w:tcW w:w="1696" w:type="pct"/>
            <w:shd w:val="clear" w:color="auto" w:fill="auto"/>
            <w:tcMar>
              <w:top w:w="57" w:type="dxa"/>
              <w:left w:w="170" w:type="dxa"/>
              <w:bottom w:w="57" w:type="dxa"/>
              <w:right w:w="170" w:type="dxa"/>
            </w:tcMar>
          </w:tcPr>
          <w:p w14:paraId="46657E07" w14:textId="77777777" w:rsidR="00E73F99" w:rsidRDefault="00E73F99" w:rsidP="00E73F99">
            <w:pPr>
              <w:rPr>
                <w:rFonts w:cs="Arial"/>
                <w:szCs w:val="19"/>
              </w:rPr>
            </w:pPr>
            <w:r w:rsidRPr="007875EA">
              <w:rPr>
                <w:rFonts w:cs="Arial"/>
                <w:szCs w:val="19"/>
              </w:rPr>
              <w:t>Bretovamera</w:t>
            </w:r>
            <w:r>
              <w:rPr>
                <w:rFonts w:cs="Arial"/>
                <w:szCs w:val="19"/>
              </w:rPr>
              <w:t xml:space="preserve">n </w:t>
            </w:r>
          </w:p>
          <w:p w14:paraId="46D83088" w14:textId="7759AD97" w:rsidR="00E73F99" w:rsidRDefault="00E73F99" w:rsidP="00E73F99">
            <w:pPr>
              <w:rPr>
                <w:rFonts w:cs="Arial"/>
                <w:szCs w:val="19"/>
              </w:rPr>
            </w:pPr>
            <w:r>
              <w:rPr>
                <w:rFonts w:cs="Arial"/>
                <w:szCs w:val="19"/>
              </w:rPr>
              <w:t>(</w:t>
            </w:r>
            <w:r>
              <w:rPr>
                <w:rFonts w:cs="Arial"/>
                <w:i/>
                <w:iCs/>
                <w:szCs w:val="19"/>
              </w:rPr>
              <w:t xml:space="preserve">Comirnaty </w:t>
            </w:r>
            <w:r w:rsidRPr="007875EA">
              <w:rPr>
                <w:rFonts w:cs="Arial"/>
                <w:i/>
                <w:iCs/>
                <w:szCs w:val="19"/>
              </w:rPr>
              <w:t>JN.1 3</w:t>
            </w:r>
            <w:r>
              <w:rPr>
                <w:rFonts w:cs="Arial"/>
                <w:i/>
                <w:iCs/>
                <w:szCs w:val="19"/>
              </w:rPr>
              <w:t>0</w:t>
            </w:r>
            <w:r w:rsidRPr="007875EA">
              <w:rPr>
                <w:rFonts w:cs="Arial"/>
                <w:i/>
                <w:iCs/>
                <w:szCs w:val="19"/>
              </w:rPr>
              <w:t>micrograms/dose)</w:t>
            </w:r>
          </w:p>
          <w:p w14:paraId="40B42D38" w14:textId="6ECAB6B5" w:rsidR="00E73F99" w:rsidRPr="00042817" w:rsidRDefault="00E73F99" w:rsidP="00E73F99">
            <w:pPr>
              <w:rPr>
                <w:rFonts w:cs="Arial"/>
                <w:szCs w:val="19"/>
              </w:rPr>
            </w:pPr>
            <w:r w:rsidRPr="000A11A9">
              <w:rPr>
                <w:rFonts w:cs="Arial"/>
                <w:sz w:val="16"/>
                <w:szCs w:val="16"/>
              </w:rPr>
              <w:t>6-dose multi-dose vial and 30micrograms in 0.3mL single-dose prefilled syringe</w:t>
            </w:r>
          </w:p>
        </w:tc>
        <w:tc>
          <w:tcPr>
            <w:tcW w:w="3304" w:type="pct"/>
            <w:shd w:val="clear" w:color="auto" w:fill="auto"/>
            <w:tcMar>
              <w:top w:w="57" w:type="dxa"/>
              <w:left w:w="170" w:type="dxa"/>
              <w:bottom w:w="57" w:type="dxa"/>
              <w:right w:w="170" w:type="dxa"/>
            </w:tcMar>
          </w:tcPr>
          <w:p w14:paraId="5B3791A3" w14:textId="71D02DC5" w:rsidR="00E73F99" w:rsidRPr="00A075A3" w:rsidRDefault="00E73F99" w:rsidP="00E73F99">
            <w:pPr>
              <w:tabs>
                <w:tab w:val="center" w:pos="3152"/>
              </w:tabs>
              <w:rPr>
                <w:rFonts w:cs="Arial"/>
                <w:szCs w:val="19"/>
                <w:lang w:val="en-US"/>
              </w:rPr>
            </w:pPr>
            <w:r w:rsidRPr="000A11A9">
              <w:rPr>
                <w:rFonts w:cs="Arial"/>
                <w:szCs w:val="19"/>
                <w:lang w:val="en-US"/>
              </w:rPr>
              <w:t xml:space="preserve">Active immunisation to prevent COVID-19 caused by SARS-CoV-2 in individuals </w:t>
            </w:r>
            <w:r>
              <w:rPr>
                <w:rFonts w:cs="Arial"/>
                <w:szCs w:val="19"/>
                <w:lang w:val="en-US"/>
              </w:rPr>
              <w:t>≥</w:t>
            </w:r>
            <w:r w:rsidRPr="000A11A9">
              <w:rPr>
                <w:rFonts w:cs="Arial"/>
                <w:szCs w:val="19"/>
                <w:lang w:val="en-US"/>
              </w:rPr>
              <w:t>12 years</w:t>
            </w:r>
          </w:p>
        </w:tc>
      </w:tr>
      <w:tr w:rsidR="00E73F99" w:rsidRPr="00131D4C" w14:paraId="7D93822E" w14:textId="77777777" w:rsidTr="007F7209">
        <w:tc>
          <w:tcPr>
            <w:tcW w:w="1696" w:type="pct"/>
            <w:shd w:val="clear" w:color="auto" w:fill="auto"/>
            <w:tcMar>
              <w:top w:w="57" w:type="dxa"/>
              <w:left w:w="170" w:type="dxa"/>
              <w:bottom w:w="57" w:type="dxa"/>
              <w:right w:w="170" w:type="dxa"/>
            </w:tcMar>
          </w:tcPr>
          <w:p w14:paraId="11F180EE" w14:textId="77777777" w:rsidR="00E73F99" w:rsidRDefault="00E73F99" w:rsidP="00E73F99">
            <w:pPr>
              <w:rPr>
                <w:rFonts w:cs="Arial"/>
                <w:szCs w:val="19"/>
              </w:rPr>
            </w:pPr>
            <w:r>
              <w:rPr>
                <w:rFonts w:cs="Arial"/>
                <w:szCs w:val="19"/>
              </w:rPr>
              <w:t>Budesonide (</w:t>
            </w:r>
            <w:r>
              <w:rPr>
                <w:rFonts w:cs="Arial"/>
                <w:i/>
                <w:iCs/>
                <w:szCs w:val="19"/>
              </w:rPr>
              <w:t>Budenofalk</w:t>
            </w:r>
            <w:r>
              <w:rPr>
                <w:rFonts w:cs="Arial"/>
                <w:szCs w:val="19"/>
              </w:rPr>
              <w:t>)</w:t>
            </w:r>
          </w:p>
          <w:p w14:paraId="1FDEB98E" w14:textId="78EBF383" w:rsidR="00E73F99" w:rsidRDefault="00E73F99" w:rsidP="00E73F99">
            <w:pPr>
              <w:rPr>
                <w:rFonts w:cs="Arial"/>
                <w:szCs w:val="19"/>
              </w:rPr>
            </w:pPr>
            <w:r w:rsidRPr="0001535C">
              <w:rPr>
                <w:rFonts w:cs="Arial"/>
                <w:sz w:val="16"/>
                <w:szCs w:val="16"/>
              </w:rPr>
              <w:t>4mg suppository</w:t>
            </w:r>
          </w:p>
        </w:tc>
        <w:tc>
          <w:tcPr>
            <w:tcW w:w="3304" w:type="pct"/>
            <w:shd w:val="clear" w:color="auto" w:fill="auto"/>
            <w:tcMar>
              <w:top w:w="57" w:type="dxa"/>
              <w:left w:w="170" w:type="dxa"/>
              <w:bottom w:w="57" w:type="dxa"/>
              <w:right w:w="170" w:type="dxa"/>
            </w:tcMar>
          </w:tcPr>
          <w:p w14:paraId="3E813322" w14:textId="0EE9EC9E" w:rsidR="00E73F99" w:rsidRDefault="00E73F99" w:rsidP="00E73F99">
            <w:pPr>
              <w:tabs>
                <w:tab w:val="center" w:pos="3152"/>
              </w:tabs>
              <w:rPr>
                <w:rFonts w:cs="Arial"/>
                <w:szCs w:val="19"/>
                <w:lang w:val="en-US"/>
              </w:rPr>
            </w:pPr>
            <w:r w:rsidRPr="0001535C">
              <w:rPr>
                <w:rFonts w:cs="Arial"/>
                <w:szCs w:val="19"/>
                <w:lang w:val="en-US"/>
              </w:rPr>
              <w:t>Short-term treatment of mild to moderate acute ulcerative colitis limited to the rectum (ulcerative proctitis) in adult</w:t>
            </w:r>
            <w:r>
              <w:rPr>
                <w:rFonts w:cs="Arial"/>
                <w:szCs w:val="19"/>
                <w:lang w:val="en-US"/>
              </w:rPr>
              <w:t xml:space="preserve">s </w:t>
            </w:r>
            <w:r w:rsidRPr="0001535C">
              <w:rPr>
                <w:rFonts w:cs="Arial"/>
                <w:sz w:val="16"/>
                <w:szCs w:val="16"/>
                <w:lang w:val="en-US"/>
              </w:rPr>
              <w:t xml:space="preserve">[new </w:t>
            </w:r>
            <w:r>
              <w:rPr>
                <w:rFonts w:cs="Arial"/>
                <w:sz w:val="16"/>
                <w:szCs w:val="16"/>
                <w:lang w:val="en-US"/>
              </w:rPr>
              <w:t xml:space="preserve">suppository </w:t>
            </w:r>
            <w:r w:rsidRPr="0001535C">
              <w:rPr>
                <w:rFonts w:cs="Arial"/>
                <w:sz w:val="16"/>
                <w:szCs w:val="16"/>
                <w:lang w:val="en-US"/>
              </w:rPr>
              <w:t>formulation]</w:t>
            </w:r>
          </w:p>
        </w:tc>
      </w:tr>
      <w:tr w:rsidR="00E73F99" w:rsidRPr="00131D4C" w14:paraId="716F43A2" w14:textId="77777777" w:rsidTr="007F7209">
        <w:tc>
          <w:tcPr>
            <w:tcW w:w="1696" w:type="pct"/>
            <w:shd w:val="clear" w:color="auto" w:fill="auto"/>
            <w:tcMar>
              <w:top w:w="57" w:type="dxa"/>
              <w:left w:w="170" w:type="dxa"/>
              <w:bottom w:w="57" w:type="dxa"/>
              <w:right w:w="170" w:type="dxa"/>
            </w:tcMar>
          </w:tcPr>
          <w:p w14:paraId="51FAC126" w14:textId="77777777" w:rsidR="00E73F99" w:rsidRDefault="00E73F99" w:rsidP="00E73F99">
            <w:pPr>
              <w:rPr>
                <w:rFonts w:cs="Arial"/>
                <w:szCs w:val="19"/>
              </w:rPr>
            </w:pPr>
            <w:r>
              <w:rPr>
                <w:rFonts w:cs="Arial"/>
                <w:szCs w:val="19"/>
              </w:rPr>
              <w:t>Capivasertib (</w:t>
            </w:r>
            <w:r>
              <w:rPr>
                <w:rFonts w:cs="Arial"/>
                <w:i/>
                <w:iCs/>
                <w:szCs w:val="19"/>
              </w:rPr>
              <w:t>Truqap</w:t>
            </w:r>
            <w:r>
              <w:rPr>
                <w:rFonts w:cs="Arial"/>
                <w:szCs w:val="19"/>
              </w:rPr>
              <w:t>)</w:t>
            </w:r>
          </w:p>
          <w:p w14:paraId="1BD0B78F" w14:textId="77777777" w:rsidR="00E73F99" w:rsidRPr="00BE4FA3" w:rsidRDefault="00E73F99" w:rsidP="00E73F99">
            <w:pPr>
              <w:rPr>
                <w:rFonts w:cs="Arial"/>
                <w:sz w:val="16"/>
                <w:szCs w:val="16"/>
              </w:rPr>
            </w:pPr>
            <w:r w:rsidRPr="00BE4FA3">
              <w:rPr>
                <w:rFonts w:cs="Arial"/>
                <w:sz w:val="16"/>
                <w:szCs w:val="16"/>
              </w:rPr>
              <w:t>160mg and 200mg tablets</w:t>
            </w:r>
          </w:p>
          <w:p w14:paraId="55CE57DE" w14:textId="3FEDEA2D" w:rsidR="00E73F99" w:rsidRPr="00A075A3" w:rsidRDefault="00E73F99" w:rsidP="00E73F99">
            <w:pPr>
              <w:rPr>
                <w:rFonts w:cs="Arial"/>
                <w:szCs w:val="19"/>
              </w:rPr>
            </w:pPr>
          </w:p>
        </w:tc>
        <w:tc>
          <w:tcPr>
            <w:tcW w:w="3304" w:type="pct"/>
            <w:shd w:val="clear" w:color="auto" w:fill="auto"/>
            <w:tcMar>
              <w:top w:w="57" w:type="dxa"/>
              <w:left w:w="170" w:type="dxa"/>
              <w:bottom w:w="57" w:type="dxa"/>
              <w:right w:w="170" w:type="dxa"/>
            </w:tcMar>
          </w:tcPr>
          <w:p w14:paraId="680DB896" w14:textId="311E99E1" w:rsidR="00E73F99" w:rsidRPr="009B0BCE" w:rsidRDefault="00E73F99" w:rsidP="00E73F99">
            <w:pPr>
              <w:tabs>
                <w:tab w:val="center" w:pos="3152"/>
              </w:tabs>
              <w:rPr>
                <w:rFonts w:cs="Arial"/>
                <w:color w:val="000000"/>
                <w:sz w:val="20"/>
                <w:szCs w:val="18"/>
                <w:lang w:val="en-US"/>
              </w:rPr>
            </w:pPr>
            <w:r>
              <w:rPr>
                <w:rFonts w:cs="Arial"/>
                <w:szCs w:val="19"/>
                <w:lang w:val="en-US"/>
              </w:rPr>
              <w:t xml:space="preserve">Use </w:t>
            </w:r>
            <w:r w:rsidRPr="00BE4FA3">
              <w:rPr>
                <w:rFonts w:cs="Arial"/>
                <w:szCs w:val="19"/>
                <w:lang w:val="en-US"/>
              </w:rPr>
              <w:t>in combination with fulvestrant for the treatment of adults with hormone receptor</w:t>
            </w:r>
            <w:r>
              <w:rPr>
                <w:rFonts w:cs="Arial"/>
                <w:szCs w:val="19"/>
                <w:lang w:val="en-US"/>
              </w:rPr>
              <w:t>-</w:t>
            </w:r>
            <w:r w:rsidRPr="00BE4FA3">
              <w:rPr>
                <w:rFonts w:cs="Arial"/>
                <w:szCs w:val="19"/>
                <w:lang w:val="en-US"/>
              </w:rPr>
              <w:t>positive, human epidermal growth factor receptor 2</w:t>
            </w:r>
            <w:r>
              <w:rPr>
                <w:rFonts w:cs="Arial"/>
                <w:szCs w:val="19"/>
                <w:lang w:val="en-US"/>
              </w:rPr>
              <w:t>-</w:t>
            </w:r>
            <w:r w:rsidRPr="00BE4FA3">
              <w:rPr>
                <w:rFonts w:cs="Arial"/>
                <w:szCs w:val="19"/>
                <w:lang w:val="en-US"/>
              </w:rPr>
              <w:t>negative (defined as IHC 0 or 1+, or IHC 2+/ISH-) locally advanced or metastatic breast cancer with one or more PIK3CA/AKT1/PTEN-alterations following recurrence or progression on or after an endocrine based regimen</w:t>
            </w:r>
          </w:p>
        </w:tc>
      </w:tr>
      <w:tr w:rsidR="00E73F99" w:rsidRPr="00862949" w14:paraId="671F43E9" w14:textId="77777777" w:rsidTr="002772ED">
        <w:tc>
          <w:tcPr>
            <w:tcW w:w="5000" w:type="pct"/>
            <w:gridSpan w:val="2"/>
            <w:shd w:val="clear" w:color="auto" w:fill="auto"/>
            <w:tcMar>
              <w:top w:w="0" w:type="dxa"/>
              <w:bottom w:w="0" w:type="dxa"/>
            </w:tcMar>
          </w:tcPr>
          <w:p w14:paraId="25451ABB" w14:textId="77777777" w:rsidR="00E73F99" w:rsidRPr="00862949" w:rsidRDefault="00E73F99" w:rsidP="00E73F99">
            <w:pPr>
              <w:rPr>
                <w:rFonts w:cs="Arial"/>
                <w:b/>
                <w:noProof/>
                <w:sz w:val="8"/>
                <w:szCs w:val="8"/>
              </w:rPr>
            </w:pPr>
          </w:p>
        </w:tc>
      </w:tr>
      <w:tr w:rsidR="00E73F99" w:rsidRPr="00862949" w14:paraId="1CA26991" w14:textId="77777777" w:rsidTr="002772ED">
        <w:tc>
          <w:tcPr>
            <w:tcW w:w="5000" w:type="pct"/>
            <w:gridSpan w:val="2"/>
            <w:shd w:val="clear" w:color="auto" w:fill="DAEEF3"/>
            <w:tcMar>
              <w:top w:w="0" w:type="dxa"/>
              <w:bottom w:w="0" w:type="dxa"/>
            </w:tcMar>
          </w:tcPr>
          <w:p w14:paraId="357D2287" w14:textId="77777777" w:rsidR="00E73F99" w:rsidRPr="00862949" w:rsidRDefault="00E73F99" w:rsidP="00E73F99">
            <w:pPr>
              <w:rPr>
                <w:rFonts w:cs="Arial"/>
                <w:b/>
                <w:i/>
                <w:noProof/>
                <w:sz w:val="8"/>
                <w:szCs w:val="8"/>
              </w:rPr>
            </w:pPr>
          </w:p>
        </w:tc>
      </w:tr>
    </w:tbl>
    <w:p w14:paraId="1DB88EF5" w14:textId="77777777" w:rsidR="00797F59" w:rsidRDefault="00797F59" w:rsidP="00727945">
      <w:pPr>
        <w:rPr>
          <w:rFonts w:ascii="Latha" w:hAnsi="Latha" w:cs="Latha"/>
          <w:sz w:val="8"/>
          <w:szCs w:val="8"/>
        </w:rPr>
      </w:pPr>
    </w:p>
    <w:p w14:paraId="546A05DF" w14:textId="77777777" w:rsidR="001A42CE" w:rsidRPr="00727945" w:rsidRDefault="001A42CE" w:rsidP="00727945">
      <w:pPr>
        <w:rPr>
          <w:rFonts w:ascii="Latha" w:hAnsi="Latha" w:cs="Latha"/>
          <w:sz w:val="8"/>
          <w:szCs w:val="8"/>
        </w:rPr>
        <w:sectPr w:rsidR="001A42CE" w:rsidRPr="00727945" w:rsidSect="002772ED">
          <w:headerReference w:type="even" r:id="rId11"/>
          <w:headerReference w:type="default" r:id="rId12"/>
          <w:footerReference w:type="even" r:id="rId13"/>
          <w:footerReference w:type="default" r:id="rId14"/>
          <w:headerReference w:type="first" r:id="rId15"/>
          <w:pgSz w:w="11906" w:h="16838" w:code="9"/>
          <w:pgMar w:top="680" w:right="851" w:bottom="680" w:left="851" w:header="567" w:footer="227" w:gutter="0"/>
          <w:cols w:space="708"/>
          <w:docGrid w:linePitch="360"/>
        </w:sectPr>
      </w:pPr>
    </w:p>
    <w:p w14:paraId="2A01ED36" w14:textId="4AA7992C" w:rsidR="00583778" w:rsidRDefault="007C3B3F">
      <w:pPr>
        <w:rPr>
          <w:color w:val="00B050"/>
          <w:sz w:val="16"/>
          <w:szCs w:val="16"/>
        </w:rPr>
      </w:pPr>
      <w:r w:rsidRPr="007C3B3F">
        <w:rPr>
          <w:color w:val="00B050"/>
          <w:sz w:val="16"/>
          <w:szCs w:val="16"/>
        </w:rPr>
        <w:lastRenderedPageBreak/>
        <w:t>*amended</w:t>
      </w:r>
    </w:p>
    <w:p w14:paraId="0D2C9F0D" w14:textId="77777777" w:rsidR="00B24F1F" w:rsidRPr="007C3B3F" w:rsidRDefault="00B24F1F">
      <w:pPr>
        <w:rPr>
          <w:color w:val="00B050"/>
          <w:sz w:val="16"/>
          <w:szCs w:val="16"/>
        </w:rPr>
      </w:pPr>
    </w:p>
    <w:tbl>
      <w:tblPr>
        <w:tblW w:w="5170" w:type="pct"/>
        <w:tblInd w:w="-176" w:type="dxa"/>
        <w:tblLayout w:type="fixed"/>
        <w:tblLook w:val="01E0" w:firstRow="1" w:lastRow="1" w:firstColumn="1" w:lastColumn="1" w:noHBand="0" w:noVBand="0"/>
      </w:tblPr>
      <w:tblGrid>
        <w:gridCol w:w="3294"/>
        <w:gridCol w:w="7257"/>
      </w:tblGrid>
      <w:tr w:rsidR="00E36CCA" w:rsidRPr="00862949" w14:paraId="250760C4" w14:textId="77777777" w:rsidTr="001C62E0">
        <w:tc>
          <w:tcPr>
            <w:tcW w:w="5000" w:type="pct"/>
            <w:gridSpan w:val="2"/>
            <w:shd w:val="clear" w:color="auto" w:fill="0070C0"/>
            <w:tcMar>
              <w:top w:w="85" w:type="dxa"/>
              <w:bottom w:w="85" w:type="dxa"/>
            </w:tcMar>
            <w:vAlign w:val="bottom"/>
          </w:tcPr>
          <w:p w14:paraId="312CF6DE" w14:textId="77777777" w:rsidR="00E36CCA" w:rsidRPr="00862949" w:rsidRDefault="00E36CCA" w:rsidP="001C62E0">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E36CCA" w:rsidRPr="00862949" w14:paraId="601B8879" w14:textId="77777777" w:rsidTr="001C62E0">
        <w:tc>
          <w:tcPr>
            <w:tcW w:w="5000" w:type="pct"/>
            <w:gridSpan w:val="2"/>
            <w:shd w:val="clear" w:color="auto" w:fill="DAEEF3"/>
            <w:tcMar>
              <w:top w:w="0" w:type="dxa"/>
              <w:bottom w:w="0" w:type="dxa"/>
            </w:tcMar>
          </w:tcPr>
          <w:p w14:paraId="271808EF" w14:textId="77777777" w:rsidR="00E36CCA" w:rsidRPr="00862949" w:rsidRDefault="00E36CCA" w:rsidP="001C62E0">
            <w:pPr>
              <w:rPr>
                <w:rFonts w:cs="Arial"/>
                <w:b/>
                <w:bCs/>
                <w:i/>
                <w:iCs/>
                <w:color w:val="000000"/>
                <w:sz w:val="8"/>
                <w:szCs w:val="8"/>
                <w:lang w:val="en-US"/>
              </w:rPr>
            </w:pPr>
          </w:p>
        </w:tc>
      </w:tr>
      <w:tr w:rsidR="00E36CCA" w:rsidRPr="00862949" w14:paraId="502FF538" w14:textId="77777777" w:rsidTr="001C62E0">
        <w:tc>
          <w:tcPr>
            <w:tcW w:w="5000" w:type="pct"/>
            <w:gridSpan w:val="2"/>
            <w:shd w:val="clear" w:color="auto" w:fill="00B050"/>
            <w:tcMar>
              <w:top w:w="57" w:type="dxa"/>
              <w:bottom w:w="57" w:type="dxa"/>
            </w:tcMar>
          </w:tcPr>
          <w:p w14:paraId="1B4F6705" w14:textId="53B0EBF9" w:rsidR="00E36CCA" w:rsidRPr="00433D3E" w:rsidRDefault="00E36CCA" w:rsidP="001C62E0">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E36CCA">
              <w:rPr>
                <w:rFonts w:cs="Arial"/>
                <w:b/>
                <w:bCs/>
                <w:color w:val="FFFFFF"/>
                <w:sz w:val="16"/>
                <w:szCs w:val="14"/>
                <w:lang w:val="en-US"/>
              </w:rPr>
              <w:t>(continued)</w:t>
            </w:r>
          </w:p>
        </w:tc>
      </w:tr>
      <w:tr w:rsidR="00E73F99" w14:paraId="4F2CD346" w14:textId="77777777" w:rsidTr="00A86BBD">
        <w:tc>
          <w:tcPr>
            <w:tcW w:w="1561" w:type="pct"/>
            <w:shd w:val="clear" w:color="auto" w:fill="auto"/>
            <w:tcMar>
              <w:top w:w="57" w:type="dxa"/>
              <w:left w:w="170" w:type="dxa"/>
              <w:bottom w:w="57" w:type="dxa"/>
              <w:right w:w="170" w:type="dxa"/>
            </w:tcMar>
          </w:tcPr>
          <w:p w14:paraId="096CF4D8" w14:textId="77777777" w:rsidR="00E73F99" w:rsidRDefault="00E73F99" w:rsidP="00E73F99">
            <w:r>
              <w:rPr>
                <w:rFonts w:cs="Arial"/>
                <w:szCs w:val="19"/>
              </w:rPr>
              <w:t>Ciclosporin (</w:t>
            </w:r>
            <w:r>
              <w:rPr>
                <w:rFonts w:cs="Arial"/>
                <w:i/>
                <w:iCs/>
                <w:szCs w:val="19"/>
              </w:rPr>
              <w:t>Cequa</w:t>
            </w:r>
            <w:r>
              <w:rPr>
                <w:rFonts w:cs="Arial"/>
                <w:szCs w:val="19"/>
              </w:rPr>
              <w:t>)</w:t>
            </w:r>
            <w:r>
              <w:t xml:space="preserve"> </w:t>
            </w:r>
          </w:p>
          <w:p w14:paraId="65A4EBB5" w14:textId="33F9C0E3" w:rsidR="00E73F99" w:rsidRDefault="00E73F99" w:rsidP="00E73F99">
            <w:pPr>
              <w:rPr>
                <w:rFonts w:cs="Arial"/>
                <w:szCs w:val="19"/>
              </w:rPr>
            </w:pPr>
            <w:r w:rsidRPr="00285521">
              <w:rPr>
                <w:rFonts w:cs="Arial"/>
                <w:sz w:val="16"/>
                <w:szCs w:val="16"/>
              </w:rPr>
              <w:t>0.9mg in 1mL eye drops in single dose container</w:t>
            </w:r>
          </w:p>
        </w:tc>
        <w:tc>
          <w:tcPr>
            <w:tcW w:w="3439" w:type="pct"/>
            <w:shd w:val="clear" w:color="auto" w:fill="auto"/>
            <w:tcMar>
              <w:top w:w="57" w:type="dxa"/>
              <w:left w:w="170" w:type="dxa"/>
              <w:bottom w:w="57" w:type="dxa"/>
              <w:right w:w="170" w:type="dxa"/>
            </w:tcMar>
          </w:tcPr>
          <w:p w14:paraId="02F369C1" w14:textId="0F6983B5" w:rsidR="00E73F99" w:rsidRDefault="00E73F99" w:rsidP="00E73F99">
            <w:pPr>
              <w:tabs>
                <w:tab w:val="center" w:pos="3152"/>
              </w:tabs>
              <w:rPr>
                <w:rFonts w:cs="Arial"/>
                <w:szCs w:val="19"/>
                <w:lang w:val="en-US"/>
              </w:rPr>
            </w:pPr>
            <w:r w:rsidRPr="00285521">
              <w:rPr>
                <w:rFonts w:cs="Arial"/>
                <w:szCs w:val="19"/>
              </w:rPr>
              <w:t>Treatment of moderate-to-severe dry eye disease (keratoconjunctivitis sicca) in adults who have not responded adequately to artificial tears</w:t>
            </w:r>
          </w:p>
        </w:tc>
      </w:tr>
      <w:tr w:rsidR="00E73F99" w14:paraId="411060E1" w14:textId="77777777" w:rsidTr="00A86BBD">
        <w:tc>
          <w:tcPr>
            <w:tcW w:w="1561" w:type="pct"/>
            <w:shd w:val="clear" w:color="auto" w:fill="auto"/>
            <w:tcMar>
              <w:top w:w="57" w:type="dxa"/>
              <w:left w:w="170" w:type="dxa"/>
              <w:bottom w:w="57" w:type="dxa"/>
              <w:right w:w="170" w:type="dxa"/>
            </w:tcMar>
          </w:tcPr>
          <w:p w14:paraId="29F039FA" w14:textId="77777777" w:rsidR="00E73F99" w:rsidRDefault="00E73F99" w:rsidP="00E73F99">
            <w:pPr>
              <w:rPr>
                <w:rFonts w:cs="Arial"/>
                <w:szCs w:val="19"/>
              </w:rPr>
            </w:pPr>
            <w:r>
              <w:rPr>
                <w:rFonts w:cs="Arial"/>
                <w:szCs w:val="19"/>
              </w:rPr>
              <w:t>Dupilumab (</w:t>
            </w:r>
            <w:r>
              <w:rPr>
                <w:rFonts w:cs="Arial"/>
                <w:i/>
                <w:iCs/>
                <w:szCs w:val="19"/>
              </w:rPr>
              <w:t>Dupixent</w:t>
            </w:r>
            <w:r>
              <w:rPr>
                <w:rFonts w:cs="Arial"/>
                <w:szCs w:val="19"/>
              </w:rPr>
              <w:t>)</w:t>
            </w:r>
          </w:p>
          <w:p w14:paraId="2AE0BCF8" w14:textId="7FECECC8" w:rsidR="00E73F99" w:rsidRPr="00151C36" w:rsidRDefault="00E73F99" w:rsidP="00E73F99">
            <w:pPr>
              <w:rPr>
                <w:rFonts w:cs="Arial"/>
                <w:szCs w:val="19"/>
              </w:rPr>
            </w:pPr>
            <w:r w:rsidRPr="006E302B">
              <w:rPr>
                <w:rFonts w:cs="Arial"/>
                <w:sz w:val="16"/>
                <w:szCs w:val="16"/>
              </w:rPr>
              <w:t>300mg in 2mL prefilled pen and syringe</w:t>
            </w:r>
          </w:p>
        </w:tc>
        <w:tc>
          <w:tcPr>
            <w:tcW w:w="3439" w:type="pct"/>
            <w:shd w:val="clear" w:color="auto" w:fill="auto"/>
            <w:tcMar>
              <w:top w:w="57" w:type="dxa"/>
              <w:left w:w="170" w:type="dxa"/>
              <w:bottom w:w="57" w:type="dxa"/>
              <w:right w:w="170" w:type="dxa"/>
            </w:tcMar>
          </w:tcPr>
          <w:p w14:paraId="0ABE4958" w14:textId="3F44A101" w:rsidR="00E73F99" w:rsidRDefault="00E73F99" w:rsidP="00E73F99">
            <w:pPr>
              <w:tabs>
                <w:tab w:val="center" w:pos="3152"/>
              </w:tabs>
              <w:rPr>
                <w:rFonts w:cs="Arial"/>
                <w:szCs w:val="19"/>
                <w:lang w:val="en-US"/>
              </w:rPr>
            </w:pPr>
            <w:r>
              <w:rPr>
                <w:rFonts w:cs="Arial"/>
                <w:szCs w:val="19"/>
                <w:lang w:val="en-US"/>
              </w:rPr>
              <w:t>U</w:t>
            </w:r>
            <w:r w:rsidRPr="00042817">
              <w:rPr>
                <w:rFonts w:cs="Arial"/>
                <w:szCs w:val="19"/>
                <w:lang w:val="en-US"/>
              </w:rPr>
              <w:t>se in adults as add-on maintenance treatment for uncontrolled chronic obstructive pulmonary disease characterised by raised blood eosinophils on a combination of an inhaled corticosteroid (ICS), a long-acting beta2- agonist (LABA), and a long-acting muscarinic antagonist (LAMA), or on a combination of a LABA and a LAMA if ICS is not appropriate</w:t>
            </w:r>
            <w:r>
              <w:rPr>
                <w:rFonts w:cs="Arial"/>
                <w:szCs w:val="19"/>
                <w:lang w:val="en-US"/>
              </w:rPr>
              <w:t xml:space="preserve"> </w:t>
            </w:r>
            <w:r w:rsidRPr="00042817">
              <w:rPr>
                <w:rFonts w:cs="Arial"/>
                <w:sz w:val="16"/>
                <w:szCs w:val="16"/>
                <w:lang w:val="en-US"/>
              </w:rPr>
              <w:t>[new indication]</w:t>
            </w:r>
          </w:p>
        </w:tc>
      </w:tr>
      <w:tr w:rsidR="00E73F99" w14:paraId="56A739D7" w14:textId="77777777" w:rsidTr="00A86BBD">
        <w:tc>
          <w:tcPr>
            <w:tcW w:w="1561" w:type="pct"/>
            <w:shd w:val="clear" w:color="auto" w:fill="auto"/>
            <w:tcMar>
              <w:top w:w="57" w:type="dxa"/>
              <w:left w:w="170" w:type="dxa"/>
              <w:bottom w:w="57" w:type="dxa"/>
              <w:right w:w="170" w:type="dxa"/>
            </w:tcMar>
          </w:tcPr>
          <w:p w14:paraId="302F2C4A" w14:textId="77777777" w:rsidR="00E73F99" w:rsidRDefault="00E73F99" w:rsidP="00E73F99">
            <w:pPr>
              <w:rPr>
                <w:rFonts w:cs="Arial"/>
                <w:szCs w:val="19"/>
              </w:rPr>
            </w:pPr>
            <w:r w:rsidRPr="00151C36">
              <w:rPr>
                <w:rFonts w:cs="Arial"/>
                <w:szCs w:val="19"/>
              </w:rPr>
              <w:t>Elacestrant</w:t>
            </w:r>
            <w:r>
              <w:rPr>
                <w:rFonts w:cs="Arial"/>
                <w:szCs w:val="19"/>
              </w:rPr>
              <w:t xml:space="preserve"> (</w:t>
            </w:r>
            <w:r>
              <w:rPr>
                <w:rFonts w:cs="Arial"/>
                <w:i/>
                <w:iCs/>
                <w:szCs w:val="19"/>
              </w:rPr>
              <w:t>Korserdu</w:t>
            </w:r>
            <w:r>
              <w:rPr>
                <w:rFonts w:cs="Arial"/>
                <w:szCs w:val="19"/>
              </w:rPr>
              <w:t xml:space="preserve">) </w:t>
            </w:r>
          </w:p>
          <w:p w14:paraId="178E2D2C" w14:textId="69AB551B" w:rsidR="00E73F99" w:rsidRDefault="00E73F99" w:rsidP="00E73F99">
            <w:pPr>
              <w:rPr>
                <w:rFonts w:cs="Arial"/>
                <w:szCs w:val="19"/>
              </w:rPr>
            </w:pPr>
            <w:r w:rsidRPr="007C3B3F">
              <w:rPr>
                <w:rFonts w:cs="Arial"/>
                <w:color w:val="00B050"/>
                <w:sz w:val="16"/>
                <w:szCs w:val="16"/>
              </w:rPr>
              <w:t>86mg</w:t>
            </w:r>
            <w:r>
              <w:rPr>
                <w:rFonts w:cs="Arial"/>
                <w:color w:val="00B050"/>
                <w:sz w:val="16"/>
                <w:szCs w:val="16"/>
              </w:rPr>
              <w:t>*</w:t>
            </w:r>
            <w:r w:rsidRPr="007C3B3F">
              <w:rPr>
                <w:rFonts w:cs="Arial"/>
                <w:color w:val="00B050"/>
                <w:sz w:val="16"/>
                <w:szCs w:val="16"/>
              </w:rPr>
              <w:t xml:space="preserve"> </w:t>
            </w:r>
            <w:r w:rsidRPr="00151C36">
              <w:rPr>
                <w:rFonts w:cs="Arial"/>
                <w:sz w:val="16"/>
                <w:szCs w:val="16"/>
              </w:rPr>
              <w:t>and 345mg tablets</w:t>
            </w:r>
          </w:p>
        </w:tc>
        <w:tc>
          <w:tcPr>
            <w:tcW w:w="3439" w:type="pct"/>
            <w:shd w:val="clear" w:color="auto" w:fill="auto"/>
            <w:tcMar>
              <w:top w:w="57" w:type="dxa"/>
              <w:left w:w="170" w:type="dxa"/>
              <w:bottom w:w="57" w:type="dxa"/>
              <w:right w:w="170" w:type="dxa"/>
            </w:tcMar>
          </w:tcPr>
          <w:p w14:paraId="4467A163" w14:textId="799C2DEF" w:rsidR="00E73F99" w:rsidRPr="008547B7" w:rsidRDefault="00E73F99" w:rsidP="00E73F99">
            <w:pPr>
              <w:tabs>
                <w:tab w:val="center" w:pos="3152"/>
              </w:tabs>
              <w:rPr>
                <w:rFonts w:cs="Arial"/>
                <w:szCs w:val="19"/>
                <w:lang w:val="en-US"/>
              </w:rPr>
            </w:pPr>
            <w:r>
              <w:rPr>
                <w:rFonts w:cs="Arial"/>
                <w:szCs w:val="19"/>
                <w:lang w:val="en-US"/>
              </w:rPr>
              <w:t xml:space="preserve">Use </w:t>
            </w:r>
            <w:r w:rsidRPr="00151C36">
              <w:rPr>
                <w:rFonts w:cs="Arial"/>
                <w:szCs w:val="19"/>
                <w:lang w:val="en-US"/>
              </w:rPr>
              <w:t>as monotherapy for the treatment of postmenopausal women and men with estrogen receptor</w:t>
            </w:r>
            <w:r>
              <w:rPr>
                <w:rFonts w:cs="Arial"/>
                <w:szCs w:val="19"/>
                <w:lang w:val="en-US"/>
              </w:rPr>
              <w:t>-</w:t>
            </w:r>
            <w:r w:rsidRPr="00151C36">
              <w:rPr>
                <w:rFonts w:cs="Arial"/>
                <w:szCs w:val="19"/>
                <w:lang w:val="en-US"/>
              </w:rPr>
              <w:t>positive, HER2-negative, locally advanced or metastatic breast cancer with an activating ESR1 mutation who have disease progression following at least one line of endocrine therapy including a CDK 4/6 inhibitor</w:t>
            </w:r>
          </w:p>
        </w:tc>
      </w:tr>
      <w:tr w:rsidR="00E73F99" w14:paraId="08FB2EBC" w14:textId="77777777" w:rsidTr="00A86BBD">
        <w:tc>
          <w:tcPr>
            <w:tcW w:w="1561" w:type="pct"/>
            <w:shd w:val="clear" w:color="auto" w:fill="auto"/>
            <w:tcMar>
              <w:top w:w="57" w:type="dxa"/>
              <w:left w:w="170" w:type="dxa"/>
              <w:bottom w:w="57" w:type="dxa"/>
              <w:right w:w="170" w:type="dxa"/>
            </w:tcMar>
          </w:tcPr>
          <w:p w14:paraId="78A1D5E9" w14:textId="77777777" w:rsidR="00E73F99" w:rsidRDefault="00E73F99" w:rsidP="00E73F99">
            <w:pPr>
              <w:rPr>
                <w:rFonts w:cs="Arial"/>
                <w:szCs w:val="19"/>
              </w:rPr>
            </w:pPr>
            <w:r>
              <w:rPr>
                <w:rFonts w:cs="Arial"/>
                <w:szCs w:val="19"/>
              </w:rPr>
              <w:t xml:space="preserve">Enalapril </w:t>
            </w:r>
          </w:p>
          <w:p w14:paraId="551FB08C" w14:textId="73983404" w:rsidR="00E73F99" w:rsidRPr="00200CBF" w:rsidRDefault="00E73F99" w:rsidP="00E73F99">
            <w:pPr>
              <w:rPr>
                <w:rFonts w:cs="Arial"/>
                <w:szCs w:val="19"/>
              </w:rPr>
            </w:pPr>
            <w:r>
              <w:rPr>
                <w:rFonts w:cs="Arial"/>
                <w:sz w:val="16"/>
                <w:szCs w:val="16"/>
              </w:rPr>
              <w:t>1</w:t>
            </w:r>
            <w:r w:rsidRPr="008547B7">
              <w:rPr>
                <w:rFonts w:cs="Arial"/>
                <w:sz w:val="16"/>
                <w:szCs w:val="16"/>
              </w:rPr>
              <w:t xml:space="preserve">mg in </w:t>
            </w:r>
            <w:r>
              <w:rPr>
                <w:rFonts w:cs="Arial"/>
                <w:sz w:val="16"/>
                <w:szCs w:val="16"/>
              </w:rPr>
              <w:t>1</w:t>
            </w:r>
            <w:r w:rsidRPr="008547B7">
              <w:rPr>
                <w:rFonts w:cs="Arial"/>
                <w:sz w:val="16"/>
                <w:szCs w:val="16"/>
              </w:rPr>
              <w:t>mL oral solution</w:t>
            </w:r>
          </w:p>
        </w:tc>
        <w:tc>
          <w:tcPr>
            <w:tcW w:w="3439" w:type="pct"/>
            <w:shd w:val="clear" w:color="auto" w:fill="auto"/>
            <w:tcMar>
              <w:top w:w="57" w:type="dxa"/>
              <w:left w:w="170" w:type="dxa"/>
              <w:bottom w:w="57" w:type="dxa"/>
              <w:right w:w="170" w:type="dxa"/>
            </w:tcMar>
          </w:tcPr>
          <w:p w14:paraId="31107EB5" w14:textId="666FDD57" w:rsidR="00E73F99" w:rsidRDefault="00E73F99" w:rsidP="00E73F99">
            <w:pPr>
              <w:tabs>
                <w:tab w:val="center" w:pos="3152"/>
              </w:tabs>
              <w:rPr>
                <w:rFonts w:cs="Arial"/>
                <w:szCs w:val="19"/>
                <w:lang w:val="en-US"/>
              </w:rPr>
            </w:pPr>
            <w:r w:rsidRPr="008547B7">
              <w:rPr>
                <w:rFonts w:cs="Arial"/>
                <w:szCs w:val="19"/>
                <w:lang w:val="en-US"/>
              </w:rPr>
              <w:t>Treatment of hypertension, treatment of symptomatic heart failure, and prevention of symptomatic heart failure in patients with asymptomatic left ventricular dysfunction (ejection fraction ≤35%)</w:t>
            </w:r>
            <w:r>
              <w:rPr>
                <w:rFonts w:cs="Arial"/>
                <w:szCs w:val="19"/>
                <w:lang w:val="en-US"/>
              </w:rPr>
              <w:t xml:space="preserve"> </w:t>
            </w:r>
          </w:p>
          <w:p w14:paraId="3BC4D3B9" w14:textId="60D9A5F7" w:rsidR="00E73F99" w:rsidRPr="004E155E" w:rsidRDefault="00E73F99" w:rsidP="00E73F99">
            <w:pPr>
              <w:tabs>
                <w:tab w:val="center" w:pos="3152"/>
              </w:tabs>
              <w:rPr>
                <w:rFonts w:cs="Arial"/>
                <w:szCs w:val="19"/>
                <w:lang w:val="en-US"/>
              </w:rPr>
            </w:pPr>
            <w:r w:rsidRPr="008547B7">
              <w:rPr>
                <w:rFonts w:cs="Arial"/>
                <w:sz w:val="16"/>
                <w:szCs w:val="16"/>
                <w:lang w:val="en-US"/>
              </w:rPr>
              <w:t>[new oral solution formulation for use in all ages except neonates and in paediatric patients with glomerular filtration rate &lt;30mL/minute/1.73 m</w:t>
            </w:r>
            <w:r w:rsidRPr="008547B7">
              <w:rPr>
                <w:rFonts w:cs="Arial"/>
                <w:sz w:val="16"/>
                <w:szCs w:val="16"/>
                <w:vertAlign w:val="superscript"/>
                <w:lang w:val="en-US"/>
              </w:rPr>
              <w:t>2</w:t>
            </w:r>
            <w:r>
              <w:rPr>
                <w:rFonts w:cs="Arial"/>
                <w:sz w:val="16"/>
                <w:szCs w:val="16"/>
                <w:lang w:val="en-US"/>
              </w:rPr>
              <w:t>]</w:t>
            </w:r>
          </w:p>
        </w:tc>
      </w:tr>
      <w:tr w:rsidR="00E73F99" w14:paraId="0CBB1D9F" w14:textId="77777777" w:rsidTr="00A86BBD">
        <w:tc>
          <w:tcPr>
            <w:tcW w:w="1561" w:type="pct"/>
            <w:shd w:val="clear" w:color="auto" w:fill="auto"/>
            <w:tcMar>
              <w:top w:w="57" w:type="dxa"/>
              <w:left w:w="170" w:type="dxa"/>
              <w:bottom w:w="57" w:type="dxa"/>
              <w:right w:w="170" w:type="dxa"/>
            </w:tcMar>
          </w:tcPr>
          <w:p w14:paraId="18C0E81F" w14:textId="77777777" w:rsidR="00E73F99" w:rsidRDefault="00E73F99" w:rsidP="00E73F99">
            <w:pPr>
              <w:rPr>
                <w:rFonts w:cs="Arial"/>
                <w:szCs w:val="19"/>
              </w:rPr>
            </w:pPr>
            <w:r>
              <w:rPr>
                <w:rFonts w:cs="Arial"/>
                <w:szCs w:val="19"/>
              </w:rPr>
              <w:t>Evinacumab (</w:t>
            </w:r>
            <w:r>
              <w:rPr>
                <w:rFonts w:cs="Arial"/>
                <w:i/>
                <w:iCs/>
                <w:szCs w:val="19"/>
              </w:rPr>
              <w:t>Evkeeza</w:t>
            </w:r>
            <w:r>
              <w:rPr>
                <w:rFonts w:cs="Arial"/>
                <w:szCs w:val="19"/>
              </w:rPr>
              <w:t xml:space="preserve">) </w:t>
            </w:r>
          </w:p>
          <w:p w14:paraId="41DFF5C2" w14:textId="3B95BC9D" w:rsidR="00E73F99" w:rsidRPr="00200CBF" w:rsidRDefault="00E73F99" w:rsidP="00E73F99">
            <w:pPr>
              <w:rPr>
                <w:rFonts w:cs="Arial"/>
                <w:szCs w:val="19"/>
              </w:rPr>
            </w:pPr>
            <w:r w:rsidRPr="006D11E5">
              <w:rPr>
                <w:rFonts w:cs="Arial"/>
                <w:sz w:val="16"/>
                <w:szCs w:val="16"/>
              </w:rPr>
              <w:t>345mg in 2.3ml and 1,200mg in 8mL vial</w:t>
            </w:r>
            <w:r>
              <w:rPr>
                <w:rFonts w:cs="Arial"/>
                <w:sz w:val="16"/>
                <w:szCs w:val="16"/>
              </w:rPr>
              <w:t>s</w:t>
            </w:r>
          </w:p>
        </w:tc>
        <w:tc>
          <w:tcPr>
            <w:tcW w:w="3439" w:type="pct"/>
            <w:shd w:val="clear" w:color="auto" w:fill="auto"/>
            <w:tcMar>
              <w:top w:w="57" w:type="dxa"/>
              <w:left w:w="170" w:type="dxa"/>
              <w:bottom w:w="57" w:type="dxa"/>
              <w:right w:w="170" w:type="dxa"/>
            </w:tcMar>
          </w:tcPr>
          <w:p w14:paraId="7A719438" w14:textId="77777777" w:rsidR="00E73F99" w:rsidRDefault="00E73F99" w:rsidP="00E73F99">
            <w:pPr>
              <w:tabs>
                <w:tab w:val="center" w:pos="3152"/>
              </w:tabs>
              <w:rPr>
                <w:rFonts w:cs="Arial"/>
                <w:szCs w:val="19"/>
                <w:lang w:val="en-US"/>
              </w:rPr>
            </w:pPr>
            <w:r>
              <w:rPr>
                <w:rFonts w:cs="Arial"/>
                <w:szCs w:val="19"/>
                <w:lang w:val="en-US"/>
              </w:rPr>
              <w:t xml:space="preserve">Use </w:t>
            </w:r>
            <w:r w:rsidRPr="00B929D8">
              <w:rPr>
                <w:rFonts w:cs="Arial"/>
                <w:szCs w:val="19"/>
                <w:lang w:val="en-US"/>
              </w:rPr>
              <w:t xml:space="preserve">as an adjunct to diet and other low-density lipoprotein-cholesterol lowering therapies for treatment of adult and paediatric patients aged </w:t>
            </w:r>
            <w:r>
              <w:rPr>
                <w:rFonts w:cs="Arial"/>
                <w:szCs w:val="19"/>
                <w:lang w:val="en-US"/>
              </w:rPr>
              <w:t>≥</w:t>
            </w:r>
            <w:r w:rsidRPr="00B929D8">
              <w:rPr>
                <w:rFonts w:cs="Arial"/>
                <w:szCs w:val="19"/>
                <w:lang w:val="en-US"/>
              </w:rPr>
              <w:t>5 years with homozygous familial hypercholesterolaemia</w:t>
            </w:r>
            <w:r>
              <w:rPr>
                <w:rFonts w:cs="Arial"/>
                <w:szCs w:val="19"/>
                <w:lang w:val="en-US"/>
              </w:rPr>
              <w:t xml:space="preserve"> </w:t>
            </w:r>
          </w:p>
          <w:p w14:paraId="47E3E453" w14:textId="72502998" w:rsidR="00E73F99" w:rsidRPr="004E155E" w:rsidRDefault="00E73F99" w:rsidP="00E73F99">
            <w:pPr>
              <w:tabs>
                <w:tab w:val="center" w:pos="3152"/>
              </w:tabs>
              <w:rPr>
                <w:rFonts w:cs="Arial"/>
                <w:szCs w:val="19"/>
                <w:lang w:val="en-US"/>
              </w:rPr>
            </w:pPr>
            <w:r w:rsidRPr="00C26A13">
              <w:rPr>
                <w:rFonts w:cs="Arial"/>
                <w:sz w:val="16"/>
                <w:szCs w:val="16"/>
                <w:lang w:val="en-US"/>
              </w:rPr>
              <w:t>[licence change from use only in adults</w:t>
            </w:r>
            <w:r>
              <w:rPr>
                <w:rFonts w:cs="Arial"/>
                <w:sz w:val="16"/>
                <w:szCs w:val="16"/>
                <w:lang w:val="en-US"/>
              </w:rPr>
              <w:t xml:space="preserve"> and children aged ≥12 years</w:t>
            </w:r>
            <w:r w:rsidRPr="00C26A13">
              <w:rPr>
                <w:rFonts w:cs="Arial"/>
                <w:sz w:val="16"/>
                <w:szCs w:val="16"/>
                <w:lang w:val="en-US"/>
              </w:rPr>
              <w:t>]</w:t>
            </w:r>
          </w:p>
        </w:tc>
      </w:tr>
      <w:tr w:rsidR="00E73F99" w14:paraId="17593B3A" w14:textId="77777777" w:rsidTr="00A86BBD">
        <w:tc>
          <w:tcPr>
            <w:tcW w:w="1561" w:type="pct"/>
            <w:shd w:val="clear" w:color="auto" w:fill="auto"/>
            <w:tcMar>
              <w:top w:w="57" w:type="dxa"/>
              <w:left w:w="170" w:type="dxa"/>
              <w:bottom w:w="57" w:type="dxa"/>
              <w:right w:w="170" w:type="dxa"/>
            </w:tcMar>
          </w:tcPr>
          <w:p w14:paraId="6A6B0158" w14:textId="77777777" w:rsidR="00E73F99" w:rsidRDefault="00E73F99" w:rsidP="00E73F99">
            <w:pPr>
              <w:rPr>
                <w:rFonts w:cs="Arial"/>
                <w:szCs w:val="19"/>
              </w:rPr>
            </w:pPr>
            <w:r w:rsidRPr="00200CBF">
              <w:rPr>
                <w:rFonts w:cs="Arial"/>
                <w:szCs w:val="19"/>
              </w:rPr>
              <w:t>Exagamglogene autotemcel (</w:t>
            </w:r>
            <w:r w:rsidRPr="00200CBF">
              <w:rPr>
                <w:rFonts w:cs="Arial"/>
                <w:i/>
                <w:iCs/>
                <w:szCs w:val="19"/>
              </w:rPr>
              <w:t>Casgevy</w:t>
            </w:r>
            <w:r w:rsidRPr="00200CBF">
              <w:rPr>
                <w:rFonts w:cs="Arial"/>
                <w:szCs w:val="19"/>
              </w:rPr>
              <w:t>)</w:t>
            </w:r>
          </w:p>
          <w:p w14:paraId="4223DAD2" w14:textId="18B97825" w:rsidR="00E73F99" w:rsidRPr="0026615A" w:rsidRDefault="00E73F99" w:rsidP="00E73F99">
            <w:pPr>
              <w:rPr>
                <w:rFonts w:cs="Arial"/>
                <w:szCs w:val="19"/>
              </w:rPr>
            </w:pPr>
            <w:r>
              <w:rPr>
                <w:rFonts w:cs="Arial"/>
                <w:sz w:val="16"/>
                <w:szCs w:val="16"/>
              </w:rPr>
              <w:t>4-13</w:t>
            </w:r>
            <w:r w:rsidRPr="009D77D7">
              <w:rPr>
                <w:rFonts w:cs="Arial"/>
                <w:sz w:val="16"/>
                <w:szCs w:val="16"/>
              </w:rPr>
              <w:t>×10</w:t>
            </w:r>
            <w:r w:rsidRPr="009D77D7">
              <w:rPr>
                <w:rFonts w:cs="Arial"/>
                <w:sz w:val="16"/>
                <w:szCs w:val="16"/>
                <w:vertAlign w:val="superscript"/>
              </w:rPr>
              <w:t>x</w:t>
            </w:r>
            <w:r>
              <w:rPr>
                <w:rFonts w:cs="Arial"/>
                <w:sz w:val="16"/>
                <w:szCs w:val="16"/>
                <w:vertAlign w:val="superscript"/>
              </w:rPr>
              <w:t>6</w:t>
            </w:r>
            <w:r w:rsidRPr="009D77D7">
              <w:rPr>
                <w:rFonts w:cs="Arial"/>
                <w:sz w:val="16"/>
                <w:szCs w:val="16"/>
              </w:rPr>
              <w:t xml:space="preserve"> </w:t>
            </w:r>
            <w:r>
              <w:rPr>
                <w:rFonts w:cs="Arial"/>
                <w:sz w:val="16"/>
                <w:szCs w:val="16"/>
              </w:rPr>
              <w:t>cells/mL</w:t>
            </w:r>
            <w:r w:rsidRPr="009D77D7">
              <w:rPr>
                <w:rFonts w:cs="Arial"/>
                <w:sz w:val="16"/>
                <w:szCs w:val="16"/>
              </w:rPr>
              <w:t xml:space="preserve"> in </w:t>
            </w:r>
            <w:r>
              <w:rPr>
                <w:rFonts w:cs="Arial"/>
                <w:sz w:val="16"/>
                <w:szCs w:val="16"/>
              </w:rPr>
              <w:t>one or more 1</w:t>
            </w:r>
            <w:r w:rsidRPr="009D77D7">
              <w:rPr>
                <w:rFonts w:cs="Arial"/>
                <w:sz w:val="16"/>
                <w:szCs w:val="16"/>
              </w:rPr>
              <w:t>.5mL</w:t>
            </w:r>
            <w:r>
              <w:rPr>
                <w:rFonts w:cs="Arial"/>
                <w:sz w:val="16"/>
                <w:szCs w:val="16"/>
              </w:rPr>
              <w:t xml:space="preserve"> to 20mL</w:t>
            </w:r>
            <w:r w:rsidRPr="009D77D7">
              <w:rPr>
                <w:rFonts w:cs="Arial"/>
                <w:sz w:val="16"/>
                <w:szCs w:val="16"/>
              </w:rPr>
              <w:t xml:space="preserve"> vial</w:t>
            </w:r>
            <w:r>
              <w:rPr>
                <w:rFonts w:cs="Arial"/>
                <w:sz w:val="16"/>
                <w:szCs w:val="16"/>
              </w:rPr>
              <w:t>s</w:t>
            </w:r>
          </w:p>
        </w:tc>
        <w:tc>
          <w:tcPr>
            <w:tcW w:w="3439" w:type="pct"/>
            <w:shd w:val="clear" w:color="auto" w:fill="auto"/>
            <w:tcMar>
              <w:top w:w="57" w:type="dxa"/>
              <w:left w:w="170" w:type="dxa"/>
              <w:bottom w:w="57" w:type="dxa"/>
              <w:right w:w="170" w:type="dxa"/>
            </w:tcMar>
          </w:tcPr>
          <w:p w14:paraId="748E6F85" w14:textId="224130A0" w:rsidR="00E73F99" w:rsidRDefault="00E73F99" w:rsidP="00E73F99">
            <w:pPr>
              <w:tabs>
                <w:tab w:val="center" w:pos="3152"/>
              </w:tabs>
              <w:rPr>
                <w:rFonts w:cs="Arial"/>
                <w:szCs w:val="19"/>
                <w:lang w:val="en-US"/>
              </w:rPr>
            </w:pPr>
            <w:r w:rsidRPr="004E155E">
              <w:rPr>
                <w:rFonts w:cs="Arial"/>
                <w:szCs w:val="19"/>
                <w:lang w:val="en-US"/>
              </w:rPr>
              <w:t xml:space="preserve">Treatment of transfusion-dependent β-thalassemia in patients </w:t>
            </w:r>
            <w:r>
              <w:rPr>
                <w:rFonts w:cs="Arial"/>
                <w:szCs w:val="19"/>
                <w:lang w:val="en-US"/>
              </w:rPr>
              <w:t>aged ≥</w:t>
            </w:r>
            <w:r w:rsidRPr="004E155E">
              <w:rPr>
                <w:rFonts w:cs="Arial"/>
                <w:szCs w:val="19"/>
                <w:lang w:val="en-US"/>
              </w:rPr>
              <w:t>12 years for whom a human leukocyte antigen-matched related haematopoietic stem cell donor is appropriate and a human leukocyte antigen matched related haematopoietic stem cell donor is not available</w:t>
            </w:r>
          </w:p>
        </w:tc>
      </w:tr>
      <w:tr w:rsidR="00E73F99" w14:paraId="607EB136" w14:textId="77777777" w:rsidTr="00A86BBD">
        <w:tc>
          <w:tcPr>
            <w:tcW w:w="1561" w:type="pct"/>
            <w:shd w:val="clear" w:color="auto" w:fill="auto"/>
            <w:tcMar>
              <w:top w:w="57" w:type="dxa"/>
              <w:left w:w="170" w:type="dxa"/>
              <w:bottom w:w="57" w:type="dxa"/>
              <w:right w:w="170" w:type="dxa"/>
            </w:tcMar>
          </w:tcPr>
          <w:p w14:paraId="69ED0D8C" w14:textId="5FB73240" w:rsidR="00E73F99" w:rsidRDefault="00E73F99" w:rsidP="00E73F99">
            <w:pPr>
              <w:rPr>
                <w:rFonts w:cs="Arial"/>
                <w:szCs w:val="19"/>
              </w:rPr>
            </w:pPr>
            <w:r w:rsidRPr="0026615A">
              <w:rPr>
                <w:rFonts w:cs="Arial"/>
                <w:szCs w:val="19"/>
              </w:rPr>
              <w:t>Gefapixant</w:t>
            </w:r>
            <w:r>
              <w:rPr>
                <w:rFonts w:cs="Arial"/>
                <w:szCs w:val="19"/>
              </w:rPr>
              <w:t xml:space="preserve"> (</w:t>
            </w:r>
            <w:r>
              <w:rPr>
                <w:rFonts w:cs="Arial"/>
                <w:i/>
                <w:iCs/>
                <w:szCs w:val="19"/>
              </w:rPr>
              <w:t>Lyfnua</w:t>
            </w:r>
            <w:r>
              <w:rPr>
                <w:rFonts w:cs="Arial"/>
                <w:szCs w:val="19"/>
              </w:rPr>
              <w:t xml:space="preserve">) </w:t>
            </w:r>
            <w:r w:rsidRPr="00ED331D">
              <w:rPr>
                <w:rFonts w:cs="Arial"/>
                <w:sz w:val="16"/>
                <w:szCs w:val="16"/>
              </w:rPr>
              <w:t>45mg tablet</w:t>
            </w:r>
          </w:p>
        </w:tc>
        <w:tc>
          <w:tcPr>
            <w:tcW w:w="3439" w:type="pct"/>
            <w:shd w:val="clear" w:color="auto" w:fill="auto"/>
            <w:tcMar>
              <w:top w:w="57" w:type="dxa"/>
              <w:left w:w="170" w:type="dxa"/>
              <w:bottom w:w="57" w:type="dxa"/>
              <w:right w:w="170" w:type="dxa"/>
            </w:tcMar>
          </w:tcPr>
          <w:p w14:paraId="120F9A1E" w14:textId="77777777" w:rsidR="00E73F99" w:rsidRDefault="00E73F99" w:rsidP="00E73F99">
            <w:pPr>
              <w:tabs>
                <w:tab w:val="center" w:pos="3152"/>
              </w:tabs>
              <w:rPr>
                <w:rFonts w:cs="Arial"/>
                <w:szCs w:val="19"/>
                <w:lang w:val="en-US"/>
              </w:rPr>
            </w:pPr>
            <w:r>
              <w:rPr>
                <w:rFonts w:cs="Arial"/>
                <w:szCs w:val="19"/>
                <w:lang w:val="en-US"/>
              </w:rPr>
              <w:t xml:space="preserve">Use </w:t>
            </w:r>
            <w:r w:rsidRPr="0026615A">
              <w:rPr>
                <w:rFonts w:cs="Arial"/>
                <w:szCs w:val="19"/>
                <w:lang w:val="en-US"/>
              </w:rPr>
              <w:t>in adults for the treatment of refractory or unexplained chronic cough</w:t>
            </w:r>
          </w:p>
          <w:p w14:paraId="462DA779" w14:textId="7B9834B5" w:rsidR="00E73F99" w:rsidRPr="00E80AE0" w:rsidRDefault="00E73F99" w:rsidP="00E73F99">
            <w:pPr>
              <w:tabs>
                <w:tab w:val="center" w:pos="3152"/>
              </w:tabs>
              <w:rPr>
                <w:rFonts w:cs="Arial"/>
                <w:szCs w:val="19"/>
              </w:rPr>
            </w:pPr>
            <w:r w:rsidRPr="00177127">
              <w:rPr>
                <w:rFonts w:cs="Arial"/>
                <w:i/>
                <w:iCs/>
                <w:sz w:val="16"/>
                <w:szCs w:val="16"/>
                <w:lang w:val="en-US"/>
              </w:rPr>
              <w:t>Note: Available on private prescriptions only</w:t>
            </w:r>
          </w:p>
        </w:tc>
      </w:tr>
      <w:tr w:rsidR="00E73F99" w14:paraId="7622299B" w14:textId="77777777" w:rsidTr="00A86BBD">
        <w:tc>
          <w:tcPr>
            <w:tcW w:w="1561" w:type="pct"/>
            <w:shd w:val="clear" w:color="auto" w:fill="auto"/>
            <w:tcMar>
              <w:top w:w="57" w:type="dxa"/>
              <w:left w:w="170" w:type="dxa"/>
              <w:bottom w:w="57" w:type="dxa"/>
              <w:right w:w="170" w:type="dxa"/>
            </w:tcMar>
          </w:tcPr>
          <w:p w14:paraId="54FCF0F9" w14:textId="34BB8946" w:rsidR="00E73F99" w:rsidRPr="00F112E8" w:rsidRDefault="00E73F99" w:rsidP="00E73F99">
            <w:pPr>
              <w:rPr>
                <w:rFonts w:cs="Arial"/>
                <w:szCs w:val="19"/>
              </w:rPr>
            </w:pPr>
            <w:r w:rsidRPr="00F112E8">
              <w:rPr>
                <w:rFonts w:cs="Arial"/>
                <w:szCs w:val="19"/>
              </w:rPr>
              <w:t>Human normal immunoglobulin</w:t>
            </w:r>
            <w:r>
              <w:rPr>
                <w:rFonts w:cs="Arial"/>
                <w:szCs w:val="19"/>
              </w:rPr>
              <w:t xml:space="preserve"> (</w:t>
            </w:r>
            <w:r>
              <w:rPr>
                <w:rFonts w:cs="Arial"/>
                <w:i/>
                <w:iCs/>
                <w:szCs w:val="19"/>
              </w:rPr>
              <w:t>Panzyga</w:t>
            </w:r>
            <w:r>
              <w:rPr>
                <w:rFonts w:cs="Arial"/>
                <w:szCs w:val="19"/>
              </w:rPr>
              <w:t xml:space="preserve">) </w:t>
            </w:r>
            <w:r w:rsidRPr="00F112E8">
              <w:rPr>
                <w:rFonts w:cs="Arial"/>
                <w:sz w:val="16"/>
                <w:szCs w:val="16"/>
              </w:rPr>
              <w:t>50mL, 60mL, 100mL, 200mL and 300mL bottles, and 10mL and 25ml vials</w:t>
            </w:r>
          </w:p>
        </w:tc>
        <w:tc>
          <w:tcPr>
            <w:tcW w:w="3439" w:type="pct"/>
            <w:shd w:val="clear" w:color="auto" w:fill="auto"/>
            <w:tcMar>
              <w:top w:w="57" w:type="dxa"/>
              <w:left w:w="170" w:type="dxa"/>
              <w:bottom w:w="57" w:type="dxa"/>
              <w:right w:w="170" w:type="dxa"/>
            </w:tcMar>
          </w:tcPr>
          <w:p w14:paraId="06B558F3" w14:textId="7FA481D4" w:rsidR="00E73F99" w:rsidRPr="00E80AE0" w:rsidRDefault="00E73F99" w:rsidP="00E73F99">
            <w:pPr>
              <w:tabs>
                <w:tab w:val="center" w:pos="3152"/>
              </w:tabs>
              <w:rPr>
                <w:rFonts w:cs="Arial"/>
                <w:szCs w:val="19"/>
              </w:rPr>
            </w:pPr>
            <w:r w:rsidRPr="00F112E8">
              <w:rPr>
                <w:rFonts w:cs="Arial"/>
                <w:szCs w:val="19"/>
              </w:rPr>
              <w:t>Measles pre-/post exposure prophylaxis for susceptible adults, children and adolescents (</w:t>
            </w:r>
            <w:r>
              <w:rPr>
                <w:rFonts w:cs="Arial"/>
                <w:szCs w:val="19"/>
              </w:rPr>
              <w:t xml:space="preserve">aged </w:t>
            </w:r>
            <w:r w:rsidRPr="00F112E8">
              <w:rPr>
                <w:rFonts w:cs="Arial"/>
                <w:szCs w:val="19"/>
              </w:rPr>
              <w:t>0-18 years) in whom active immunisation is contraindicated or not advised</w:t>
            </w:r>
            <w:r>
              <w:rPr>
                <w:rFonts w:cs="Arial"/>
                <w:szCs w:val="19"/>
              </w:rPr>
              <w:t xml:space="preserve"> </w:t>
            </w:r>
            <w:r w:rsidRPr="00F112E8">
              <w:rPr>
                <w:rFonts w:cs="Arial"/>
                <w:sz w:val="16"/>
                <w:szCs w:val="16"/>
              </w:rPr>
              <w:t>[new indication]</w:t>
            </w:r>
          </w:p>
        </w:tc>
      </w:tr>
      <w:tr w:rsidR="00E73F99" w14:paraId="6683AE88" w14:textId="77777777" w:rsidTr="00A86BBD">
        <w:tc>
          <w:tcPr>
            <w:tcW w:w="1561" w:type="pct"/>
            <w:shd w:val="clear" w:color="auto" w:fill="auto"/>
            <w:tcMar>
              <w:top w:w="57" w:type="dxa"/>
              <w:left w:w="170" w:type="dxa"/>
              <w:bottom w:w="57" w:type="dxa"/>
              <w:right w:w="170" w:type="dxa"/>
            </w:tcMar>
          </w:tcPr>
          <w:p w14:paraId="375CA225" w14:textId="2981755B" w:rsidR="00E73F99" w:rsidRPr="00A86BBD" w:rsidRDefault="00E73F99" w:rsidP="00E73F99">
            <w:pPr>
              <w:rPr>
                <w:rFonts w:cs="Arial"/>
                <w:szCs w:val="19"/>
              </w:rPr>
            </w:pPr>
            <w:r w:rsidRPr="00F112E8">
              <w:rPr>
                <w:rFonts w:cs="Arial"/>
                <w:szCs w:val="19"/>
              </w:rPr>
              <w:t>Human normal immunoglobulin</w:t>
            </w:r>
            <w:r>
              <w:rPr>
                <w:rFonts w:cs="Arial"/>
                <w:szCs w:val="19"/>
              </w:rPr>
              <w:t xml:space="preserve"> (</w:t>
            </w:r>
            <w:r>
              <w:rPr>
                <w:rFonts w:cs="Arial"/>
                <w:i/>
                <w:iCs/>
                <w:szCs w:val="19"/>
              </w:rPr>
              <w:t>Octagam 5%</w:t>
            </w:r>
            <w:r>
              <w:rPr>
                <w:rFonts w:cs="Arial"/>
                <w:szCs w:val="19"/>
              </w:rPr>
              <w:t xml:space="preserve">) </w:t>
            </w:r>
            <w:r w:rsidRPr="00A86BBD">
              <w:rPr>
                <w:rFonts w:cs="Arial"/>
                <w:sz w:val="16"/>
                <w:szCs w:val="16"/>
              </w:rPr>
              <w:t>100mL, 200mL and 500mL bottles, and 20mL and 50mL vials</w:t>
            </w:r>
          </w:p>
        </w:tc>
        <w:tc>
          <w:tcPr>
            <w:tcW w:w="3439" w:type="pct"/>
            <w:shd w:val="clear" w:color="auto" w:fill="auto"/>
            <w:tcMar>
              <w:top w:w="57" w:type="dxa"/>
              <w:left w:w="170" w:type="dxa"/>
              <w:bottom w:w="57" w:type="dxa"/>
              <w:right w:w="170" w:type="dxa"/>
            </w:tcMar>
          </w:tcPr>
          <w:p w14:paraId="77C548B8" w14:textId="097E95C9" w:rsidR="00E73F99" w:rsidRPr="00E80AE0" w:rsidRDefault="00E73F99" w:rsidP="00E73F99">
            <w:pPr>
              <w:tabs>
                <w:tab w:val="center" w:pos="3152"/>
              </w:tabs>
              <w:rPr>
                <w:rFonts w:cs="Arial"/>
                <w:szCs w:val="19"/>
              </w:rPr>
            </w:pPr>
            <w:r w:rsidRPr="00F112E8">
              <w:rPr>
                <w:rFonts w:cs="Arial"/>
                <w:szCs w:val="19"/>
              </w:rPr>
              <w:t>Measles pre-/post exposure prophylaxis for susceptible adults, children and adolescents (</w:t>
            </w:r>
            <w:r>
              <w:rPr>
                <w:rFonts w:cs="Arial"/>
                <w:szCs w:val="19"/>
              </w:rPr>
              <w:t xml:space="preserve">aged </w:t>
            </w:r>
            <w:r w:rsidRPr="00F112E8">
              <w:rPr>
                <w:rFonts w:cs="Arial"/>
                <w:szCs w:val="19"/>
              </w:rPr>
              <w:t>0-18 years) in whom active immunisation is contraindicated or not advised</w:t>
            </w:r>
            <w:r>
              <w:rPr>
                <w:rFonts w:cs="Arial"/>
                <w:szCs w:val="19"/>
              </w:rPr>
              <w:t xml:space="preserve"> </w:t>
            </w:r>
            <w:r w:rsidRPr="00F112E8">
              <w:rPr>
                <w:rFonts w:cs="Arial"/>
                <w:sz w:val="16"/>
                <w:szCs w:val="16"/>
              </w:rPr>
              <w:t>[new indication]</w:t>
            </w:r>
          </w:p>
        </w:tc>
      </w:tr>
      <w:tr w:rsidR="00E73F99" w14:paraId="1DD136DD" w14:textId="77777777" w:rsidTr="00A86BBD">
        <w:tc>
          <w:tcPr>
            <w:tcW w:w="1561" w:type="pct"/>
            <w:shd w:val="clear" w:color="auto" w:fill="auto"/>
            <w:tcMar>
              <w:top w:w="57" w:type="dxa"/>
              <w:left w:w="170" w:type="dxa"/>
              <w:bottom w:w="57" w:type="dxa"/>
              <w:right w:w="170" w:type="dxa"/>
            </w:tcMar>
          </w:tcPr>
          <w:p w14:paraId="23553617" w14:textId="486D4785" w:rsidR="00E73F99" w:rsidRDefault="00E73F99" w:rsidP="00E73F99">
            <w:pPr>
              <w:rPr>
                <w:rFonts w:cs="Arial"/>
                <w:szCs w:val="19"/>
              </w:rPr>
            </w:pPr>
            <w:r>
              <w:rPr>
                <w:rFonts w:cs="Arial"/>
                <w:szCs w:val="19"/>
              </w:rPr>
              <w:t>Influenza vaccine (</w:t>
            </w:r>
            <w:r w:rsidRPr="00E34DB3">
              <w:rPr>
                <w:rFonts w:cs="Arial"/>
                <w:i/>
                <w:iCs/>
                <w:szCs w:val="19"/>
              </w:rPr>
              <w:t xml:space="preserve">Quadrivalent Influenza Vaccine </w:t>
            </w:r>
            <w:r>
              <w:rPr>
                <w:rFonts w:cs="Arial"/>
                <w:i/>
                <w:iCs/>
                <w:szCs w:val="19"/>
              </w:rPr>
              <w:t>[</w:t>
            </w:r>
            <w:r w:rsidRPr="00E34DB3">
              <w:rPr>
                <w:rFonts w:cs="Arial"/>
                <w:i/>
                <w:iCs/>
                <w:szCs w:val="19"/>
              </w:rPr>
              <w:t>Split Virion, Inactivated</w:t>
            </w:r>
            <w:r>
              <w:rPr>
                <w:rFonts w:cs="Arial"/>
                <w:i/>
                <w:iCs/>
                <w:szCs w:val="19"/>
              </w:rPr>
              <w:t>]</w:t>
            </w:r>
            <w:r w:rsidRPr="00E34DB3">
              <w:rPr>
                <w:rFonts w:cs="Arial"/>
                <w:i/>
                <w:iCs/>
                <w:szCs w:val="19"/>
              </w:rPr>
              <w:t xml:space="preserve"> High</w:t>
            </w:r>
            <w:r w:rsidRPr="00E34DB3">
              <w:rPr>
                <w:rFonts w:ascii="Cambria Math" w:hAnsi="Cambria Math" w:cs="Cambria Math"/>
                <w:i/>
                <w:iCs/>
                <w:szCs w:val="19"/>
              </w:rPr>
              <w:t>‐</w:t>
            </w:r>
            <w:r w:rsidRPr="00E34DB3">
              <w:rPr>
                <w:rFonts w:cs="Arial"/>
                <w:i/>
                <w:iCs/>
                <w:szCs w:val="19"/>
              </w:rPr>
              <w:t>Dose</w:t>
            </w:r>
            <w:r>
              <w:rPr>
                <w:rFonts w:cs="Arial"/>
                <w:szCs w:val="19"/>
              </w:rPr>
              <w:t>)</w:t>
            </w:r>
          </w:p>
          <w:p w14:paraId="52E2D551" w14:textId="1708C362" w:rsidR="00E73F99" w:rsidRPr="008F4372" w:rsidRDefault="00E73F99" w:rsidP="00E73F99">
            <w:pPr>
              <w:rPr>
                <w:rFonts w:cs="Arial"/>
                <w:szCs w:val="19"/>
              </w:rPr>
            </w:pPr>
            <w:r w:rsidRPr="00E80AE0">
              <w:rPr>
                <w:rFonts w:cs="Arial"/>
                <w:sz w:val="16"/>
                <w:szCs w:val="16"/>
              </w:rPr>
              <w:t>Single-dose prefilled syringe</w:t>
            </w:r>
          </w:p>
        </w:tc>
        <w:tc>
          <w:tcPr>
            <w:tcW w:w="3439" w:type="pct"/>
            <w:shd w:val="clear" w:color="auto" w:fill="auto"/>
            <w:tcMar>
              <w:top w:w="57" w:type="dxa"/>
              <w:left w:w="170" w:type="dxa"/>
              <w:bottom w:w="57" w:type="dxa"/>
              <w:right w:w="170" w:type="dxa"/>
            </w:tcMar>
          </w:tcPr>
          <w:p w14:paraId="631E55DF" w14:textId="463C54D4" w:rsidR="00E73F99" w:rsidRDefault="00E73F99" w:rsidP="00E73F99">
            <w:pPr>
              <w:tabs>
                <w:tab w:val="center" w:pos="3152"/>
              </w:tabs>
              <w:rPr>
                <w:rFonts w:cs="Arial"/>
                <w:szCs w:val="19"/>
                <w:lang w:val="en-US"/>
              </w:rPr>
            </w:pPr>
            <w:r w:rsidRPr="00E80AE0">
              <w:rPr>
                <w:rFonts w:cs="Arial"/>
                <w:szCs w:val="19"/>
              </w:rPr>
              <w:t xml:space="preserve">Active immunisation in adults </w:t>
            </w:r>
            <w:r>
              <w:rPr>
                <w:rFonts w:cs="Arial"/>
                <w:szCs w:val="19"/>
              </w:rPr>
              <w:t>aged ≥</w:t>
            </w:r>
            <w:r w:rsidRPr="00E80AE0">
              <w:rPr>
                <w:rFonts w:cs="Arial"/>
                <w:szCs w:val="19"/>
              </w:rPr>
              <w:t>60 years for the prevention of influenza disease</w:t>
            </w:r>
          </w:p>
        </w:tc>
      </w:tr>
      <w:tr w:rsidR="00E73F99" w14:paraId="610ECDB0" w14:textId="77777777" w:rsidTr="00A86BBD">
        <w:tc>
          <w:tcPr>
            <w:tcW w:w="1561" w:type="pct"/>
            <w:shd w:val="clear" w:color="auto" w:fill="auto"/>
            <w:tcMar>
              <w:top w:w="57" w:type="dxa"/>
              <w:left w:w="170" w:type="dxa"/>
              <w:bottom w:w="57" w:type="dxa"/>
              <w:right w:w="170" w:type="dxa"/>
            </w:tcMar>
          </w:tcPr>
          <w:p w14:paraId="08026D4D" w14:textId="77777777" w:rsidR="00E73F99" w:rsidRDefault="00E73F99" w:rsidP="00E73F99">
            <w:pPr>
              <w:rPr>
                <w:rFonts w:cs="Arial"/>
                <w:szCs w:val="19"/>
              </w:rPr>
            </w:pPr>
            <w:r w:rsidRPr="008F4372">
              <w:rPr>
                <w:rFonts w:cs="Arial"/>
                <w:szCs w:val="19"/>
              </w:rPr>
              <w:t>Iptacopan</w:t>
            </w:r>
            <w:r>
              <w:rPr>
                <w:rFonts w:cs="Arial"/>
                <w:szCs w:val="19"/>
              </w:rPr>
              <w:t xml:space="preserve"> (</w:t>
            </w:r>
            <w:r>
              <w:rPr>
                <w:rFonts w:cs="Arial"/>
                <w:i/>
                <w:iCs/>
                <w:szCs w:val="19"/>
              </w:rPr>
              <w:t>Fabhalta</w:t>
            </w:r>
            <w:r>
              <w:rPr>
                <w:rFonts w:cs="Arial"/>
                <w:szCs w:val="19"/>
              </w:rPr>
              <w:t>)</w:t>
            </w:r>
          </w:p>
          <w:p w14:paraId="50757F96" w14:textId="6027CF1B" w:rsidR="00E73F99" w:rsidRDefault="00E73F99" w:rsidP="00E73F99">
            <w:pPr>
              <w:rPr>
                <w:rFonts w:cs="Arial"/>
                <w:szCs w:val="19"/>
              </w:rPr>
            </w:pPr>
            <w:r w:rsidRPr="008B3DEA">
              <w:rPr>
                <w:rFonts w:cs="Arial"/>
                <w:sz w:val="16"/>
                <w:szCs w:val="16"/>
              </w:rPr>
              <w:t>200mg capsule</w:t>
            </w:r>
          </w:p>
        </w:tc>
        <w:tc>
          <w:tcPr>
            <w:tcW w:w="3439" w:type="pct"/>
            <w:shd w:val="clear" w:color="auto" w:fill="auto"/>
            <w:tcMar>
              <w:top w:w="57" w:type="dxa"/>
              <w:left w:w="170" w:type="dxa"/>
              <w:bottom w:w="57" w:type="dxa"/>
              <w:right w:w="170" w:type="dxa"/>
            </w:tcMar>
          </w:tcPr>
          <w:p w14:paraId="46AC74EF" w14:textId="7241181F" w:rsidR="00E73F99" w:rsidRPr="00415D2F" w:rsidRDefault="00E73F99" w:rsidP="00E73F99">
            <w:pPr>
              <w:tabs>
                <w:tab w:val="center" w:pos="3152"/>
              </w:tabs>
              <w:rPr>
                <w:rFonts w:cs="Arial"/>
                <w:bCs/>
                <w:szCs w:val="19"/>
              </w:rPr>
            </w:pPr>
            <w:r>
              <w:rPr>
                <w:rFonts w:cs="Arial"/>
                <w:szCs w:val="19"/>
                <w:lang w:val="en-US"/>
              </w:rPr>
              <w:t>Use as m</w:t>
            </w:r>
            <w:r w:rsidRPr="008F4372">
              <w:rPr>
                <w:rFonts w:cs="Arial"/>
                <w:szCs w:val="19"/>
                <w:lang w:val="en-US"/>
              </w:rPr>
              <w:t>onotherapy in the treatment of adults with paroxysmal nocturnal haemoglobinuria who have haemolytic anaemia</w:t>
            </w:r>
          </w:p>
        </w:tc>
      </w:tr>
      <w:tr w:rsidR="00E73F99" w14:paraId="3580E214" w14:textId="77777777" w:rsidTr="00A86BBD">
        <w:tc>
          <w:tcPr>
            <w:tcW w:w="1561" w:type="pct"/>
            <w:shd w:val="clear" w:color="auto" w:fill="auto"/>
            <w:tcMar>
              <w:top w:w="57" w:type="dxa"/>
              <w:left w:w="170" w:type="dxa"/>
              <w:bottom w:w="57" w:type="dxa"/>
              <w:right w:w="170" w:type="dxa"/>
            </w:tcMar>
          </w:tcPr>
          <w:p w14:paraId="6840A6B2" w14:textId="77777777" w:rsidR="00E73F99" w:rsidRDefault="00E73F99" w:rsidP="00E73F99">
            <w:pPr>
              <w:rPr>
                <w:rFonts w:cs="Arial"/>
                <w:szCs w:val="19"/>
              </w:rPr>
            </w:pPr>
            <w:r>
              <w:rPr>
                <w:rFonts w:cs="Arial"/>
                <w:szCs w:val="19"/>
              </w:rPr>
              <w:t>Ivermectin</w:t>
            </w:r>
          </w:p>
          <w:p w14:paraId="008EF78B" w14:textId="1347FA32" w:rsidR="00E73F99" w:rsidRDefault="00E73F99" w:rsidP="00E73F99">
            <w:pPr>
              <w:rPr>
                <w:rFonts w:cs="Arial"/>
                <w:szCs w:val="19"/>
              </w:rPr>
            </w:pPr>
            <w:r w:rsidRPr="008367B1">
              <w:rPr>
                <w:rFonts w:cs="Arial"/>
                <w:sz w:val="16"/>
                <w:szCs w:val="16"/>
              </w:rPr>
              <w:t>3mg tablets</w:t>
            </w:r>
          </w:p>
        </w:tc>
        <w:tc>
          <w:tcPr>
            <w:tcW w:w="3439" w:type="pct"/>
            <w:shd w:val="clear" w:color="auto" w:fill="auto"/>
            <w:tcMar>
              <w:top w:w="57" w:type="dxa"/>
              <w:left w:w="170" w:type="dxa"/>
              <w:bottom w:w="57" w:type="dxa"/>
              <w:right w:w="170" w:type="dxa"/>
            </w:tcMar>
          </w:tcPr>
          <w:p w14:paraId="07BB3F87" w14:textId="5EECC365" w:rsidR="00E73F99" w:rsidRPr="00415D2F" w:rsidRDefault="00E73F99" w:rsidP="00E73F99">
            <w:pPr>
              <w:tabs>
                <w:tab w:val="center" w:pos="3152"/>
              </w:tabs>
              <w:rPr>
                <w:rFonts w:cs="Arial"/>
                <w:bCs/>
                <w:szCs w:val="19"/>
              </w:rPr>
            </w:pPr>
            <w:r w:rsidRPr="008367B1">
              <w:rPr>
                <w:rFonts w:cs="Arial"/>
                <w:szCs w:val="19"/>
                <w:lang w:val="en-US"/>
              </w:rPr>
              <w:t>Treatment of gastrointestinal strongyloidiasis (anguillulosis)</w:t>
            </w:r>
            <w:r>
              <w:rPr>
                <w:rFonts w:cs="Arial"/>
                <w:szCs w:val="19"/>
                <w:lang w:val="en-US"/>
              </w:rPr>
              <w:t>,</w:t>
            </w:r>
            <w:r w:rsidRPr="008367B1">
              <w:rPr>
                <w:rFonts w:cs="Arial"/>
                <w:szCs w:val="19"/>
                <w:lang w:val="en-US"/>
              </w:rPr>
              <w:t xml:space="preserve"> suspected or diagnosed microfilaraemia in patients with lymphatic filariasis due to Wuchereria bancrofti</w:t>
            </w:r>
            <w:r>
              <w:rPr>
                <w:rFonts w:cs="Arial"/>
                <w:szCs w:val="19"/>
                <w:lang w:val="en-US"/>
              </w:rPr>
              <w:t>,</w:t>
            </w:r>
            <w:r w:rsidRPr="008367B1">
              <w:rPr>
                <w:rFonts w:cs="Arial"/>
                <w:szCs w:val="19"/>
                <w:lang w:val="en-US"/>
              </w:rPr>
              <w:t xml:space="preserve"> and</w:t>
            </w:r>
            <w:r>
              <w:rPr>
                <w:rFonts w:cs="Arial"/>
                <w:szCs w:val="19"/>
                <w:lang w:val="en-US"/>
              </w:rPr>
              <w:t xml:space="preserve"> human</w:t>
            </w:r>
            <w:r w:rsidRPr="008367B1">
              <w:rPr>
                <w:rFonts w:cs="Arial"/>
                <w:szCs w:val="19"/>
                <w:lang w:val="en-US"/>
              </w:rPr>
              <w:t xml:space="preserve"> sarcoptic scabies</w:t>
            </w:r>
            <w:r>
              <w:rPr>
                <w:rFonts w:cs="Arial"/>
                <w:szCs w:val="19"/>
                <w:lang w:val="en-US"/>
              </w:rPr>
              <w:t xml:space="preserve"> </w:t>
            </w:r>
            <w:r w:rsidRPr="008367B1">
              <w:rPr>
                <w:rFonts w:cs="Arial"/>
                <w:szCs w:val="19"/>
                <w:lang w:val="en-US"/>
              </w:rPr>
              <w:t xml:space="preserve">in adults and children weighing </w:t>
            </w:r>
            <w:r>
              <w:rPr>
                <w:rFonts w:cs="Arial"/>
                <w:szCs w:val="19"/>
                <w:lang w:val="en-US"/>
              </w:rPr>
              <w:t>≥</w:t>
            </w:r>
            <w:r w:rsidRPr="008367B1">
              <w:rPr>
                <w:rFonts w:cs="Arial"/>
                <w:szCs w:val="19"/>
                <w:lang w:val="en-US"/>
              </w:rPr>
              <w:t>15kg</w:t>
            </w:r>
            <w:r>
              <w:rPr>
                <w:rFonts w:cs="Arial"/>
                <w:szCs w:val="19"/>
                <w:lang w:val="en-US"/>
              </w:rPr>
              <w:t xml:space="preserve"> </w:t>
            </w:r>
            <w:r>
              <w:rPr>
                <w:rFonts w:cs="Arial"/>
                <w:szCs w:val="19"/>
                <w:lang w:val="en-US"/>
              </w:rPr>
              <w:br/>
            </w:r>
            <w:r w:rsidRPr="005E772D">
              <w:rPr>
                <w:rFonts w:cs="Arial"/>
                <w:sz w:val="16"/>
                <w:szCs w:val="16"/>
                <w:lang w:val="en-US"/>
              </w:rPr>
              <w:t>[</w:t>
            </w:r>
            <w:r>
              <w:rPr>
                <w:rFonts w:cs="Arial"/>
                <w:sz w:val="16"/>
                <w:szCs w:val="16"/>
                <w:lang w:val="en-US"/>
              </w:rPr>
              <w:t xml:space="preserve">new </w:t>
            </w:r>
            <w:r w:rsidRPr="005E772D">
              <w:rPr>
                <w:rFonts w:cs="Arial"/>
                <w:sz w:val="16"/>
                <w:szCs w:val="16"/>
                <w:lang w:val="en-US"/>
              </w:rPr>
              <w:t>Vygoris formulation]</w:t>
            </w:r>
          </w:p>
        </w:tc>
      </w:tr>
      <w:tr w:rsidR="00E73F99" w14:paraId="5ECF5CE8" w14:textId="77777777" w:rsidTr="00A86BBD">
        <w:tc>
          <w:tcPr>
            <w:tcW w:w="1561" w:type="pct"/>
            <w:shd w:val="clear" w:color="auto" w:fill="auto"/>
            <w:tcMar>
              <w:top w:w="57" w:type="dxa"/>
              <w:left w:w="170" w:type="dxa"/>
              <w:bottom w:w="57" w:type="dxa"/>
              <w:right w:w="170" w:type="dxa"/>
            </w:tcMar>
          </w:tcPr>
          <w:p w14:paraId="0B8E4E73" w14:textId="77777777" w:rsidR="00E73F99" w:rsidRDefault="00E73F99" w:rsidP="00E73F99">
            <w:pPr>
              <w:rPr>
                <w:rFonts w:cs="Arial"/>
                <w:szCs w:val="19"/>
              </w:rPr>
            </w:pPr>
            <w:r>
              <w:rPr>
                <w:rFonts w:cs="Arial"/>
                <w:szCs w:val="19"/>
              </w:rPr>
              <w:t>Linzagolix (</w:t>
            </w:r>
            <w:r>
              <w:rPr>
                <w:rFonts w:cs="Arial"/>
                <w:i/>
                <w:iCs/>
                <w:szCs w:val="19"/>
              </w:rPr>
              <w:t>Yselty</w:t>
            </w:r>
            <w:r>
              <w:rPr>
                <w:rFonts w:cs="Arial"/>
                <w:szCs w:val="19"/>
              </w:rPr>
              <w:t>)</w:t>
            </w:r>
          </w:p>
          <w:p w14:paraId="3F4D737F" w14:textId="6D643E95" w:rsidR="00E73F99" w:rsidRPr="00EF50DF" w:rsidRDefault="00E73F99" w:rsidP="00E73F99">
            <w:pPr>
              <w:rPr>
                <w:rFonts w:cs="Arial"/>
                <w:szCs w:val="19"/>
              </w:rPr>
            </w:pPr>
            <w:r w:rsidRPr="00415D2F">
              <w:rPr>
                <w:rFonts w:cs="Arial"/>
                <w:sz w:val="16"/>
                <w:szCs w:val="16"/>
              </w:rPr>
              <w:t>100mg and 200mg tablets</w:t>
            </w:r>
          </w:p>
        </w:tc>
        <w:tc>
          <w:tcPr>
            <w:tcW w:w="3439" w:type="pct"/>
            <w:shd w:val="clear" w:color="auto" w:fill="auto"/>
            <w:tcMar>
              <w:top w:w="57" w:type="dxa"/>
              <w:left w:w="170" w:type="dxa"/>
              <w:bottom w:w="57" w:type="dxa"/>
              <w:right w:w="170" w:type="dxa"/>
            </w:tcMar>
          </w:tcPr>
          <w:p w14:paraId="1954A1C9" w14:textId="39C1CBCC" w:rsidR="00E73F99" w:rsidRDefault="00E73F99" w:rsidP="00E73F99">
            <w:pPr>
              <w:tabs>
                <w:tab w:val="center" w:pos="3152"/>
              </w:tabs>
              <w:rPr>
                <w:rFonts w:cs="Arial"/>
                <w:szCs w:val="19"/>
                <w:lang w:val="en-US"/>
              </w:rPr>
            </w:pPr>
            <w:r w:rsidRPr="00415D2F">
              <w:rPr>
                <w:rFonts w:cs="Arial"/>
                <w:bCs/>
                <w:szCs w:val="19"/>
              </w:rPr>
              <w:t>Treatment of moderate to severe symptoms of uterine fibroids in adult women of reproductive age</w:t>
            </w:r>
          </w:p>
        </w:tc>
      </w:tr>
      <w:tr w:rsidR="00E73F99" w14:paraId="0A74DF0C" w14:textId="77777777" w:rsidTr="00A86BBD">
        <w:tc>
          <w:tcPr>
            <w:tcW w:w="1561" w:type="pct"/>
            <w:shd w:val="clear" w:color="auto" w:fill="auto"/>
            <w:tcMar>
              <w:top w:w="57" w:type="dxa"/>
              <w:left w:w="170" w:type="dxa"/>
              <w:bottom w:w="57" w:type="dxa"/>
              <w:right w:w="170" w:type="dxa"/>
            </w:tcMar>
          </w:tcPr>
          <w:p w14:paraId="20ADDBD3" w14:textId="77777777" w:rsidR="00E73F99" w:rsidRDefault="00E73F99" w:rsidP="00E73F99">
            <w:pPr>
              <w:rPr>
                <w:rFonts w:cs="Arial"/>
                <w:szCs w:val="19"/>
              </w:rPr>
            </w:pPr>
            <w:r w:rsidRPr="00EF50DF">
              <w:rPr>
                <w:rFonts w:cs="Arial"/>
                <w:szCs w:val="19"/>
              </w:rPr>
              <w:t>mRNA-1273.167</w:t>
            </w:r>
            <w:r>
              <w:rPr>
                <w:rFonts w:cs="Arial"/>
                <w:szCs w:val="19"/>
              </w:rPr>
              <w:t xml:space="preserve"> (</w:t>
            </w:r>
            <w:r>
              <w:rPr>
                <w:rFonts w:cs="Arial"/>
                <w:i/>
                <w:iCs/>
                <w:szCs w:val="19"/>
              </w:rPr>
              <w:t>Spikevax JN.1</w:t>
            </w:r>
            <w:r>
              <w:rPr>
                <w:rFonts w:cs="Arial"/>
                <w:szCs w:val="19"/>
              </w:rPr>
              <w:t>)</w:t>
            </w:r>
          </w:p>
          <w:p w14:paraId="122A8A5D" w14:textId="42451F3E" w:rsidR="00E73F99" w:rsidRPr="00EF50DF" w:rsidRDefault="00E73F99" w:rsidP="00E73F99">
            <w:pPr>
              <w:rPr>
                <w:rFonts w:cs="Arial"/>
                <w:szCs w:val="19"/>
              </w:rPr>
            </w:pPr>
            <w:r w:rsidRPr="00EF50DF">
              <w:rPr>
                <w:rFonts w:cs="Arial"/>
                <w:sz w:val="16"/>
                <w:szCs w:val="16"/>
              </w:rPr>
              <w:t>5-dose and 10-dose multi-dose vials</w:t>
            </w:r>
          </w:p>
        </w:tc>
        <w:tc>
          <w:tcPr>
            <w:tcW w:w="3439" w:type="pct"/>
            <w:shd w:val="clear" w:color="auto" w:fill="auto"/>
            <w:tcMar>
              <w:top w:w="57" w:type="dxa"/>
              <w:left w:w="170" w:type="dxa"/>
              <w:bottom w:w="57" w:type="dxa"/>
              <w:right w:w="170" w:type="dxa"/>
            </w:tcMar>
          </w:tcPr>
          <w:p w14:paraId="050ACD5B" w14:textId="640379CA" w:rsidR="00E73F99" w:rsidRDefault="00E73F99" w:rsidP="00E73F99">
            <w:pPr>
              <w:tabs>
                <w:tab w:val="center" w:pos="3152"/>
              </w:tabs>
              <w:rPr>
                <w:rFonts w:cs="Arial"/>
                <w:szCs w:val="19"/>
                <w:lang w:val="en-US"/>
              </w:rPr>
            </w:pPr>
            <w:r>
              <w:rPr>
                <w:rFonts w:cs="Arial"/>
                <w:szCs w:val="19"/>
                <w:lang w:val="en-US"/>
              </w:rPr>
              <w:t>Activ</w:t>
            </w:r>
            <w:r w:rsidRPr="00EF50DF">
              <w:rPr>
                <w:rFonts w:cs="Arial"/>
                <w:szCs w:val="19"/>
                <w:lang w:val="en-US"/>
              </w:rPr>
              <w:t>e immunisation to prevent COVID-19 caused by SARS-CoV-2 in individuals</w:t>
            </w:r>
            <w:r>
              <w:rPr>
                <w:rFonts w:cs="Arial"/>
                <w:szCs w:val="19"/>
                <w:lang w:val="en-US"/>
              </w:rPr>
              <w:t xml:space="preserve"> aged ≥</w:t>
            </w:r>
            <w:r w:rsidRPr="00EF50DF">
              <w:rPr>
                <w:rFonts w:cs="Arial"/>
                <w:szCs w:val="19"/>
                <w:lang w:val="en-US"/>
              </w:rPr>
              <w:t>6 months</w:t>
            </w:r>
          </w:p>
        </w:tc>
      </w:tr>
      <w:tr w:rsidR="00E73F99" w:rsidRPr="00862949" w14:paraId="18641DBB" w14:textId="77777777" w:rsidTr="001C62E0">
        <w:tc>
          <w:tcPr>
            <w:tcW w:w="5000" w:type="pct"/>
            <w:gridSpan w:val="2"/>
            <w:shd w:val="clear" w:color="auto" w:fill="auto"/>
            <w:tcMar>
              <w:top w:w="0" w:type="dxa"/>
              <w:bottom w:w="0" w:type="dxa"/>
            </w:tcMar>
          </w:tcPr>
          <w:p w14:paraId="52260A40" w14:textId="77777777" w:rsidR="00E73F99" w:rsidRPr="00862949" w:rsidRDefault="00E73F99" w:rsidP="00E73F99">
            <w:pPr>
              <w:rPr>
                <w:rFonts w:cs="Arial"/>
                <w:b/>
                <w:noProof/>
                <w:sz w:val="8"/>
                <w:szCs w:val="8"/>
              </w:rPr>
            </w:pPr>
          </w:p>
        </w:tc>
      </w:tr>
      <w:tr w:rsidR="00E73F99" w:rsidRPr="00862949" w14:paraId="3AB74168" w14:textId="77777777" w:rsidTr="001C62E0">
        <w:tc>
          <w:tcPr>
            <w:tcW w:w="5000" w:type="pct"/>
            <w:gridSpan w:val="2"/>
            <w:shd w:val="clear" w:color="auto" w:fill="DAEEF3"/>
            <w:tcMar>
              <w:top w:w="0" w:type="dxa"/>
              <w:bottom w:w="0" w:type="dxa"/>
            </w:tcMar>
          </w:tcPr>
          <w:p w14:paraId="53D558AA" w14:textId="77777777" w:rsidR="00E73F99" w:rsidRPr="00862949" w:rsidRDefault="00E73F99" w:rsidP="00E73F99">
            <w:pPr>
              <w:rPr>
                <w:rFonts w:cs="Arial"/>
                <w:b/>
                <w:i/>
                <w:noProof/>
                <w:sz w:val="8"/>
                <w:szCs w:val="8"/>
              </w:rPr>
            </w:pPr>
          </w:p>
        </w:tc>
      </w:tr>
    </w:tbl>
    <w:p w14:paraId="54324DCD" w14:textId="28DF8ADD" w:rsidR="00A327AD" w:rsidRDefault="00A327AD">
      <w:r>
        <w:br w:type="page"/>
      </w:r>
    </w:p>
    <w:p w14:paraId="22DF0E83" w14:textId="77777777" w:rsidR="00A327AD" w:rsidRDefault="00A327AD" w:rsidP="00EB3E6F">
      <w:pPr>
        <w:tabs>
          <w:tab w:val="left" w:pos="2087"/>
        </w:tabs>
      </w:pPr>
    </w:p>
    <w:tbl>
      <w:tblPr>
        <w:tblW w:w="5170" w:type="pct"/>
        <w:tblInd w:w="-176" w:type="dxa"/>
        <w:tblLayout w:type="fixed"/>
        <w:tblLook w:val="01E0" w:firstRow="1" w:lastRow="1" w:firstColumn="1" w:lastColumn="1" w:noHBand="0" w:noVBand="0"/>
      </w:tblPr>
      <w:tblGrid>
        <w:gridCol w:w="2728"/>
        <w:gridCol w:w="7823"/>
      </w:tblGrid>
      <w:tr w:rsidR="00A327AD" w:rsidRPr="00862949" w14:paraId="110BC5CA" w14:textId="77777777" w:rsidTr="00482B14">
        <w:tc>
          <w:tcPr>
            <w:tcW w:w="5000" w:type="pct"/>
            <w:gridSpan w:val="2"/>
            <w:shd w:val="clear" w:color="auto" w:fill="0070C0"/>
            <w:tcMar>
              <w:top w:w="85" w:type="dxa"/>
              <w:bottom w:w="85" w:type="dxa"/>
            </w:tcMar>
            <w:vAlign w:val="bottom"/>
          </w:tcPr>
          <w:p w14:paraId="749EF437" w14:textId="77777777" w:rsidR="00A327AD" w:rsidRPr="00862949" w:rsidRDefault="00A327AD" w:rsidP="00482B14">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A327AD" w:rsidRPr="00862949" w14:paraId="67F81236" w14:textId="77777777" w:rsidTr="00482B14">
        <w:tc>
          <w:tcPr>
            <w:tcW w:w="5000" w:type="pct"/>
            <w:gridSpan w:val="2"/>
            <w:shd w:val="clear" w:color="auto" w:fill="DAEEF3"/>
            <w:tcMar>
              <w:top w:w="0" w:type="dxa"/>
              <w:bottom w:w="0" w:type="dxa"/>
            </w:tcMar>
          </w:tcPr>
          <w:p w14:paraId="0BAF87C4" w14:textId="77777777" w:rsidR="00A327AD" w:rsidRPr="00862949" w:rsidRDefault="00A327AD" w:rsidP="00482B14">
            <w:pPr>
              <w:rPr>
                <w:rFonts w:cs="Arial"/>
                <w:b/>
                <w:bCs/>
                <w:i/>
                <w:iCs/>
                <w:color w:val="000000"/>
                <w:sz w:val="8"/>
                <w:szCs w:val="8"/>
                <w:lang w:val="en-US"/>
              </w:rPr>
            </w:pPr>
          </w:p>
        </w:tc>
      </w:tr>
      <w:tr w:rsidR="00A327AD" w:rsidRPr="00862949" w14:paraId="484A0738" w14:textId="77777777" w:rsidTr="00482B14">
        <w:tc>
          <w:tcPr>
            <w:tcW w:w="5000" w:type="pct"/>
            <w:gridSpan w:val="2"/>
            <w:shd w:val="clear" w:color="auto" w:fill="00B050"/>
            <w:tcMar>
              <w:top w:w="57" w:type="dxa"/>
              <w:bottom w:w="57" w:type="dxa"/>
            </w:tcMar>
          </w:tcPr>
          <w:p w14:paraId="32DFA1AC" w14:textId="77777777" w:rsidR="00A327AD" w:rsidRPr="00433D3E" w:rsidRDefault="00A327AD" w:rsidP="00482B14">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E36CCA">
              <w:rPr>
                <w:rFonts w:cs="Arial"/>
                <w:b/>
                <w:bCs/>
                <w:color w:val="FFFFFF"/>
                <w:sz w:val="16"/>
                <w:szCs w:val="14"/>
                <w:lang w:val="en-US"/>
              </w:rPr>
              <w:t>(continued)</w:t>
            </w:r>
          </w:p>
        </w:tc>
      </w:tr>
      <w:tr w:rsidR="00E73F99" w14:paraId="49B76135" w14:textId="77777777" w:rsidTr="0089628D">
        <w:tc>
          <w:tcPr>
            <w:tcW w:w="1293" w:type="pct"/>
            <w:shd w:val="clear" w:color="auto" w:fill="auto"/>
            <w:tcMar>
              <w:top w:w="57" w:type="dxa"/>
              <w:left w:w="170" w:type="dxa"/>
              <w:bottom w:w="57" w:type="dxa"/>
              <w:right w:w="170" w:type="dxa"/>
            </w:tcMar>
          </w:tcPr>
          <w:p w14:paraId="13B271F3" w14:textId="38E005C2" w:rsidR="00E73F99" w:rsidRDefault="00E73F99" w:rsidP="00E73F99">
            <w:pPr>
              <w:rPr>
                <w:rFonts w:cs="Arial"/>
                <w:szCs w:val="19"/>
              </w:rPr>
            </w:pPr>
            <w:r>
              <w:rPr>
                <w:rFonts w:cs="Arial"/>
                <w:szCs w:val="19"/>
              </w:rPr>
              <w:t>Omalizumab (</w:t>
            </w:r>
            <w:r>
              <w:rPr>
                <w:rFonts w:cs="Arial"/>
                <w:i/>
                <w:iCs/>
                <w:szCs w:val="19"/>
              </w:rPr>
              <w:t>Xolair</w:t>
            </w:r>
            <w:r>
              <w:rPr>
                <w:rFonts w:cs="Arial"/>
                <w:szCs w:val="19"/>
              </w:rPr>
              <w:t>)</w:t>
            </w:r>
            <w:r>
              <w:rPr>
                <w:rFonts w:cs="Arial"/>
                <w:szCs w:val="19"/>
              </w:rPr>
              <w:br/>
            </w:r>
            <w:r w:rsidRPr="009A4F19">
              <w:rPr>
                <w:rFonts w:cs="Arial"/>
                <w:sz w:val="16"/>
                <w:szCs w:val="16"/>
              </w:rPr>
              <w:t>75mg in 0.5mL prefilled pen</w:t>
            </w:r>
          </w:p>
        </w:tc>
        <w:tc>
          <w:tcPr>
            <w:tcW w:w="3707" w:type="pct"/>
            <w:shd w:val="clear" w:color="auto" w:fill="auto"/>
            <w:tcMar>
              <w:top w:w="57" w:type="dxa"/>
              <w:left w:w="170" w:type="dxa"/>
              <w:bottom w:w="57" w:type="dxa"/>
              <w:right w:w="170" w:type="dxa"/>
            </w:tcMar>
          </w:tcPr>
          <w:p w14:paraId="23C75861" w14:textId="77777777" w:rsidR="00E73F99" w:rsidRDefault="00E73F99" w:rsidP="00E73F99">
            <w:pPr>
              <w:tabs>
                <w:tab w:val="center" w:pos="3152"/>
              </w:tabs>
              <w:rPr>
                <w:rFonts w:cs="Arial"/>
                <w:sz w:val="16"/>
                <w:szCs w:val="16"/>
                <w:lang w:val="en-US"/>
              </w:rPr>
            </w:pPr>
            <w:r w:rsidRPr="009A4F19">
              <w:rPr>
                <w:rFonts w:cs="Arial"/>
                <w:szCs w:val="19"/>
                <w:lang w:val="en-US"/>
              </w:rPr>
              <w:t>Treatment of allergic asthma in adults, adolescents and children</w:t>
            </w:r>
            <w:r>
              <w:rPr>
                <w:rFonts w:cs="Arial"/>
                <w:szCs w:val="19"/>
                <w:lang w:val="en-US"/>
              </w:rPr>
              <w:t xml:space="preserve"> aged </w:t>
            </w:r>
            <w:r w:rsidRPr="009A4F19">
              <w:rPr>
                <w:rFonts w:cs="Arial"/>
                <w:szCs w:val="19"/>
                <w:lang w:val="en-US"/>
              </w:rPr>
              <w:t xml:space="preserve">6 to </w:t>
            </w:r>
            <w:r>
              <w:rPr>
                <w:rFonts w:cs="Arial"/>
                <w:szCs w:val="19"/>
                <w:lang w:val="en-US"/>
              </w:rPr>
              <w:t>11</w:t>
            </w:r>
            <w:r w:rsidRPr="009A4F19">
              <w:rPr>
                <w:rFonts w:cs="Arial"/>
                <w:szCs w:val="19"/>
                <w:lang w:val="en-US"/>
              </w:rPr>
              <w:t xml:space="preserve"> years</w:t>
            </w:r>
            <w:r>
              <w:rPr>
                <w:rFonts w:cs="Arial"/>
                <w:szCs w:val="19"/>
                <w:lang w:val="en-US"/>
              </w:rPr>
              <w:t xml:space="preserve"> and </w:t>
            </w:r>
            <w:r w:rsidRPr="009A4F19">
              <w:rPr>
                <w:rFonts w:cs="Arial"/>
                <w:szCs w:val="19"/>
                <w:lang w:val="en-US"/>
              </w:rPr>
              <w:t xml:space="preserve">chronic rhinosinusitis with nasal polyps in adults </w:t>
            </w:r>
            <w:r w:rsidRPr="001B7829">
              <w:rPr>
                <w:rFonts w:cs="Arial"/>
                <w:sz w:val="16"/>
                <w:szCs w:val="16"/>
                <w:lang w:val="en-US"/>
              </w:rPr>
              <w:t>[new prefilled pen formulation]</w:t>
            </w:r>
            <w:r>
              <w:rPr>
                <w:rFonts w:cs="Arial"/>
                <w:sz w:val="16"/>
                <w:szCs w:val="16"/>
                <w:lang w:val="en-US"/>
              </w:rPr>
              <w:t xml:space="preserve"> </w:t>
            </w:r>
          </w:p>
          <w:p w14:paraId="3FCA29EE" w14:textId="77C6E18A" w:rsidR="00E73F99" w:rsidRDefault="00E73F99" w:rsidP="00E73F99">
            <w:pPr>
              <w:tabs>
                <w:tab w:val="center" w:pos="3152"/>
              </w:tabs>
              <w:rPr>
                <w:rFonts w:cs="Arial"/>
                <w:szCs w:val="19"/>
                <w:lang w:val="en-US"/>
              </w:rPr>
            </w:pPr>
            <w:r w:rsidRPr="00804389">
              <w:rPr>
                <w:rFonts w:cs="Arial"/>
                <w:i/>
                <w:iCs/>
                <w:sz w:val="16"/>
                <w:szCs w:val="16"/>
                <w:lang w:val="en-US"/>
              </w:rPr>
              <w:t xml:space="preserve">Note: For full details, see </w:t>
            </w:r>
            <w:hyperlink r:id="rId16" w:history="1">
              <w:r w:rsidRPr="00804389">
                <w:rPr>
                  <w:rStyle w:val="Hyperlink"/>
                  <w:rFonts w:ascii="Arial" w:hAnsi="Arial" w:cs="Arial"/>
                  <w:i/>
                  <w:iCs/>
                  <w:sz w:val="16"/>
                  <w:szCs w:val="16"/>
                  <w:lang w:val="en-US"/>
                </w:rPr>
                <w:t>SmPC</w:t>
              </w:r>
            </w:hyperlink>
          </w:p>
        </w:tc>
      </w:tr>
      <w:tr w:rsidR="00E73F99" w14:paraId="2A1EC93C" w14:textId="77777777" w:rsidTr="0089628D">
        <w:tc>
          <w:tcPr>
            <w:tcW w:w="1293" w:type="pct"/>
            <w:shd w:val="clear" w:color="auto" w:fill="auto"/>
            <w:tcMar>
              <w:top w:w="57" w:type="dxa"/>
              <w:left w:w="170" w:type="dxa"/>
              <w:bottom w:w="57" w:type="dxa"/>
              <w:right w:w="170" w:type="dxa"/>
            </w:tcMar>
          </w:tcPr>
          <w:p w14:paraId="0905B159" w14:textId="7BAC47DF" w:rsidR="00E73F99" w:rsidRDefault="00E73F99" w:rsidP="00E73F99">
            <w:pPr>
              <w:rPr>
                <w:rFonts w:cs="Arial"/>
                <w:szCs w:val="19"/>
              </w:rPr>
            </w:pPr>
            <w:r>
              <w:rPr>
                <w:rFonts w:cs="Arial"/>
                <w:szCs w:val="19"/>
              </w:rPr>
              <w:t>Osimertinib (</w:t>
            </w:r>
            <w:r>
              <w:rPr>
                <w:rFonts w:cs="Arial"/>
                <w:i/>
                <w:iCs/>
                <w:szCs w:val="19"/>
              </w:rPr>
              <w:t>Tagrisso</w:t>
            </w:r>
            <w:r>
              <w:rPr>
                <w:rFonts w:cs="Arial"/>
                <w:szCs w:val="19"/>
              </w:rPr>
              <w:t>)</w:t>
            </w:r>
            <w:r>
              <w:rPr>
                <w:rFonts w:cs="Arial"/>
                <w:szCs w:val="19"/>
              </w:rPr>
              <w:br/>
            </w:r>
            <w:r w:rsidRPr="001D3F9F">
              <w:rPr>
                <w:rFonts w:cs="Arial"/>
                <w:sz w:val="16"/>
                <w:szCs w:val="16"/>
              </w:rPr>
              <w:t>40mg and 80mg tablets</w:t>
            </w:r>
          </w:p>
        </w:tc>
        <w:tc>
          <w:tcPr>
            <w:tcW w:w="3707" w:type="pct"/>
            <w:shd w:val="clear" w:color="auto" w:fill="auto"/>
            <w:tcMar>
              <w:top w:w="57" w:type="dxa"/>
              <w:left w:w="170" w:type="dxa"/>
              <w:bottom w:w="57" w:type="dxa"/>
              <w:right w:w="170" w:type="dxa"/>
            </w:tcMar>
          </w:tcPr>
          <w:p w14:paraId="3A715D8D" w14:textId="1B4E3FBC" w:rsidR="00E73F99" w:rsidRPr="00435A17" w:rsidRDefault="00E73F99" w:rsidP="00E73F99">
            <w:pPr>
              <w:tabs>
                <w:tab w:val="center" w:pos="3152"/>
              </w:tabs>
              <w:rPr>
                <w:rFonts w:cs="Arial"/>
                <w:szCs w:val="19"/>
                <w:lang w:val="en-US"/>
              </w:rPr>
            </w:pPr>
            <w:r>
              <w:rPr>
                <w:rFonts w:cs="Arial"/>
                <w:szCs w:val="19"/>
                <w:lang w:val="en-US"/>
              </w:rPr>
              <w:t>Use i</w:t>
            </w:r>
            <w:r w:rsidRPr="008F1FC7">
              <w:rPr>
                <w:rFonts w:cs="Arial"/>
                <w:szCs w:val="19"/>
                <w:lang w:val="en-US"/>
              </w:rPr>
              <w:t xml:space="preserve">n combination with pemetrexed and platinum-based chemotherapy for the first-line treatment of adults with advanced </w:t>
            </w:r>
            <w:r>
              <w:rPr>
                <w:rFonts w:cs="Arial"/>
                <w:szCs w:val="19"/>
                <w:lang w:val="en-US"/>
              </w:rPr>
              <w:t>non-small cell lung cancer</w:t>
            </w:r>
            <w:r w:rsidRPr="008F1FC7">
              <w:rPr>
                <w:rFonts w:cs="Arial"/>
                <w:szCs w:val="19"/>
                <w:lang w:val="en-US"/>
              </w:rPr>
              <w:t xml:space="preserve"> whose tumours have EGFR exon 19 deletions or exon 21 (L858R) substitution mutations</w:t>
            </w:r>
            <w:r>
              <w:rPr>
                <w:rFonts w:cs="Arial"/>
                <w:szCs w:val="19"/>
                <w:lang w:val="en-US"/>
              </w:rPr>
              <w:t xml:space="preserve"> </w:t>
            </w:r>
            <w:r w:rsidRPr="00A806C6">
              <w:rPr>
                <w:rFonts w:cs="Arial"/>
                <w:sz w:val="16"/>
                <w:szCs w:val="16"/>
                <w:lang w:val="en-US"/>
              </w:rPr>
              <w:t>[new indication]</w:t>
            </w:r>
          </w:p>
        </w:tc>
      </w:tr>
      <w:tr w:rsidR="00E73F99" w14:paraId="5C46521C" w14:textId="77777777" w:rsidTr="0089628D">
        <w:tc>
          <w:tcPr>
            <w:tcW w:w="1293" w:type="pct"/>
            <w:shd w:val="clear" w:color="auto" w:fill="auto"/>
            <w:tcMar>
              <w:top w:w="57" w:type="dxa"/>
              <w:left w:w="170" w:type="dxa"/>
              <w:bottom w:w="57" w:type="dxa"/>
              <w:right w:w="170" w:type="dxa"/>
            </w:tcMar>
          </w:tcPr>
          <w:p w14:paraId="569FBF4D" w14:textId="77777777" w:rsidR="00E73F99" w:rsidRDefault="00E73F99" w:rsidP="00E73F99">
            <w:pPr>
              <w:rPr>
                <w:rFonts w:cs="Arial"/>
                <w:szCs w:val="19"/>
              </w:rPr>
            </w:pPr>
            <w:r>
              <w:rPr>
                <w:rFonts w:cs="Arial"/>
                <w:szCs w:val="19"/>
              </w:rPr>
              <w:t>Posaconazole (</w:t>
            </w:r>
            <w:r w:rsidRPr="001B10B5">
              <w:rPr>
                <w:rFonts w:cs="Arial"/>
                <w:i/>
                <w:iCs/>
                <w:szCs w:val="19"/>
              </w:rPr>
              <w:t>Noxafil</w:t>
            </w:r>
            <w:r>
              <w:rPr>
                <w:rFonts w:cs="Arial"/>
                <w:szCs w:val="19"/>
              </w:rPr>
              <w:t>)</w:t>
            </w:r>
          </w:p>
          <w:p w14:paraId="0477772F" w14:textId="497AE05D" w:rsidR="00E73F99" w:rsidRPr="00107F6F" w:rsidRDefault="00E73F99" w:rsidP="00E73F99">
            <w:pPr>
              <w:rPr>
                <w:rFonts w:cs="Arial"/>
                <w:szCs w:val="19"/>
              </w:rPr>
            </w:pPr>
            <w:r w:rsidRPr="004E4415">
              <w:rPr>
                <w:rFonts w:cs="Arial"/>
                <w:sz w:val="16"/>
                <w:szCs w:val="16"/>
              </w:rPr>
              <w:t>300mg sachet</w:t>
            </w:r>
            <w:r>
              <w:rPr>
                <w:rFonts w:cs="Arial"/>
                <w:sz w:val="16"/>
                <w:szCs w:val="16"/>
              </w:rPr>
              <w:t xml:space="preserve"> (in a kit containing 8 sachets with 473mL solvent bottle, bottle adapter, mixing cup and syringes) </w:t>
            </w:r>
          </w:p>
        </w:tc>
        <w:tc>
          <w:tcPr>
            <w:tcW w:w="3707" w:type="pct"/>
            <w:shd w:val="clear" w:color="auto" w:fill="auto"/>
            <w:tcMar>
              <w:top w:w="57" w:type="dxa"/>
              <w:left w:w="170" w:type="dxa"/>
              <w:bottom w:w="57" w:type="dxa"/>
              <w:right w:w="170" w:type="dxa"/>
            </w:tcMar>
          </w:tcPr>
          <w:p w14:paraId="7623F3A1" w14:textId="09FE1F23" w:rsidR="00E73F99" w:rsidRDefault="00E73F99" w:rsidP="00E73F99">
            <w:pPr>
              <w:tabs>
                <w:tab w:val="center" w:pos="3152"/>
              </w:tabs>
              <w:rPr>
                <w:rFonts w:cs="Arial"/>
                <w:szCs w:val="19"/>
                <w:lang w:val="en-US"/>
              </w:rPr>
            </w:pPr>
            <w:r w:rsidRPr="00435A17">
              <w:rPr>
                <w:rFonts w:cs="Arial"/>
                <w:szCs w:val="19"/>
                <w:lang w:val="en-US"/>
              </w:rPr>
              <w:t xml:space="preserve">Use in the treatment of the following fungal infections in paediatric patients aged ≥2 years: Invasive aspergillosis in patients with disease that is refractory to amphotericin B or itraconazole or in patients who are intolerant of these medicinal products; Fusariosis in patients with disease that is refractory to amphotericin B or in patients who are intolerant of amphotericin B; Chromoblastomycosis and mycetoma in patients with disease that is refractory to itraconazole or in patients who are intolerant of itraconazole; Coccidioidomycosis in patients with disease that is refractory to amphotericin B, itraconazole or fluconazole or in patients who are intolerant of these medicinal products. Also for prophylaxis of invasive fungal infections in the following paediatric patients aged ≥2 years: </w:t>
            </w:r>
            <w:r w:rsidRPr="00256F61">
              <w:rPr>
                <w:rFonts w:cs="Arial"/>
                <w:szCs w:val="19"/>
                <w:lang w:val="en-US"/>
              </w:rPr>
              <w:t xml:space="preserve">Patients receiving remission-induction chemotherapy for acute myelogenous leukaemia or myelodysplastic syndromes expected to result in prolonged neutropenia and who are at high-risk of developing invasive fungal infections; Haematopoietic stem cell transplant recipients who are undergoing high-dose immunosuppressive therapy for graft versus host disease and who are at high-risk of developing invasive fungal infections </w:t>
            </w:r>
            <w:r w:rsidRPr="00256F61">
              <w:rPr>
                <w:rFonts w:cs="Arial"/>
                <w:sz w:val="16"/>
                <w:szCs w:val="16"/>
                <w:lang w:val="en-US"/>
              </w:rPr>
              <w:t>[new gastro-resistant powder and solvent for oral suspension formulation]</w:t>
            </w:r>
          </w:p>
        </w:tc>
      </w:tr>
      <w:tr w:rsidR="00E73F99" w14:paraId="3C72184A" w14:textId="77777777" w:rsidTr="0089628D">
        <w:tc>
          <w:tcPr>
            <w:tcW w:w="1293" w:type="pct"/>
            <w:shd w:val="clear" w:color="auto" w:fill="auto"/>
            <w:tcMar>
              <w:top w:w="57" w:type="dxa"/>
              <w:left w:w="170" w:type="dxa"/>
              <w:bottom w:w="57" w:type="dxa"/>
              <w:right w:w="170" w:type="dxa"/>
            </w:tcMar>
          </w:tcPr>
          <w:p w14:paraId="28956BDA" w14:textId="6A841303" w:rsidR="00E73F99" w:rsidRDefault="00E73F99" w:rsidP="00E73F99">
            <w:pPr>
              <w:rPr>
                <w:rFonts w:cs="Arial"/>
                <w:szCs w:val="19"/>
              </w:rPr>
            </w:pPr>
            <w:r w:rsidRPr="00107F6F">
              <w:rPr>
                <w:rFonts w:cs="Arial"/>
                <w:szCs w:val="19"/>
              </w:rPr>
              <w:t>Relugolix + estradiol + norethisterone </w:t>
            </w:r>
            <w:r>
              <w:rPr>
                <w:rFonts w:cs="Arial"/>
                <w:szCs w:val="19"/>
              </w:rPr>
              <w:t>(</w:t>
            </w:r>
            <w:r>
              <w:rPr>
                <w:rFonts w:cs="Arial"/>
                <w:i/>
                <w:iCs/>
                <w:szCs w:val="19"/>
              </w:rPr>
              <w:t>Ryeqo</w:t>
            </w:r>
            <w:r>
              <w:rPr>
                <w:rFonts w:cs="Arial"/>
                <w:szCs w:val="19"/>
              </w:rPr>
              <w:t>)</w:t>
            </w:r>
            <w:r>
              <w:t xml:space="preserve"> </w:t>
            </w:r>
            <w:r w:rsidRPr="00227C63">
              <w:rPr>
                <w:rFonts w:cs="Arial"/>
                <w:sz w:val="16"/>
                <w:szCs w:val="16"/>
              </w:rPr>
              <w:t>40mg/1mg/0.5mg tablet</w:t>
            </w:r>
          </w:p>
        </w:tc>
        <w:tc>
          <w:tcPr>
            <w:tcW w:w="3707" w:type="pct"/>
            <w:shd w:val="clear" w:color="auto" w:fill="auto"/>
            <w:tcMar>
              <w:top w:w="57" w:type="dxa"/>
              <w:left w:w="170" w:type="dxa"/>
              <w:bottom w:w="57" w:type="dxa"/>
              <w:right w:w="170" w:type="dxa"/>
            </w:tcMar>
          </w:tcPr>
          <w:p w14:paraId="0757555A" w14:textId="67DA5C17" w:rsidR="00E73F99" w:rsidRPr="00515C7D" w:rsidRDefault="00E73F99" w:rsidP="00E73F99">
            <w:pPr>
              <w:tabs>
                <w:tab w:val="center" w:pos="3152"/>
              </w:tabs>
              <w:rPr>
                <w:rFonts w:cs="Arial"/>
                <w:szCs w:val="19"/>
                <w:lang w:val="en-US"/>
              </w:rPr>
            </w:pPr>
            <w:r>
              <w:rPr>
                <w:rFonts w:cs="Arial"/>
                <w:szCs w:val="19"/>
                <w:lang w:val="en-US"/>
              </w:rPr>
              <w:t xml:space="preserve">Use </w:t>
            </w:r>
            <w:r w:rsidRPr="00107F6F">
              <w:rPr>
                <w:rFonts w:cs="Arial"/>
                <w:szCs w:val="19"/>
                <w:lang w:val="en-US"/>
              </w:rPr>
              <w:t>in adult women of reproductive age for symptomatic treatment of endometriosis in women with a history of previous medical or surgical treatment for their endometriosis</w:t>
            </w:r>
            <w:r>
              <w:rPr>
                <w:rFonts w:cs="Arial"/>
                <w:szCs w:val="19"/>
                <w:lang w:val="en-US"/>
              </w:rPr>
              <w:t xml:space="preserve"> </w:t>
            </w:r>
            <w:r w:rsidRPr="00107F6F">
              <w:rPr>
                <w:rFonts w:cs="Arial"/>
                <w:sz w:val="16"/>
                <w:szCs w:val="16"/>
                <w:lang w:val="en-US"/>
              </w:rPr>
              <w:t>[new indication]</w:t>
            </w:r>
          </w:p>
        </w:tc>
      </w:tr>
      <w:tr w:rsidR="00E73F99" w14:paraId="0EB2D8D1" w14:textId="77777777" w:rsidTr="0089628D">
        <w:tc>
          <w:tcPr>
            <w:tcW w:w="1293" w:type="pct"/>
            <w:shd w:val="clear" w:color="auto" w:fill="auto"/>
            <w:tcMar>
              <w:top w:w="57" w:type="dxa"/>
              <w:left w:w="170" w:type="dxa"/>
              <w:bottom w:w="57" w:type="dxa"/>
              <w:right w:w="170" w:type="dxa"/>
            </w:tcMar>
          </w:tcPr>
          <w:p w14:paraId="3BA7ED66" w14:textId="77777777" w:rsidR="00E73F99" w:rsidRDefault="00E73F99" w:rsidP="00E73F99">
            <w:pPr>
              <w:rPr>
                <w:rFonts w:cs="Arial"/>
                <w:szCs w:val="19"/>
              </w:rPr>
            </w:pPr>
            <w:r>
              <w:rPr>
                <w:rFonts w:cs="Arial"/>
                <w:szCs w:val="19"/>
              </w:rPr>
              <w:t>Risankizumab (</w:t>
            </w:r>
            <w:r>
              <w:rPr>
                <w:rFonts w:cs="Arial"/>
                <w:i/>
                <w:iCs/>
                <w:szCs w:val="19"/>
              </w:rPr>
              <w:t>Skyrizi</w:t>
            </w:r>
            <w:r>
              <w:rPr>
                <w:rFonts w:cs="Arial"/>
                <w:szCs w:val="19"/>
              </w:rPr>
              <w:t>)</w:t>
            </w:r>
          </w:p>
          <w:p w14:paraId="35B99448" w14:textId="344B40D7" w:rsidR="00E73F99" w:rsidRPr="000131A0" w:rsidRDefault="00E73F99" w:rsidP="00E73F99">
            <w:pPr>
              <w:rPr>
                <w:rFonts w:cs="Arial"/>
                <w:szCs w:val="19"/>
              </w:rPr>
            </w:pPr>
            <w:r w:rsidRPr="003F7448">
              <w:rPr>
                <w:rFonts w:cs="Arial"/>
                <w:sz w:val="16"/>
                <w:szCs w:val="16"/>
              </w:rPr>
              <w:t>180mg in 1.2mL cartridge with on-body injector</w:t>
            </w:r>
          </w:p>
        </w:tc>
        <w:tc>
          <w:tcPr>
            <w:tcW w:w="3707" w:type="pct"/>
            <w:shd w:val="clear" w:color="auto" w:fill="auto"/>
            <w:tcMar>
              <w:top w:w="57" w:type="dxa"/>
              <w:left w:w="170" w:type="dxa"/>
              <w:bottom w:w="57" w:type="dxa"/>
              <w:right w:w="170" w:type="dxa"/>
            </w:tcMar>
          </w:tcPr>
          <w:p w14:paraId="2B7A5245" w14:textId="15DBFC75" w:rsidR="00E73F99" w:rsidRDefault="00E73F99" w:rsidP="00E73F99">
            <w:pPr>
              <w:tabs>
                <w:tab w:val="center" w:pos="3152"/>
              </w:tabs>
              <w:rPr>
                <w:rFonts w:cs="Arial"/>
                <w:szCs w:val="19"/>
                <w:lang w:val="en-US"/>
              </w:rPr>
            </w:pPr>
            <w:r w:rsidRPr="00515C7D">
              <w:rPr>
                <w:rFonts w:cs="Arial"/>
                <w:szCs w:val="19"/>
                <w:lang w:val="en-US"/>
              </w:rPr>
              <w:t xml:space="preserve">Treatment of patients </w:t>
            </w:r>
            <w:r>
              <w:rPr>
                <w:rFonts w:cs="Arial"/>
                <w:szCs w:val="19"/>
                <w:lang w:val="en-US"/>
              </w:rPr>
              <w:t>aged ≥</w:t>
            </w:r>
            <w:r w:rsidRPr="00515C7D">
              <w:rPr>
                <w:rFonts w:cs="Arial"/>
                <w:szCs w:val="19"/>
                <w:lang w:val="en-US"/>
              </w:rPr>
              <w:t>16 years with moderately to severely active Crohn's disease who have had an inadequate response to, lost response to, or were intolerant to conventional therapy or a biologic therapy, or if such therapies are not advisable</w:t>
            </w:r>
            <w:r>
              <w:rPr>
                <w:rFonts w:cs="Arial"/>
                <w:szCs w:val="19"/>
                <w:lang w:val="en-US"/>
              </w:rPr>
              <w:t>, and tr</w:t>
            </w:r>
            <w:r w:rsidRPr="003D7028">
              <w:rPr>
                <w:rFonts w:cs="Arial"/>
                <w:szCs w:val="19"/>
                <w:lang w:val="en-US"/>
              </w:rPr>
              <w:t xml:space="preserve">eatment of adults with moderately to severely active ulcerative colitis </w:t>
            </w:r>
            <w:r>
              <w:rPr>
                <w:rFonts w:cs="Arial"/>
                <w:szCs w:val="19"/>
                <w:lang w:val="en-US"/>
              </w:rPr>
              <w:t xml:space="preserve">(UC) </w:t>
            </w:r>
            <w:r w:rsidRPr="003D7028">
              <w:rPr>
                <w:rFonts w:cs="Arial"/>
                <w:szCs w:val="19"/>
                <w:lang w:val="en-US"/>
              </w:rPr>
              <w:t>who have had an inadequate response to, lost response to, or were intolerant to conventional therapy or a biologic therapy</w:t>
            </w:r>
            <w:r w:rsidRPr="00A806C6">
              <w:rPr>
                <w:rFonts w:cs="Arial"/>
                <w:sz w:val="16"/>
                <w:szCs w:val="16"/>
                <w:lang w:val="en-US"/>
              </w:rPr>
              <w:t xml:space="preserve"> [new </w:t>
            </w:r>
            <w:r>
              <w:rPr>
                <w:rFonts w:cs="Arial"/>
                <w:sz w:val="16"/>
                <w:szCs w:val="16"/>
                <w:lang w:val="en-US"/>
              </w:rPr>
              <w:t>subcutaneous formulation including with new UC indi</w:t>
            </w:r>
            <w:r w:rsidRPr="00A806C6">
              <w:rPr>
                <w:rFonts w:cs="Arial"/>
                <w:sz w:val="16"/>
                <w:szCs w:val="16"/>
                <w:lang w:val="en-US"/>
              </w:rPr>
              <w:t>cation]</w:t>
            </w:r>
          </w:p>
        </w:tc>
      </w:tr>
      <w:tr w:rsidR="00E73F99" w14:paraId="12ED9080" w14:textId="77777777" w:rsidTr="0089628D">
        <w:tc>
          <w:tcPr>
            <w:tcW w:w="1293" w:type="pct"/>
            <w:shd w:val="clear" w:color="auto" w:fill="auto"/>
            <w:tcMar>
              <w:top w:w="57" w:type="dxa"/>
              <w:left w:w="170" w:type="dxa"/>
              <w:bottom w:w="57" w:type="dxa"/>
              <w:right w:w="170" w:type="dxa"/>
            </w:tcMar>
          </w:tcPr>
          <w:p w14:paraId="7B43393D" w14:textId="77777777" w:rsidR="00E73F99" w:rsidRDefault="00E73F99" w:rsidP="00E73F99">
            <w:pPr>
              <w:rPr>
                <w:rFonts w:cs="Arial"/>
                <w:szCs w:val="19"/>
              </w:rPr>
            </w:pPr>
            <w:r w:rsidRPr="000131A0">
              <w:rPr>
                <w:rFonts w:cs="Arial"/>
                <w:szCs w:val="19"/>
              </w:rPr>
              <w:t>Rozanolixizumab</w:t>
            </w:r>
            <w:r>
              <w:rPr>
                <w:rFonts w:cs="Arial"/>
                <w:szCs w:val="19"/>
              </w:rPr>
              <w:t xml:space="preserve"> (</w:t>
            </w:r>
            <w:r>
              <w:rPr>
                <w:rFonts w:cs="Arial"/>
                <w:i/>
                <w:iCs/>
                <w:szCs w:val="19"/>
              </w:rPr>
              <w:t>Rystiggo</w:t>
            </w:r>
            <w:r>
              <w:rPr>
                <w:rFonts w:cs="Arial"/>
                <w:szCs w:val="19"/>
              </w:rPr>
              <w:t xml:space="preserve">) </w:t>
            </w:r>
          </w:p>
          <w:p w14:paraId="42CF434F" w14:textId="5CF7D77D" w:rsidR="00E73F99" w:rsidRPr="002E683D" w:rsidRDefault="00E73F99" w:rsidP="00E73F99">
            <w:r w:rsidRPr="00F43B15">
              <w:rPr>
                <w:rFonts w:cs="Arial"/>
                <w:sz w:val="16"/>
                <w:szCs w:val="16"/>
              </w:rPr>
              <w:t>280mg in 2mL vial</w:t>
            </w:r>
          </w:p>
        </w:tc>
        <w:tc>
          <w:tcPr>
            <w:tcW w:w="3707" w:type="pct"/>
            <w:shd w:val="clear" w:color="auto" w:fill="auto"/>
            <w:tcMar>
              <w:top w:w="57" w:type="dxa"/>
              <w:left w:w="170" w:type="dxa"/>
              <w:bottom w:w="57" w:type="dxa"/>
              <w:right w:w="170" w:type="dxa"/>
            </w:tcMar>
          </w:tcPr>
          <w:p w14:paraId="2456043E" w14:textId="2B12B9D7" w:rsidR="00E73F99" w:rsidRPr="002E683D" w:rsidRDefault="00E73F99" w:rsidP="00E73F99">
            <w:pPr>
              <w:tabs>
                <w:tab w:val="center" w:pos="3152"/>
              </w:tabs>
              <w:rPr>
                <w:rFonts w:cs="Arial"/>
                <w:szCs w:val="19"/>
                <w:lang w:val="en-US"/>
              </w:rPr>
            </w:pPr>
            <w:r>
              <w:rPr>
                <w:rFonts w:cs="Arial"/>
                <w:szCs w:val="19"/>
                <w:lang w:val="en-US"/>
              </w:rPr>
              <w:t xml:space="preserve">Use </w:t>
            </w:r>
            <w:r w:rsidRPr="000131A0">
              <w:rPr>
                <w:rFonts w:cs="Arial"/>
                <w:szCs w:val="19"/>
                <w:lang w:val="en-US"/>
              </w:rPr>
              <w:t>as an add-on to standard therapy for treatment of generalised myasthenia gravis in adults who are anti-acetylcholine receptor or anti-muscle-specific tyrosine kinase antibody positive</w:t>
            </w:r>
          </w:p>
        </w:tc>
      </w:tr>
      <w:tr w:rsidR="00E73F99" w14:paraId="6A33F820" w14:textId="77777777" w:rsidTr="0089628D">
        <w:tc>
          <w:tcPr>
            <w:tcW w:w="1293" w:type="pct"/>
            <w:shd w:val="clear" w:color="auto" w:fill="auto"/>
            <w:tcMar>
              <w:top w:w="57" w:type="dxa"/>
              <w:left w:w="170" w:type="dxa"/>
              <w:bottom w:w="57" w:type="dxa"/>
              <w:right w:w="170" w:type="dxa"/>
            </w:tcMar>
          </w:tcPr>
          <w:p w14:paraId="3ECD2709" w14:textId="0870485F" w:rsidR="00E73F99" w:rsidRPr="002E683D" w:rsidRDefault="00E73F99" w:rsidP="00E73F99">
            <w:r>
              <w:rPr>
                <w:rFonts w:cs="Arial"/>
                <w:szCs w:val="19"/>
              </w:rPr>
              <w:t>S</w:t>
            </w:r>
            <w:r w:rsidRPr="001B7829">
              <w:rPr>
                <w:rFonts w:cs="Arial"/>
                <w:szCs w:val="19"/>
              </w:rPr>
              <w:t>ofosbuvir + velpatasvir + voxilaprevir</w:t>
            </w:r>
            <w:r>
              <w:rPr>
                <w:rFonts w:cs="Arial"/>
                <w:szCs w:val="19"/>
              </w:rPr>
              <w:t xml:space="preserve"> (</w:t>
            </w:r>
            <w:r>
              <w:rPr>
                <w:rFonts w:cs="Arial"/>
                <w:i/>
                <w:iCs/>
                <w:szCs w:val="19"/>
              </w:rPr>
              <w:t>Vosevi</w:t>
            </w:r>
            <w:r>
              <w:rPr>
                <w:rFonts w:cs="Arial"/>
                <w:szCs w:val="19"/>
              </w:rPr>
              <w:t>)</w:t>
            </w:r>
            <w:r>
              <w:t xml:space="preserve"> </w:t>
            </w:r>
            <w:r w:rsidRPr="0037040F">
              <w:rPr>
                <w:rFonts w:cs="Arial"/>
                <w:sz w:val="16"/>
                <w:szCs w:val="16"/>
              </w:rPr>
              <w:t>200mg/50mg/50mg tablet</w:t>
            </w:r>
          </w:p>
        </w:tc>
        <w:tc>
          <w:tcPr>
            <w:tcW w:w="3707" w:type="pct"/>
            <w:shd w:val="clear" w:color="auto" w:fill="auto"/>
            <w:tcMar>
              <w:top w:w="57" w:type="dxa"/>
              <w:left w:w="170" w:type="dxa"/>
              <w:bottom w:w="57" w:type="dxa"/>
              <w:right w:w="170" w:type="dxa"/>
            </w:tcMar>
          </w:tcPr>
          <w:p w14:paraId="5F5F685F" w14:textId="56952121" w:rsidR="00E73F99" w:rsidRPr="002E683D" w:rsidRDefault="00E73F99" w:rsidP="00E73F99">
            <w:pPr>
              <w:tabs>
                <w:tab w:val="center" w:pos="3152"/>
              </w:tabs>
              <w:rPr>
                <w:rFonts w:cs="Arial"/>
                <w:szCs w:val="19"/>
                <w:lang w:val="en-US"/>
              </w:rPr>
            </w:pPr>
            <w:r w:rsidRPr="001B7829">
              <w:rPr>
                <w:rFonts w:cs="Arial"/>
                <w:szCs w:val="19"/>
                <w:lang w:val="en-US"/>
              </w:rPr>
              <w:t xml:space="preserve">Treatment of chronic hepatitis C virus infection in patients aged </w:t>
            </w:r>
            <w:r>
              <w:rPr>
                <w:rFonts w:cs="Arial"/>
                <w:szCs w:val="19"/>
                <w:lang w:val="en-US"/>
              </w:rPr>
              <w:t>≥</w:t>
            </w:r>
            <w:r w:rsidRPr="001B7829">
              <w:rPr>
                <w:rFonts w:cs="Arial"/>
                <w:szCs w:val="19"/>
                <w:lang w:val="en-US"/>
              </w:rPr>
              <w:t xml:space="preserve">12 years </w:t>
            </w:r>
            <w:r>
              <w:rPr>
                <w:rFonts w:cs="Arial"/>
                <w:szCs w:val="19"/>
                <w:lang w:val="en-US"/>
              </w:rPr>
              <w:t>and</w:t>
            </w:r>
            <w:r w:rsidRPr="001B7829">
              <w:rPr>
                <w:rFonts w:cs="Arial"/>
                <w:szCs w:val="19"/>
                <w:lang w:val="en-US"/>
              </w:rPr>
              <w:t xml:space="preserve"> weighing </w:t>
            </w:r>
            <w:r>
              <w:rPr>
                <w:rFonts w:cs="Arial"/>
                <w:szCs w:val="19"/>
                <w:lang w:val="en-US"/>
              </w:rPr>
              <w:t>≥</w:t>
            </w:r>
            <w:r w:rsidRPr="001B7829">
              <w:rPr>
                <w:rFonts w:cs="Arial"/>
                <w:szCs w:val="19"/>
                <w:lang w:val="en-US"/>
              </w:rPr>
              <w:t>30kg</w:t>
            </w:r>
            <w:r>
              <w:rPr>
                <w:rFonts w:cs="Arial"/>
                <w:szCs w:val="19"/>
                <w:lang w:val="en-US"/>
              </w:rPr>
              <w:t xml:space="preserve"> </w:t>
            </w:r>
            <w:r w:rsidRPr="001B7829">
              <w:rPr>
                <w:rFonts w:cs="Arial"/>
                <w:sz w:val="16"/>
                <w:szCs w:val="16"/>
                <w:lang w:val="en-US"/>
              </w:rPr>
              <w:t>[new low-strength formulation]</w:t>
            </w:r>
          </w:p>
        </w:tc>
      </w:tr>
      <w:tr w:rsidR="00E73F99" w14:paraId="763B7A93" w14:textId="77777777" w:rsidTr="0089628D">
        <w:tc>
          <w:tcPr>
            <w:tcW w:w="1293" w:type="pct"/>
            <w:shd w:val="clear" w:color="auto" w:fill="auto"/>
            <w:tcMar>
              <w:top w:w="57" w:type="dxa"/>
              <w:left w:w="170" w:type="dxa"/>
              <w:bottom w:w="57" w:type="dxa"/>
              <w:right w:w="170" w:type="dxa"/>
            </w:tcMar>
          </w:tcPr>
          <w:p w14:paraId="48747BC7" w14:textId="51492B5E" w:rsidR="00E73F99" w:rsidRPr="001B7829" w:rsidRDefault="00E73F99" w:rsidP="00E73F99">
            <w:pPr>
              <w:rPr>
                <w:rFonts w:cs="Arial"/>
                <w:szCs w:val="19"/>
              </w:rPr>
            </w:pPr>
            <w:r w:rsidRPr="002E683D">
              <w:t>Talazoparib</w:t>
            </w:r>
            <w:r>
              <w:t xml:space="preserve"> (</w:t>
            </w:r>
            <w:r>
              <w:rPr>
                <w:i/>
                <w:iCs/>
              </w:rPr>
              <w:t>Talzenna</w:t>
            </w:r>
            <w:r>
              <w:t xml:space="preserve">) </w:t>
            </w:r>
            <w:r w:rsidRPr="002E683D">
              <w:rPr>
                <w:sz w:val="16"/>
                <w:szCs w:val="20"/>
              </w:rPr>
              <w:t>100microgram capsule</w:t>
            </w:r>
          </w:p>
        </w:tc>
        <w:tc>
          <w:tcPr>
            <w:tcW w:w="3707" w:type="pct"/>
            <w:shd w:val="clear" w:color="auto" w:fill="auto"/>
            <w:tcMar>
              <w:top w:w="57" w:type="dxa"/>
              <w:left w:w="170" w:type="dxa"/>
              <w:bottom w:w="57" w:type="dxa"/>
              <w:right w:w="170" w:type="dxa"/>
            </w:tcMar>
          </w:tcPr>
          <w:p w14:paraId="37BD5A3C" w14:textId="6CC57754" w:rsidR="00E73F99" w:rsidRDefault="00E73F99" w:rsidP="00E73F99">
            <w:pPr>
              <w:tabs>
                <w:tab w:val="center" w:pos="3152"/>
              </w:tabs>
              <w:rPr>
                <w:rFonts w:cs="Arial"/>
                <w:szCs w:val="19"/>
                <w:lang w:val="en-US"/>
              </w:rPr>
            </w:pPr>
            <w:r w:rsidRPr="002E683D">
              <w:rPr>
                <w:rFonts w:cs="Arial"/>
                <w:szCs w:val="19"/>
                <w:lang w:val="en-US"/>
              </w:rPr>
              <w:t>For use as monotherapy for the treatment of adults with germline BRCA1/2-mutations, who have HER2-negative locally advanced or metastatic breast cancer. Patients should have been previously treated with an anthracycline and/or a taxane in the (neo)adjuvant, locally advanced or metastatic setting unless patients were not suitable for these treatments. Patients with hormone receptor-positive breast cancer should have been treated with a prior endocrine-based therap</w:t>
            </w:r>
            <w:r>
              <w:rPr>
                <w:rFonts w:cs="Arial"/>
                <w:szCs w:val="19"/>
                <w:lang w:val="en-US"/>
              </w:rPr>
              <w:t>y</w:t>
            </w:r>
            <w:r w:rsidRPr="002E683D">
              <w:rPr>
                <w:rFonts w:cs="Arial"/>
                <w:szCs w:val="19"/>
                <w:lang w:val="en-US"/>
              </w:rPr>
              <w:t>,</w:t>
            </w:r>
            <w:r>
              <w:rPr>
                <w:rFonts w:cs="Arial"/>
                <w:szCs w:val="19"/>
                <w:lang w:val="en-US"/>
              </w:rPr>
              <w:t xml:space="preserve"> </w:t>
            </w:r>
            <w:r w:rsidRPr="002E683D">
              <w:rPr>
                <w:rFonts w:cs="Arial"/>
                <w:szCs w:val="19"/>
                <w:lang w:val="en-US"/>
              </w:rPr>
              <w:t>or be considered unsuitable for endocrine-based therapy. Also for use in combination with enzalutamide for the treatment of adults with metastatic castration-resistant prostate cancer in whom chemotherapy is not clinically indicated</w:t>
            </w:r>
            <w:r>
              <w:rPr>
                <w:rFonts w:cs="Arial"/>
                <w:szCs w:val="19"/>
                <w:lang w:val="en-US"/>
              </w:rPr>
              <w:t xml:space="preserve">. </w:t>
            </w:r>
            <w:r w:rsidRPr="00013DED">
              <w:rPr>
                <w:rFonts w:cs="Arial"/>
                <w:sz w:val="16"/>
                <w:szCs w:val="16"/>
                <w:lang w:val="en-US"/>
              </w:rPr>
              <w:t>[new lower strength formulation]</w:t>
            </w:r>
          </w:p>
        </w:tc>
      </w:tr>
      <w:tr w:rsidR="00E73F99" w14:paraId="06EE54D3" w14:textId="77777777" w:rsidTr="0089628D">
        <w:tc>
          <w:tcPr>
            <w:tcW w:w="1293" w:type="pct"/>
            <w:shd w:val="clear" w:color="auto" w:fill="auto"/>
            <w:tcMar>
              <w:top w:w="57" w:type="dxa"/>
              <w:left w:w="170" w:type="dxa"/>
              <w:bottom w:w="57" w:type="dxa"/>
              <w:right w:w="170" w:type="dxa"/>
            </w:tcMar>
          </w:tcPr>
          <w:p w14:paraId="6B3FD0FD" w14:textId="77777777" w:rsidR="00E73F99" w:rsidRDefault="00E73F99" w:rsidP="00E73F99">
            <w:pPr>
              <w:rPr>
                <w:rFonts w:cs="Arial"/>
                <w:szCs w:val="19"/>
              </w:rPr>
            </w:pPr>
            <w:r w:rsidRPr="00BD5C01">
              <w:rPr>
                <w:rFonts w:cs="Arial"/>
                <w:szCs w:val="19"/>
              </w:rPr>
              <w:t>Zolbetuximab</w:t>
            </w:r>
            <w:r>
              <w:rPr>
                <w:rFonts w:cs="Arial"/>
                <w:szCs w:val="19"/>
              </w:rPr>
              <w:t xml:space="preserve"> (</w:t>
            </w:r>
            <w:r>
              <w:rPr>
                <w:rFonts w:cs="Arial"/>
                <w:i/>
                <w:iCs/>
                <w:szCs w:val="19"/>
              </w:rPr>
              <w:t>Vyloy</w:t>
            </w:r>
            <w:r>
              <w:rPr>
                <w:rFonts w:cs="Arial"/>
                <w:szCs w:val="19"/>
              </w:rPr>
              <w:t>)</w:t>
            </w:r>
          </w:p>
          <w:p w14:paraId="0A416AD5" w14:textId="77777777" w:rsidR="00E73F99" w:rsidRPr="00FF5ADC" w:rsidRDefault="00E73F99" w:rsidP="00E73F99">
            <w:pPr>
              <w:rPr>
                <w:rFonts w:cs="Arial"/>
                <w:szCs w:val="19"/>
              </w:rPr>
            </w:pPr>
            <w:r w:rsidRPr="0074196C">
              <w:rPr>
                <w:rFonts w:cs="Arial"/>
                <w:sz w:val="16"/>
                <w:szCs w:val="16"/>
              </w:rPr>
              <w:t>100mg vial</w:t>
            </w:r>
          </w:p>
        </w:tc>
        <w:tc>
          <w:tcPr>
            <w:tcW w:w="3707" w:type="pct"/>
            <w:shd w:val="clear" w:color="auto" w:fill="auto"/>
            <w:tcMar>
              <w:top w:w="57" w:type="dxa"/>
              <w:left w:w="170" w:type="dxa"/>
              <w:bottom w:w="57" w:type="dxa"/>
              <w:right w:w="170" w:type="dxa"/>
            </w:tcMar>
          </w:tcPr>
          <w:p w14:paraId="0AAC16AB" w14:textId="77777777" w:rsidR="00E73F99" w:rsidRDefault="00E73F99" w:rsidP="00E73F99">
            <w:pPr>
              <w:tabs>
                <w:tab w:val="center" w:pos="3152"/>
              </w:tabs>
              <w:rPr>
                <w:rFonts w:cs="Arial"/>
                <w:color w:val="000000"/>
                <w:sz w:val="18"/>
                <w:szCs w:val="18"/>
                <w:lang w:val="en-US"/>
              </w:rPr>
            </w:pPr>
            <w:r>
              <w:rPr>
                <w:rFonts w:cs="Arial"/>
                <w:szCs w:val="19"/>
                <w:lang w:val="en-US"/>
              </w:rPr>
              <w:t xml:space="preserve">Use </w:t>
            </w:r>
            <w:r w:rsidRPr="00BD5C01">
              <w:rPr>
                <w:rFonts w:cs="Arial"/>
                <w:szCs w:val="19"/>
                <w:lang w:val="en-US"/>
              </w:rPr>
              <w:t>in combination with fluoropyrimidine- and platinum-containing chemotherapy, for the first-line treatment of adults with locally advanced unresectable or metastatic HER2</w:t>
            </w:r>
            <w:r w:rsidRPr="00BD5C01">
              <w:rPr>
                <w:rFonts w:ascii="Cambria Math" w:hAnsi="Cambria Math" w:cs="Cambria Math"/>
                <w:szCs w:val="19"/>
                <w:lang w:val="en-US"/>
              </w:rPr>
              <w:t>‑</w:t>
            </w:r>
            <w:r w:rsidRPr="00BD5C01">
              <w:rPr>
                <w:rFonts w:cs="Arial"/>
                <w:szCs w:val="19"/>
                <w:lang w:val="en-US"/>
              </w:rPr>
              <w:t>negative gastric or gastro-oesophageal junction adenocarcinoma whose tumours are Claudin 18.2 positive</w:t>
            </w:r>
          </w:p>
        </w:tc>
      </w:tr>
      <w:tr w:rsidR="00E73F99" w:rsidRPr="00862949" w14:paraId="1D2B5C4E" w14:textId="77777777" w:rsidTr="00482B14">
        <w:tc>
          <w:tcPr>
            <w:tcW w:w="5000" w:type="pct"/>
            <w:gridSpan w:val="2"/>
            <w:shd w:val="clear" w:color="auto" w:fill="auto"/>
            <w:tcMar>
              <w:top w:w="0" w:type="dxa"/>
              <w:bottom w:w="0" w:type="dxa"/>
            </w:tcMar>
          </w:tcPr>
          <w:p w14:paraId="0038C6B2" w14:textId="77777777" w:rsidR="00E73F99" w:rsidRPr="00862949" w:rsidRDefault="00E73F99" w:rsidP="00E73F99">
            <w:pPr>
              <w:rPr>
                <w:rFonts w:cs="Arial"/>
                <w:b/>
                <w:noProof/>
                <w:sz w:val="8"/>
                <w:szCs w:val="8"/>
              </w:rPr>
            </w:pPr>
          </w:p>
        </w:tc>
      </w:tr>
      <w:tr w:rsidR="00E73F99" w:rsidRPr="00862949" w14:paraId="205DB6DD" w14:textId="77777777" w:rsidTr="00482B14">
        <w:tc>
          <w:tcPr>
            <w:tcW w:w="5000" w:type="pct"/>
            <w:gridSpan w:val="2"/>
            <w:shd w:val="clear" w:color="auto" w:fill="DAEEF3"/>
            <w:tcMar>
              <w:top w:w="0" w:type="dxa"/>
              <w:bottom w:w="0" w:type="dxa"/>
            </w:tcMar>
          </w:tcPr>
          <w:p w14:paraId="2380D450" w14:textId="77777777" w:rsidR="00E73F99" w:rsidRPr="00862949" w:rsidRDefault="00E73F99" w:rsidP="00E73F99">
            <w:pPr>
              <w:rPr>
                <w:rFonts w:cs="Arial"/>
                <w:b/>
                <w:i/>
                <w:noProof/>
                <w:sz w:val="8"/>
                <w:szCs w:val="8"/>
              </w:rPr>
            </w:pPr>
          </w:p>
        </w:tc>
      </w:tr>
    </w:tbl>
    <w:p w14:paraId="468792F2" w14:textId="77777777" w:rsidR="00A327AD" w:rsidRDefault="00A327AD"/>
    <w:p w14:paraId="572D19AE" w14:textId="77777777" w:rsidR="00F359DF" w:rsidRDefault="00F359DF"/>
    <w:p w14:paraId="60A88460" w14:textId="77777777" w:rsidR="00BB66BD" w:rsidRDefault="00BB66BD"/>
    <w:p w14:paraId="24471E02" w14:textId="77777777" w:rsidR="00F359DF" w:rsidRDefault="00F359DF"/>
    <w:p w14:paraId="012DDD0D" w14:textId="116B4269" w:rsidR="00E73F99" w:rsidRDefault="00EB3E6F" w:rsidP="001137C8">
      <w:r>
        <w:lastRenderedPageBreak/>
        <w:tab/>
      </w:r>
    </w:p>
    <w:tbl>
      <w:tblPr>
        <w:tblW w:w="5170" w:type="pct"/>
        <w:tblInd w:w="-176" w:type="dxa"/>
        <w:tblLayout w:type="fixed"/>
        <w:tblLook w:val="01E0" w:firstRow="1" w:lastRow="1" w:firstColumn="1" w:lastColumn="1" w:noHBand="0" w:noVBand="0"/>
      </w:tblPr>
      <w:tblGrid>
        <w:gridCol w:w="2431"/>
        <w:gridCol w:w="13"/>
        <w:gridCol w:w="850"/>
        <w:gridCol w:w="7257"/>
      </w:tblGrid>
      <w:tr w:rsidR="005A7E09" w:rsidRPr="00862949" w14:paraId="1F457535" w14:textId="77777777" w:rsidTr="005A7E09">
        <w:tc>
          <w:tcPr>
            <w:tcW w:w="5000" w:type="pct"/>
            <w:gridSpan w:val="4"/>
            <w:shd w:val="clear" w:color="auto" w:fill="0070C0"/>
            <w:tcMar>
              <w:top w:w="85" w:type="dxa"/>
              <w:bottom w:w="85" w:type="dxa"/>
            </w:tcMar>
            <w:vAlign w:val="bottom"/>
          </w:tcPr>
          <w:p w14:paraId="476C42A4"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231DDAC5" w14:textId="77777777" w:rsidTr="005A7E09">
        <w:tc>
          <w:tcPr>
            <w:tcW w:w="5000" w:type="pct"/>
            <w:gridSpan w:val="4"/>
            <w:shd w:val="clear" w:color="auto" w:fill="DAEEF3"/>
            <w:tcMar>
              <w:top w:w="0" w:type="dxa"/>
              <w:bottom w:w="0" w:type="dxa"/>
            </w:tcMar>
          </w:tcPr>
          <w:p w14:paraId="46AE2DBF" w14:textId="77777777" w:rsidR="005A7E09" w:rsidRPr="00862949" w:rsidRDefault="005A7E09" w:rsidP="005A7E09">
            <w:pPr>
              <w:rPr>
                <w:rFonts w:cs="Arial"/>
                <w:b/>
                <w:bCs/>
                <w:i/>
                <w:iCs/>
                <w:color w:val="000000"/>
                <w:sz w:val="8"/>
                <w:szCs w:val="8"/>
                <w:lang w:val="en-US"/>
              </w:rPr>
            </w:pPr>
          </w:p>
        </w:tc>
      </w:tr>
      <w:tr w:rsidR="005A7E09" w:rsidRPr="00862949" w14:paraId="031495F4" w14:textId="77777777" w:rsidTr="005A7E09">
        <w:tc>
          <w:tcPr>
            <w:tcW w:w="5000" w:type="pct"/>
            <w:gridSpan w:val="4"/>
            <w:shd w:val="clear" w:color="auto" w:fill="00B050"/>
            <w:tcMar>
              <w:top w:w="57" w:type="dxa"/>
              <w:bottom w:w="57" w:type="dxa"/>
            </w:tcMar>
          </w:tcPr>
          <w:p w14:paraId="4B5E7E00" w14:textId="2521C10B"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1B10B5" w14:paraId="52B73544" w14:textId="77777777" w:rsidTr="00CF4145">
        <w:tc>
          <w:tcPr>
            <w:tcW w:w="1561" w:type="pct"/>
            <w:gridSpan w:val="3"/>
            <w:shd w:val="clear" w:color="auto" w:fill="auto"/>
            <w:tcMar>
              <w:top w:w="57" w:type="dxa"/>
              <w:bottom w:w="57" w:type="dxa"/>
            </w:tcMar>
          </w:tcPr>
          <w:p w14:paraId="4AC9D306" w14:textId="77777777" w:rsidR="001B10B5" w:rsidRPr="001137C8" w:rsidRDefault="001B10B5" w:rsidP="001B10B5">
            <w:pPr>
              <w:rPr>
                <w:rFonts w:cs="Arial"/>
                <w:color w:val="000000" w:themeColor="text1"/>
                <w:szCs w:val="19"/>
              </w:rPr>
            </w:pPr>
            <w:r w:rsidRPr="001137C8">
              <w:rPr>
                <w:rFonts w:cs="Arial"/>
                <w:color w:val="000000" w:themeColor="text1"/>
                <w:szCs w:val="19"/>
              </w:rPr>
              <w:t>Fruquintinib (</w:t>
            </w:r>
            <w:r w:rsidRPr="001137C8">
              <w:rPr>
                <w:rFonts w:cs="Arial"/>
                <w:i/>
                <w:iCs/>
                <w:color w:val="000000" w:themeColor="text1"/>
                <w:szCs w:val="19"/>
              </w:rPr>
              <w:t>Fruzaqla</w:t>
            </w:r>
            <w:r w:rsidRPr="001137C8">
              <w:rPr>
                <w:rFonts w:cs="Arial"/>
                <w:color w:val="000000" w:themeColor="text1"/>
                <w:szCs w:val="19"/>
              </w:rPr>
              <w:t>)</w:t>
            </w:r>
          </w:p>
          <w:p w14:paraId="2CB02B38" w14:textId="3BB15B7B" w:rsidR="001B10B5" w:rsidRPr="001137C8" w:rsidRDefault="001B10B5" w:rsidP="001B10B5">
            <w:pPr>
              <w:rPr>
                <w:rFonts w:cs="Arial"/>
                <w:color w:val="000000" w:themeColor="text1"/>
                <w:szCs w:val="19"/>
              </w:rPr>
            </w:pPr>
            <w:r w:rsidRPr="001137C8">
              <w:rPr>
                <w:rFonts w:cs="Arial"/>
                <w:color w:val="000000" w:themeColor="text1"/>
                <w:sz w:val="16"/>
                <w:szCs w:val="16"/>
              </w:rPr>
              <w:t>1mg and 5mg capsules</w:t>
            </w:r>
          </w:p>
        </w:tc>
        <w:tc>
          <w:tcPr>
            <w:tcW w:w="3439" w:type="pct"/>
            <w:shd w:val="clear" w:color="auto" w:fill="auto"/>
            <w:tcMar>
              <w:top w:w="57" w:type="dxa"/>
              <w:bottom w:w="57" w:type="dxa"/>
            </w:tcMar>
          </w:tcPr>
          <w:p w14:paraId="5E5D829C" w14:textId="77777777" w:rsidR="001B10B5" w:rsidRDefault="001B10B5" w:rsidP="001B10B5">
            <w:pPr>
              <w:tabs>
                <w:tab w:val="center" w:pos="3152"/>
              </w:tabs>
              <w:rPr>
                <w:rFonts w:cs="Arial"/>
                <w:color w:val="000000" w:themeColor="text1"/>
                <w:szCs w:val="19"/>
                <w:lang w:val="en-US"/>
              </w:rPr>
            </w:pPr>
            <w:r w:rsidRPr="001137C8">
              <w:rPr>
                <w:rFonts w:cs="Arial"/>
                <w:color w:val="000000" w:themeColor="text1"/>
                <w:szCs w:val="19"/>
                <w:lang w:val="en-US"/>
              </w:rPr>
              <w:t>Monotherapy for the treatment of adults with metastatic colorectal cancer who have been previously treated with available standard therapies, including fluoropyrimidine-, oxaliplatin-, and irinotecan</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based chemotherapies, anti</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VEGF agents, and anti</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EGFR agents, and who have progressed on or are intolerant to treatment with either trifluridine</w:t>
            </w:r>
            <w:r w:rsidRPr="001137C8">
              <w:rPr>
                <w:rFonts w:ascii="Cambria Math" w:hAnsi="Cambria Math" w:cs="Cambria Math"/>
                <w:color w:val="000000" w:themeColor="text1"/>
                <w:szCs w:val="19"/>
                <w:lang w:val="en-US"/>
              </w:rPr>
              <w:t>‑</w:t>
            </w:r>
            <w:r w:rsidRPr="001137C8">
              <w:rPr>
                <w:rFonts w:cs="Arial"/>
                <w:color w:val="000000" w:themeColor="text1"/>
                <w:szCs w:val="19"/>
                <w:lang w:val="en-US"/>
              </w:rPr>
              <w:t>tipiracil or regorafenib</w:t>
            </w:r>
          </w:p>
          <w:p w14:paraId="7D76D430" w14:textId="41C8620F" w:rsidR="001137C8" w:rsidRPr="001137C8" w:rsidRDefault="001137C8" w:rsidP="001B10B5">
            <w:pPr>
              <w:tabs>
                <w:tab w:val="center" w:pos="3152"/>
              </w:tabs>
              <w:rPr>
                <w:rFonts w:cs="Arial"/>
                <w:i/>
                <w:iCs/>
                <w:color w:val="000000" w:themeColor="text1"/>
                <w:szCs w:val="19"/>
                <w:lang w:val="en-US"/>
              </w:rPr>
            </w:pPr>
            <w:r w:rsidRPr="001137C8">
              <w:rPr>
                <w:rFonts w:cs="Arial"/>
                <w:i/>
                <w:iCs/>
                <w:color w:val="000000" w:themeColor="text1"/>
                <w:sz w:val="16"/>
                <w:szCs w:val="16"/>
                <w:lang w:val="en-US"/>
              </w:rPr>
              <w:t>Note: Indication and formulation based on EU SmPC</w:t>
            </w:r>
            <w:r>
              <w:rPr>
                <w:rFonts w:cs="Arial"/>
                <w:i/>
                <w:iCs/>
                <w:color w:val="000000" w:themeColor="text1"/>
                <w:sz w:val="16"/>
                <w:szCs w:val="16"/>
                <w:lang w:val="en-US"/>
              </w:rPr>
              <w:t xml:space="preserve"> – </w:t>
            </w:r>
            <w:hyperlink r:id="rId17" w:history="1">
              <w:r w:rsidRPr="001137C8">
                <w:rPr>
                  <w:rStyle w:val="Hyperlink"/>
                  <w:rFonts w:ascii="Arial" w:hAnsi="Arial" w:cs="Arial"/>
                  <w:i/>
                  <w:iCs/>
                  <w:sz w:val="16"/>
                  <w:szCs w:val="16"/>
                  <w:lang w:val="en-US"/>
                </w:rPr>
                <w:t>please check UK SmPC once available</w:t>
              </w:r>
            </w:hyperlink>
          </w:p>
        </w:tc>
      </w:tr>
      <w:tr w:rsidR="001B10B5" w14:paraId="3A894C5B" w14:textId="77777777" w:rsidTr="00CF4145">
        <w:tc>
          <w:tcPr>
            <w:tcW w:w="1561" w:type="pct"/>
            <w:gridSpan w:val="3"/>
            <w:shd w:val="clear" w:color="auto" w:fill="auto"/>
            <w:tcMar>
              <w:top w:w="57" w:type="dxa"/>
              <w:bottom w:w="57" w:type="dxa"/>
            </w:tcMar>
          </w:tcPr>
          <w:p w14:paraId="2C49FE8B" w14:textId="77777777" w:rsidR="001B10B5" w:rsidRDefault="001B10B5" w:rsidP="001B10B5">
            <w:pPr>
              <w:rPr>
                <w:rFonts w:cs="Arial"/>
                <w:szCs w:val="19"/>
              </w:rPr>
            </w:pPr>
            <w:r w:rsidRPr="00631375">
              <w:rPr>
                <w:rFonts w:cs="Arial"/>
                <w:szCs w:val="19"/>
              </w:rPr>
              <w:t>Idecabtagene vicleucel </w:t>
            </w:r>
            <w:r>
              <w:rPr>
                <w:rFonts w:cs="Arial"/>
                <w:szCs w:val="19"/>
              </w:rPr>
              <w:t xml:space="preserve"> </w:t>
            </w:r>
          </w:p>
          <w:p w14:paraId="2DB6DAC9" w14:textId="77777777" w:rsidR="001B10B5" w:rsidRDefault="001B10B5" w:rsidP="001B10B5">
            <w:pPr>
              <w:rPr>
                <w:rFonts w:cs="Arial"/>
                <w:szCs w:val="19"/>
              </w:rPr>
            </w:pPr>
            <w:r>
              <w:rPr>
                <w:rFonts w:cs="Arial"/>
                <w:szCs w:val="19"/>
              </w:rPr>
              <w:t>(</w:t>
            </w:r>
            <w:r w:rsidRPr="00631375">
              <w:rPr>
                <w:rFonts w:cs="Arial"/>
                <w:i/>
                <w:iCs/>
                <w:szCs w:val="19"/>
              </w:rPr>
              <w:t>Abecma</w:t>
            </w:r>
            <w:r>
              <w:rPr>
                <w:rFonts w:cs="Arial"/>
                <w:szCs w:val="19"/>
              </w:rPr>
              <w:t xml:space="preserve">) </w:t>
            </w:r>
          </w:p>
          <w:p w14:paraId="06557972" w14:textId="5AF42503" w:rsidR="001B10B5" w:rsidRDefault="001B10B5" w:rsidP="001B10B5">
            <w:pPr>
              <w:rPr>
                <w:rFonts w:cs="Arial"/>
                <w:szCs w:val="19"/>
              </w:rPr>
            </w:pPr>
            <w:r w:rsidRPr="005D3CDF">
              <w:rPr>
                <w:rFonts w:cs="Arial"/>
                <w:sz w:val="16"/>
                <w:szCs w:val="16"/>
              </w:rPr>
              <w:t>260 to 500 x 10</w:t>
            </w:r>
            <w:r w:rsidRPr="005D3CDF">
              <w:rPr>
                <w:rFonts w:cs="Arial"/>
                <w:sz w:val="16"/>
                <w:szCs w:val="16"/>
                <w:vertAlign w:val="superscript"/>
              </w:rPr>
              <w:t>6</w:t>
            </w:r>
            <w:r w:rsidRPr="005D3CDF">
              <w:rPr>
                <w:rFonts w:cs="Arial"/>
                <w:sz w:val="16"/>
                <w:szCs w:val="16"/>
              </w:rPr>
              <w:t xml:space="preserve"> CAR-positive viable T cells infusion bag</w:t>
            </w:r>
          </w:p>
        </w:tc>
        <w:tc>
          <w:tcPr>
            <w:tcW w:w="3439" w:type="pct"/>
            <w:shd w:val="clear" w:color="auto" w:fill="auto"/>
            <w:tcMar>
              <w:top w:w="57" w:type="dxa"/>
              <w:bottom w:w="57" w:type="dxa"/>
            </w:tcMar>
          </w:tcPr>
          <w:p w14:paraId="1820B9EC" w14:textId="633CD5AE" w:rsidR="001B10B5" w:rsidRPr="00B5296C" w:rsidRDefault="001B10B5" w:rsidP="001B10B5">
            <w:pPr>
              <w:tabs>
                <w:tab w:val="center" w:pos="3152"/>
              </w:tabs>
              <w:rPr>
                <w:rFonts w:cs="Arial"/>
                <w:szCs w:val="19"/>
                <w:lang w:val="en-US"/>
              </w:rPr>
            </w:pPr>
            <w:r w:rsidRPr="00631375">
              <w:rPr>
                <w:rFonts w:cs="Arial"/>
                <w:szCs w:val="19"/>
                <w:lang w:val="en-US"/>
              </w:rPr>
              <w:t>Treatment of adults with relapsed and refractory multiple myeloma who have received at least two prior therapies, including an immunomodulatory agent, a proteasome inhibitor and an anti CD38 antibody and have demonstrated disease progression on the last therapy</w:t>
            </w:r>
            <w:r w:rsidRPr="00631375">
              <w:rPr>
                <w:rFonts w:cs="Arial"/>
                <w:sz w:val="16"/>
                <w:szCs w:val="16"/>
                <w:lang w:val="en-US"/>
              </w:rPr>
              <w:t xml:space="preserve"> [licence change from use only after three prior therapies]</w:t>
            </w:r>
          </w:p>
        </w:tc>
      </w:tr>
      <w:tr w:rsidR="001B10B5" w14:paraId="274E7A2B" w14:textId="77777777" w:rsidTr="00CF4145">
        <w:tc>
          <w:tcPr>
            <w:tcW w:w="1561" w:type="pct"/>
            <w:gridSpan w:val="3"/>
            <w:shd w:val="clear" w:color="auto" w:fill="auto"/>
            <w:tcMar>
              <w:top w:w="57" w:type="dxa"/>
              <w:bottom w:w="57" w:type="dxa"/>
            </w:tcMar>
          </w:tcPr>
          <w:p w14:paraId="3CB2F471" w14:textId="77777777" w:rsidR="001B10B5" w:rsidRDefault="001B10B5" w:rsidP="001B10B5">
            <w:pPr>
              <w:rPr>
                <w:rFonts w:cs="Arial"/>
                <w:szCs w:val="19"/>
              </w:rPr>
            </w:pPr>
            <w:r>
              <w:rPr>
                <w:rFonts w:cs="Arial"/>
                <w:szCs w:val="19"/>
              </w:rPr>
              <w:t>Leniolisib (</w:t>
            </w:r>
            <w:r>
              <w:rPr>
                <w:rFonts w:cs="Arial"/>
                <w:i/>
                <w:iCs/>
                <w:szCs w:val="19"/>
              </w:rPr>
              <w:t>Joenja</w:t>
            </w:r>
            <w:r>
              <w:rPr>
                <w:rFonts w:cs="Arial"/>
                <w:szCs w:val="19"/>
              </w:rPr>
              <w:t>)</w:t>
            </w:r>
          </w:p>
          <w:p w14:paraId="2038D1B9" w14:textId="45AD2EED" w:rsidR="001B10B5" w:rsidRPr="00B5296C" w:rsidRDefault="001B10B5" w:rsidP="001B10B5">
            <w:pPr>
              <w:rPr>
                <w:rFonts w:cs="Arial"/>
                <w:szCs w:val="19"/>
              </w:rPr>
            </w:pPr>
            <w:r w:rsidRPr="00B5296C">
              <w:rPr>
                <w:rFonts w:cs="Arial"/>
                <w:sz w:val="16"/>
                <w:szCs w:val="16"/>
              </w:rPr>
              <w:t>70mg tablet</w:t>
            </w:r>
          </w:p>
        </w:tc>
        <w:tc>
          <w:tcPr>
            <w:tcW w:w="3439" w:type="pct"/>
            <w:shd w:val="clear" w:color="auto" w:fill="auto"/>
            <w:tcMar>
              <w:top w:w="57" w:type="dxa"/>
              <w:bottom w:w="57" w:type="dxa"/>
            </w:tcMar>
          </w:tcPr>
          <w:p w14:paraId="3ED25D34" w14:textId="0F352CBA" w:rsidR="001B10B5" w:rsidRPr="000E5D81" w:rsidRDefault="001B10B5" w:rsidP="001B10B5">
            <w:pPr>
              <w:tabs>
                <w:tab w:val="center" w:pos="3152"/>
              </w:tabs>
              <w:rPr>
                <w:rFonts w:cs="Arial"/>
                <w:szCs w:val="19"/>
                <w:lang w:val="en-US"/>
              </w:rPr>
            </w:pPr>
            <w:r w:rsidRPr="00B5296C">
              <w:rPr>
                <w:rFonts w:cs="Arial"/>
                <w:szCs w:val="19"/>
                <w:lang w:val="en-US"/>
              </w:rPr>
              <w:t xml:space="preserve">Treatment of activated phosphoinositide 3-kinase delta syndrome in adult and paediatric patients </w:t>
            </w:r>
            <w:r>
              <w:rPr>
                <w:rFonts w:cs="Arial"/>
                <w:szCs w:val="19"/>
                <w:lang w:val="en-US"/>
              </w:rPr>
              <w:t>aged ≥</w:t>
            </w:r>
            <w:r w:rsidRPr="00B5296C">
              <w:rPr>
                <w:rFonts w:cs="Arial"/>
                <w:szCs w:val="19"/>
                <w:lang w:val="en-US"/>
              </w:rPr>
              <w:t>12 years</w:t>
            </w:r>
          </w:p>
        </w:tc>
      </w:tr>
      <w:tr w:rsidR="001B10B5" w14:paraId="0BDAD33C" w14:textId="77777777" w:rsidTr="00CF4145">
        <w:tc>
          <w:tcPr>
            <w:tcW w:w="1561" w:type="pct"/>
            <w:gridSpan w:val="3"/>
            <w:shd w:val="clear" w:color="auto" w:fill="auto"/>
            <w:tcMar>
              <w:top w:w="57" w:type="dxa"/>
              <w:bottom w:w="57" w:type="dxa"/>
            </w:tcMar>
          </w:tcPr>
          <w:p w14:paraId="09135565" w14:textId="77777777" w:rsidR="001B10B5" w:rsidRDefault="001B10B5" w:rsidP="001B10B5">
            <w:pPr>
              <w:rPr>
                <w:rFonts w:cs="Arial"/>
                <w:szCs w:val="19"/>
              </w:rPr>
            </w:pPr>
            <w:r w:rsidRPr="000E5D81">
              <w:rPr>
                <w:rFonts w:cs="Arial"/>
                <w:szCs w:val="19"/>
              </w:rPr>
              <w:t>mRNA-1273.167 (</w:t>
            </w:r>
            <w:r w:rsidRPr="000E5D81">
              <w:rPr>
                <w:rFonts w:cs="Arial"/>
                <w:i/>
                <w:iCs/>
                <w:szCs w:val="19"/>
              </w:rPr>
              <w:t>Spikevax JN.1</w:t>
            </w:r>
            <w:r w:rsidRPr="000E5D81">
              <w:rPr>
                <w:rFonts w:cs="Arial"/>
                <w:szCs w:val="19"/>
              </w:rPr>
              <w:t>)</w:t>
            </w:r>
            <w:r>
              <w:rPr>
                <w:rFonts w:cs="Arial"/>
                <w:szCs w:val="19"/>
              </w:rPr>
              <w:t xml:space="preserve"> </w:t>
            </w:r>
          </w:p>
          <w:p w14:paraId="4F1E5DA8" w14:textId="09DEE0B9" w:rsidR="001B10B5" w:rsidRPr="00847590" w:rsidRDefault="001B10B5" w:rsidP="001B10B5">
            <w:pPr>
              <w:rPr>
                <w:rFonts w:cs="Arial"/>
                <w:szCs w:val="19"/>
              </w:rPr>
            </w:pPr>
            <w:r>
              <w:rPr>
                <w:rFonts w:cs="Arial"/>
                <w:sz w:val="16"/>
                <w:szCs w:val="16"/>
              </w:rPr>
              <w:t>S</w:t>
            </w:r>
            <w:r w:rsidRPr="000E5D81">
              <w:rPr>
                <w:rFonts w:cs="Arial"/>
                <w:sz w:val="16"/>
                <w:szCs w:val="16"/>
              </w:rPr>
              <w:t>ingle-dose prefilled syringe</w:t>
            </w:r>
          </w:p>
        </w:tc>
        <w:tc>
          <w:tcPr>
            <w:tcW w:w="3439" w:type="pct"/>
            <w:shd w:val="clear" w:color="auto" w:fill="auto"/>
            <w:tcMar>
              <w:top w:w="57" w:type="dxa"/>
              <w:bottom w:w="57" w:type="dxa"/>
            </w:tcMar>
          </w:tcPr>
          <w:p w14:paraId="5AFBE05A" w14:textId="654D7087" w:rsidR="001B10B5" w:rsidRPr="009B0BCE" w:rsidRDefault="001B10B5" w:rsidP="001B10B5">
            <w:pPr>
              <w:tabs>
                <w:tab w:val="center" w:pos="3152"/>
              </w:tabs>
              <w:rPr>
                <w:rFonts w:cs="Arial"/>
                <w:color w:val="000000"/>
                <w:sz w:val="20"/>
                <w:szCs w:val="18"/>
                <w:lang w:val="en-US"/>
              </w:rPr>
            </w:pPr>
            <w:r w:rsidRPr="000E5D81">
              <w:rPr>
                <w:rFonts w:cs="Arial"/>
                <w:szCs w:val="19"/>
                <w:lang w:val="en-US"/>
              </w:rPr>
              <w:t xml:space="preserve">Active immunisation to prevent COVID-19 caused by SARS-CoV-2 in individuals </w:t>
            </w:r>
            <w:r>
              <w:rPr>
                <w:rFonts w:cs="Arial"/>
                <w:szCs w:val="19"/>
                <w:lang w:val="en-US"/>
              </w:rPr>
              <w:t>aged ≥</w:t>
            </w:r>
            <w:r w:rsidRPr="000E5D81">
              <w:rPr>
                <w:rFonts w:cs="Arial"/>
                <w:szCs w:val="19"/>
                <w:lang w:val="en-US"/>
              </w:rPr>
              <w:t>6 months</w:t>
            </w:r>
          </w:p>
        </w:tc>
      </w:tr>
      <w:tr w:rsidR="001B10B5" w14:paraId="3E24D1F0" w14:textId="77777777" w:rsidTr="00CF4145">
        <w:tc>
          <w:tcPr>
            <w:tcW w:w="1561" w:type="pct"/>
            <w:gridSpan w:val="3"/>
            <w:shd w:val="clear" w:color="auto" w:fill="auto"/>
            <w:tcMar>
              <w:top w:w="57" w:type="dxa"/>
              <w:bottom w:w="57" w:type="dxa"/>
            </w:tcMar>
          </w:tcPr>
          <w:p w14:paraId="0048B3B7" w14:textId="77777777" w:rsidR="001B10B5" w:rsidRDefault="001B10B5" w:rsidP="001B10B5">
            <w:pPr>
              <w:rPr>
                <w:rFonts w:cs="Arial"/>
                <w:szCs w:val="19"/>
              </w:rPr>
            </w:pPr>
            <w:r>
              <w:rPr>
                <w:rFonts w:cs="Arial"/>
                <w:szCs w:val="19"/>
              </w:rPr>
              <w:t>Ustekinumab biosimilar (</w:t>
            </w:r>
            <w:r w:rsidRPr="00BF6704">
              <w:rPr>
                <w:rFonts w:cs="Arial"/>
                <w:i/>
                <w:iCs/>
                <w:szCs w:val="19"/>
              </w:rPr>
              <w:t>Steqeyma</w:t>
            </w:r>
            <w:r>
              <w:rPr>
                <w:rFonts w:cs="Arial"/>
                <w:szCs w:val="19"/>
              </w:rPr>
              <w:t>)</w:t>
            </w:r>
          </w:p>
          <w:p w14:paraId="64E665E8" w14:textId="6F7EEF87" w:rsidR="001B10B5" w:rsidRPr="00BF6704" w:rsidRDefault="001B10B5" w:rsidP="001B10B5">
            <w:pPr>
              <w:rPr>
                <w:rFonts w:cs="Arial"/>
                <w:i/>
                <w:iCs/>
                <w:szCs w:val="19"/>
              </w:rPr>
            </w:pPr>
            <w:r w:rsidRPr="00BF6704">
              <w:rPr>
                <w:rFonts w:cs="Arial"/>
                <w:sz w:val="16"/>
                <w:szCs w:val="16"/>
                <w:lang w:val="en-US"/>
              </w:rPr>
              <w:t>45mg in 0.5mL and 90mg in 1mL prefilled syringe</w:t>
            </w:r>
            <w:r>
              <w:rPr>
                <w:rFonts w:cs="Arial"/>
                <w:sz w:val="16"/>
                <w:szCs w:val="16"/>
                <w:lang w:val="en-US"/>
              </w:rPr>
              <w:t>s</w:t>
            </w:r>
          </w:p>
        </w:tc>
        <w:tc>
          <w:tcPr>
            <w:tcW w:w="3439" w:type="pct"/>
            <w:shd w:val="clear" w:color="auto" w:fill="auto"/>
            <w:tcMar>
              <w:top w:w="57" w:type="dxa"/>
              <w:bottom w:w="57" w:type="dxa"/>
            </w:tcMar>
          </w:tcPr>
          <w:p w14:paraId="75E06F90" w14:textId="21AF95F1" w:rsidR="001B10B5" w:rsidRPr="00A075A3" w:rsidRDefault="001B10B5" w:rsidP="001B10B5">
            <w:pPr>
              <w:tabs>
                <w:tab w:val="center" w:pos="3152"/>
              </w:tabs>
              <w:rPr>
                <w:rFonts w:cs="Arial"/>
                <w:szCs w:val="19"/>
                <w:lang w:val="en-US"/>
              </w:rPr>
            </w:pPr>
            <w:r>
              <w:rPr>
                <w:rFonts w:cs="Arial"/>
                <w:szCs w:val="19"/>
                <w:lang w:val="en-US"/>
              </w:rPr>
              <w:t>T</w:t>
            </w:r>
            <w:r w:rsidRPr="00BF6704">
              <w:rPr>
                <w:rFonts w:cs="Arial"/>
                <w:szCs w:val="19"/>
                <w:lang w:val="en-US"/>
              </w:rPr>
              <w: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w:t>
            </w:r>
            <w:r>
              <w:rPr>
                <w:rFonts w:cs="Arial"/>
                <w:szCs w:val="19"/>
                <w:lang w:val="en-US"/>
              </w:rPr>
              <w:t xml:space="preserve"> aged ≥</w:t>
            </w:r>
            <w:r w:rsidRPr="00BF6704">
              <w:rPr>
                <w:rFonts w:cs="Arial"/>
                <w:szCs w:val="19"/>
                <w:lang w:val="en-US"/>
              </w:rPr>
              <w:t>6 years, who are inadequately controlled by, or are intolerant to, other systemic therapies or phototherapies, use alone or in combination with MTX for the treatment of active psoriatic arthritis in adults when the response to previous non-biological disease-modifying anti-rheumatic drug therapy has been inadequate, and 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1B10B5" w14:paraId="1BFD10AD" w14:textId="77777777" w:rsidTr="00CF4145">
        <w:tc>
          <w:tcPr>
            <w:tcW w:w="1561" w:type="pct"/>
            <w:gridSpan w:val="3"/>
            <w:shd w:val="clear" w:color="auto" w:fill="auto"/>
            <w:tcMar>
              <w:top w:w="57" w:type="dxa"/>
              <w:bottom w:w="57" w:type="dxa"/>
            </w:tcMar>
          </w:tcPr>
          <w:p w14:paraId="17B9F897" w14:textId="77777777" w:rsidR="001B10B5" w:rsidRDefault="001B10B5" w:rsidP="001B10B5">
            <w:pPr>
              <w:rPr>
                <w:rFonts w:cs="Arial"/>
                <w:szCs w:val="19"/>
              </w:rPr>
            </w:pPr>
            <w:r>
              <w:rPr>
                <w:rFonts w:cs="Arial"/>
                <w:szCs w:val="19"/>
              </w:rPr>
              <w:t>Ustekinumab biosimilar (</w:t>
            </w:r>
            <w:r w:rsidRPr="00BF6704">
              <w:rPr>
                <w:rFonts w:cs="Arial"/>
                <w:i/>
                <w:iCs/>
                <w:szCs w:val="19"/>
              </w:rPr>
              <w:t>Steqeyma</w:t>
            </w:r>
            <w:r>
              <w:rPr>
                <w:rFonts w:cs="Arial"/>
                <w:szCs w:val="19"/>
              </w:rPr>
              <w:t>)</w:t>
            </w:r>
          </w:p>
          <w:p w14:paraId="2596A9F3" w14:textId="2EC9D68F" w:rsidR="001B10B5" w:rsidRPr="002A6DA7" w:rsidRDefault="001B10B5" w:rsidP="001B10B5">
            <w:pPr>
              <w:rPr>
                <w:rFonts w:cs="Arial"/>
                <w:szCs w:val="19"/>
              </w:rPr>
            </w:pPr>
            <w:r w:rsidRPr="00BF6704">
              <w:rPr>
                <w:rFonts w:cs="Arial"/>
                <w:sz w:val="16"/>
                <w:szCs w:val="16"/>
              </w:rPr>
              <w:t>130mg in 26mL vial</w:t>
            </w:r>
          </w:p>
        </w:tc>
        <w:tc>
          <w:tcPr>
            <w:tcW w:w="3439" w:type="pct"/>
            <w:shd w:val="clear" w:color="auto" w:fill="auto"/>
            <w:tcMar>
              <w:top w:w="57" w:type="dxa"/>
              <w:bottom w:w="57" w:type="dxa"/>
            </w:tcMar>
          </w:tcPr>
          <w:p w14:paraId="200286E0" w14:textId="6BFCDA32" w:rsidR="001B10B5" w:rsidRPr="00A075A3" w:rsidRDefault="001B10B5" w:rsidP="001B10B5">
            <w:pPr>
              <w:tabs>
                <w:tab w:val="center" w:pos="3152"/>
              </w:tabs>
              <w:rPr>
                <w:rFonts w:cs="Arial"/>
                <w:szCs w:val="19"/>
                <w:lang w:val="en-US"/>
              </w:rPr>
            </w:pPr>
            <w:r w:rsidRPr="00BF6704">
              <w:rPr>
                <w:rFonts w:cs="Arial"/>
                <w:szCs w:val="19"/>
                <w:lang w:val="en-US"/>
              </w:rPr>
              <w:t>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1B10B5" w:rsidRPr="00862949" w14:paraId="72D8CC85" w14:textId="77777777" w:rsidTr="005A7E09">
        <w:tc>
          <w:tcPr>
            <w:tcW w:w="5000" w:type="pct"/>
            <w:gridSpan w:val="4"/>
            <w:shd w:val="clear" w:color="auto" w:fill="auto"/>
            <w:tcMar>
              <w:top w:w="0" w:type="dxa"/>
              <w:bottom w:w="0" w:type="dxa"/>
            </w:tcMar>
          </w:tcPr>
          <w:p w14:paraId="56757365" w14:textId="77777777" w:rsidR="001B10B5" w:rsidRPr="00862949" w:rsidRDefault="001B10B5" w:rsidP="001B10B5">
            <w:pPr>
              <w:jc w:val="center"/>
              <w:rPr>
                <w:rFonts w:cs="Arial"/>
                <w:noProof/>
                <w:sz w:val="8"/>
                <w:szCs w:val="8"/>
              </w:rPr>
            </w:pPr>
          </w:p>
        </w:tc>
      </w:tr>
      <w:tr w:rsidR="001B10B5" w:rsidRPr="000F19E1" w14:paraId="020EA556" w14:textId="77777777" w:rsidTr="00155BD9">
        <w:tc>
          <w:tcPr>
            <w:tcW w:w="1152" w:type="pct"/>
            <w:shd w:val="clear" w:color="auto" w:fill="DAEEF3"/>
            <w:tcMar>
              <w:top w:w="0" w:type="dxa"/>
              <w:bottom w:w="0" w:type="dxa"/>
            </w:tcMar>
          </w:tcPr>
          <w:p w14:paraId="022AFA90" w14:textId="77777777" w:rsidR="001B10B5" w:rsidRPr="000F19E1" w:rsidRDefault="001B10B5" w:rsidP="001B10B5">
            <w:pPr>
              <w:rPr>
                <w:rFonts w:cs="Arial"/>
                <w:bCs/>
                <w:sz w:val="8"/>
                <w:szCs w:val="8"/>
              </w:rPr>
            </w:pPr>
          </w:p>
        </w:tc>
        <w:tc>
          <w:tcPr>
            <w:tcW w:w="3848" w:type="pct"/>
            <w:gridSpan w:val="3"/>
            <w:shd w:val="clear" w:color="auto" w:fill="DAEEF3"/>
            <w:tcMar>
              <w:top w:w="0" w:type="dxa"/>
              <w:bottom w:w="0" w:type="dxa"/>
            </w:tcMar>
          </w:tcPr>
          <w:p w14:paraId="45DB1DAF" w14:textId="77777777" w:rsidR="001B10B5" w:rsidRPr="000F19E1" w:rsidRDefault="001B10B5" w:rsidP="001B10B5">
            <w:pPr>
              <w:tabs>
                <w:tab w:val="center" w:pos="3152"/>
              </w:tabs>
              <w:rPr>
                <w:rFonts w:cs="Arial"/>
                <w:sz w:val="8"/>
                <w:szCs w:val="8"/>
                <w:lang w:val="en-US"/>
              </w:rPr>
            </w:pPr>
          </w:p>
        </w:tc>
      </w:tr>
      <w:tr w:rsidR="001B10B5" w:rsidRPr="00433D3E" w14:paraId="3163EB6D" w14:textId="77777777" w:rsidTr="002E6AF9">
        <w:tc>
          <w:tcPr>
            <w:tcW w:w="5000" w:type="pct"/>
            <w:gridSpan w:val="4"/>
            <w:shd w:val="clear" w:color="auto" w:fill="00B050"/>
            <w:tcMar>
              <w:top w:w="57" w:type="dxa"/>
              <w:bottom w:w="57" w:type="dxa"/>
            </w:tcMar>
          </w:tcPr>
          <w:p w14:paraId="597D2792" w14:textId="77777777" w:rsidR="001B10B5" w:rsidRPr="0021490D" w:rsidRDefault="001B10B5" w:rsidP="001B10B5">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1B10B5" w:rsidRPr="00A075A3" w14:paraId="513AB000" w14:textId="77777777" w:rsidTr="002E6AF9">
        <w:tc>
          <w:tcPr>
            <w:tcW w:w="1158" w:type="pct"/>
            <w:gridSpan w:val="2"/>
            <w:shd w:val="clear" w:color="auto" w:fill="auto"/>
            <w:tcMar>
              <w:top w:w="57" w:type="dxa"/>
              <w:bottom w:w="57" w:type="dxa"/>
            </w:tcMar>
          </w:tcPr>
          <w:p w14:paraId="614B70D7" w14:textId="77777777" w:rsidR="001B10B5" w:rsidRPr="00813950" w:rsidRDefault="001B10B5" w:rsidP="001B10B5">
            <w:pPr>
              <w:rPr>
                <w:rFonts w:cs="Arial"/>
                <w:szCs w:val="19"/>
              </w:rPr>
            </w:pPr>
            <w:r>
              <w:rPr>
                <w:rFonts w:cs="Arial"/>
                <w:szCs w:val="19"/>
              </w:rPr>
              <w:t>Aflibercep</w:t>
            </w:r>
            <w:r w:rsidRPr="004B5D80">
              <w:rPr>
                <w:rFonts w:cs="Arial"/>
                <w:szCs w:val="19"/>
              </w:rPr>
              <w:t>t biosimilar (</w:t>
            </w:r>
            <w:r w:rsidRPr="004B5D80">
              <w:rPr>
                <w:rFonts w:cs="Arial"/>
                <w:i/>
                <w:iCs/>
                <w:szCs w:val="19"/>
              </w:rPr>
              <w:t>Afqlir</w:t>
            </w:r>
            <w:r>
              <w:rPr>
                <w:rFonts w:cs="Arial"/>
                <w:szCs w:val="19"/>
              </w:rPr>
              <w:t>)</w:t>
            </w:r>
          </w:p>
        </w:tc>
        <w:tc>
          <w:tcPr>
            <w:tcW w:w="3842" w:type="pct"/>
            <w:gridSpan w:val="2"/>
            <w:shd w:val="clear" w:color="auto" w:fill="auto"/>
            <w:tcMar>
              <w:top w:w="57" w:type="dxa"/>
              <w:bottom w:w="57" w:type="dxa"/>
            </w:tcMar>
          </w:tcPr>
          <w:p w14:paraId="2634C372" w14:textId="382776F8" w:rsidR="001B10B5" w:rsidRPr="00A075A3" w:rsidRDefault="001B10B5" w:rsidP="001B10B5">
            <w:pPr>
              <w:tabs>
                <w:tab w:val="center" w:pos="3152"/>
              </w:tabs>
              <w:rPr>
                <w:rFonts w:cs="Arial"/>
                <w:szCs w:val="19"/>
                <w:lang w:val="en-US"/>
              </w:rPr>
            </w:pPr>
            <w:r w:rsidRPr="004B5D80">
              <w:rPr>
                <w:rFonts w:cs="Arial"/>
                <w:szCs w:val="19"/>
                <w:lang w:val="en-US"/>
              </w:rPr>
              <w:t xml:space="preserve">Treatment of adults with neovascular (wet) age-related macular degeneration, visual impairment due to macular oedema secondary to retinal vein occlusion (branch RVO or central RVO), visual impairment due to diabetic macular oedema, or visual impairment due to myopic choroidal </w:t>
            </w:r>
            <w:r>
              <w:rPr>
                <w:rFonts w:cs="Arial"/>
                <w:szCs w:val="19"/>
                <w:lang w:val="en-US"/>
              </w:rPr>
              <w:t>neovasculari</w:t>
            </w:r>
            <w:r w:rsidR="007A1271">
              <w:rPr>
                <w:rFonts w:cs="Arial"/>
                <w:szCs w:val="19"/>
                <w:lang w:val="en-US"/>
              </w:rPr>
              <w:t>s</w:t>
            </w:r>
            <w:r>
              <w:rPr>
                <w:rFonts w:cs="Arial"/>
                <w:szCs w:val="19"/>
                <w:lang w:val="en-US"/>
              </w:rPr>
              <w:t xml:space="preserve">ation </w:t>
            </w:r>
            <w:r w:rsidRPr="00CA339B">
              <w:rPr>
                <w:rFonts w:cs="Arial"/>
                <w:sz w:val="16"/>
                <w:szCs w:val="16"/>
                <w:lang w:val="en-US"/>
              </w:rPr>
              <w:t>[EU]</w:t>
            </w:r>
          </w:p>
        </w:tc>
      </w:tr>
      <w:tr w:rsidR="001B10B5" w:rsidRPr="00A075A3" w14:paraId="773FD6A5" w14:textId="77777777" w:rsidTr="002E6AF9">
        <w:tc>
          <w:tcPr>
            <w:tcW w:w="1158" w:type="pct"/>
            <w:gridSpan w:val="2"/>
            <w:shd w:val="clear" w:color="auto" w:fill="auto"/>
            <w:tcMar>
              <w:top w:w="57" w:type="dxa"/>
              <w:bottom w:w="57" w:type="dxa"/>
            </w:tcMar>
          </w:tcPr>
          <w:p w14:paraId="537EC3B2" w14:textId="77777777" w:rsidR="001B10B5" w:rsidRPr="00AF0080" w:rsidRDefault="001B10B5" w:rsidP="001B10B5">
            <w:pPr>
              <w:rPr>
                <w:rFonts w:cs="Arial"/>
                <w:szCs w:val="19"/>
              </w:rPr>
            </w:pPr>
            <w:r w:rsidRPr="004A4716">
              <w:rPr>
                <w:rFonts w:cs="Arial"/>
                <w:szCs w:val="19"/>
              </w:rPr>
              <w:t>Aflibercept biosimilar (</w:t>
            </w:r>
            <w:r w:rsidRPr="004A4716">
              <w:rPr>
                <w:rFonts w:cs="Arial"/>
                <w:i/>
                <w:iCs/>
                <w:szCs w:val="19"/>
              </w:rPr>
              <w:t>Opuviz</w:t>
            </w:r>
            <w:r w:rsidRPr="004A4716">
              <w:rPr>
                <w:rFonts w:cs="Arial"/>
                <w:szCs w:val="19"/>
              </w:rPr>
              <w:t>)</w:t>
            </w:r>
          </w:p>
        </w:tc>
        <w:tc>
          <w:tcPr>
            <w:tcW w:w="3842" w:type="pct"/>
            <w:gridSpan w:val="2"/>
            <w:shd w:val="clear" w:color="auto" w:fill="auto"/>
            <w:tcMar>
              <w:top w:w="57" w:type="dxa"/>
              <w:bottom w:w="57" w:type="dxa"/>
            </w:tcMar>
          </w:tcPr>
          <w:p w14:paraId="41265962" w14:textId="72379516" w:rsidR="001B10B5" w:rsidRPr="00A075A3" w:rsidRDefault="001B10B5" w:rsidP="001B10B5">
            <w:pPr>
              <w:tabs>
                <w:tab w:val="center" w:pos="3152"/>
              </w:tabs>
              <w:rPr>
                <w:rFonts w:cs="Arial"/>
                <w:szCs w:val="19"/>
                <w:lang w:val="en-US"/>
              </w:rPr>
            </w:pPr>
            <w:r w:rsidRPr="004B5D80">
              <w:rPr>
                <w:rFonts w:cs="Arial"/>
                <w:szCs w:val="19"/>
                <w:lang w:val="en-US"/>
              </w:rPr>
              <w:t xml:space="preserve">Treatment of adults with neovascular (wet) age-related macular degeneration, visual impairment due to macular oedema secondary to retinal vein occlusion (branch RVO or central RVO), visual impairment due to diabetic macular oedema, or visual impairment due to myopic choroidal </w:t>
            </w:r>
            <w:r>
              <w:rPr>
                <w:rFonts w:cs="Arial"/>
                <w:szCs w:val="19"/>
                <w:lang w:val="en-US"/>
              </w:rPr>
              <w:t xml:space="preserve">neovascularization </w:t>
            </w:r>
            <w:r w:rsidRPr="00CA339B">
              <w:rPr>
                <w:rFonts w:cs="Arial"/>
                <w:sz w:val="16"/>
                <w:szCs w:val="16"/>
                <w:lang w:val="en-US"/>
              </w:rPr>
              <w:t>[EU]</w:t>
            </w:r>
          </w:p>
        </w:tc>
      </w:tr>
      <w:tr w:rsidR="001B10B5" w:rsidRPr="00A075A3" w14:paraId="5C5D0676" w14:textId="77777777" w:rsidTr="002E6AF9">
        <w:tc>
          <w:tcPr>
            <w:tcW w:w="1158" w:type="pct"/>
            <w:gridSpan w:val="2"/>
            <w:shd w:val="clear" w:color="auto" w:fill="auto"/>
            <w:tcMar>
              <w:top w:w="57" w:type="dxa"/>
              <w:bottom w:w="57" w:type="dxa"/>
            </w:tcMar>
          </w:tcPr>
          <w:p w14:paraId="671A742C" w14:textId="77777777" w:rsidR="001B10B5" w:rsidRPr="002537A4" w:rsidRDefault="001B10B5" w:rsidP="001B10B5">
            <w:pPr>
              <w:rPr>
                <w:rFonts w:cs="Arial"/>
                <w:szCs w:val="19"/>
              </w:rPr>
            </w:pPr>
            <w:r>
              <w:rPr>
                <w:rFonts w:cs="Arial"/>
                <w:szCs w:val="19"/>
              </w:rPr>
              <w:t>Apremilast (</w:t>
            </w:r>
            <w:r>
              <w:rPr>
                <w:rFonts w:cs="Arial"/>
                <w:i/>
                <w:iCs/>
                <w:szCs w:val="19"/>
              </w:rPr>
              <w:t>Otezla</w:t>
            </w:r>
            <w:r>
              <w:rPr>
                <w:rFonts w:cs="Arial"/>
                <w:szCs w:val="19"/>
              </w:rPr>
              <w:t>)</w:t>
            </w:r>
          </w:p>
        </w:tc>
        <w:tc>
          <w:tcPr>
            <w:tcW w:w="3842" w:type="pct"/>
            <w:gridSpan w:val="2"/>
            <w:shd w:val="clear" w:color="auto" w:fill="auto"/>
            <w:tcMar>
              <w:top w:w="57" w:type="dxa"/>
              <w:bottom w:w="57" w:type="dxa"/>
            </w:tcMar>
          </w:tcPr>
          <w:p w14:paraId="7CE79C1D" w14:textId="77777777" w:rsidR="001B10B5" w:rsidRDefault="001B10B5" w:rsidP="001B10B5">
            <w:pPr>
              <w:tabs>
                <w:tab w:val="center" w:pos="3152"/>
              </w:tabs>
              <w:rPr>
                <w:rFonts w:cs="Arial"/>
                <w:szCs w:val="19"/>
                <w:lang w:val="en-US"/>
              </w:rPr>
            </w:pPr>
            <w:r w:rsidRPr="002537A4">
              <w:rPr>
                <w:rFonts w:cs="Arial"/>
                <w:szCs w:val="19"/>
                <w:lang w:val="en-US"/>
              </w:rPr>
              <w:t>Treatment of moderate to severe plaque psoriasis in children and adolescents age</w:t>
            </w:r>
            <w:r>
              <w:rPr>
                <w:rFonts w:cs="Arial"/>
                <w:szCs w:val="19"/>
                <w:lang w:val="en-US"/>
              </w:rPr>
              <w:t>d</w:t>
            </w:r>
            <w:r w:rsidRPr="002537A4">
              <w:rPr>
                <w:rFonts w:cs="Arial"/>
                <w:szCs w:val="19"/>
                <w:lang w:val="en-US"/>
              </w:rPr>
              <w:t xml:space="preserve"> </w:t>
            </w:r>
            <w:r>
              <w:rPr>
                <w:rFonts w:cs="Arial"/>
                <w:szCs w:val="19"/>
                <w:lang w:val="en-US"/>
              </w:rPr>
              <w:t>≥</w:t>
            </w:r>
            <w:r w:rsidRPr="002537A4">
              <w:rPr>
                <w:rFonts w:cs="Arial"/>
                <w:szCs w:val="19"/>
                <w:lang w:val="en-US"/>
              </w:rPr>
              <w:t xml:space="preserve">6 years and weighing </w:t>
            </w:r>
            <w:r>
              <w:rPr>
                <w:rFonts w:cs="Arial"/>
                <w:szCs w:val="19"/>
                <w:lang w:val="en-US"/>
              </w:rPr>
              <w:t>≥</w:t>
            </w:r>
            <w:r w:rsidRPr="002537A4">
              <w:rPr>
                <w:rFonts w:cs="Arial"/>
                <w:szCs w:val="19"/>
                <w:lang w:val="en-US"/>
              </w:rPr>
              <w:t>20kg who are candidates for systemic therapy</w:t>
            </w:r>
            <w:r w:rsidRPr="007F4586">
              <w:rPr>
                <w:rFonts w:cs="Arial"/>
                <w:szCs w:val="19"/>
                <w:lang w:val="en-US"/>
              </w:rPr>
              <w:t xml:space="preserve"> </w:t>
            </w:r>
            <w:r w:rsidRPr="007F4586">
              <w:rPr>
                <w:rFonts w:cs="Arial"/>
                <w:sz w:val="16"/>
                <w:szCs w:val="16"/>
                <w:lang w:val="en-US"/>
              </w:rPr>
              <w:t>[EU] [new indication]</w:t>
            </w:r>
          </w:p>
        </w:tc>
      </w:tr>
      <w:tr w:rsidR="001B10B5" w:rsidRPr="00A075A3" w14:paraId="3BE103E3" w14:textId="77777777" w:rsidTr="002E6AF9">
        <w:tc>
          <w:tcPr>
            <w:tcW w:w="1158" w:type="pct"/>
            <w:gridSpan w:val="2"/>
            <w:shd w:val="clear" w:color="auto" w:fill="auto"/>
            <w:tcMar>
              <w:top w:w="57" w:type="dxa"/>
              <w:bottom w:w="57" w:type="dxa"/>
            </w:tcMar>
          </w:tcPr>
          <w:p w14:paraId="77CDB581" w14:textId="77777777" w:rsidR="001B10B5" w:rsidRPr="00306E97" w:rsidRDefault="001B10B5" w:rsidP="001B10B5">
            <w:pPr>
              <w:rPr>
                <w:rFonts w:cs="Arial"/>
                <w:szCs w:val="19"/>
              </w:rPr>
            </w:pPr>
            <w:r w:rsidRPr="007F4586">
              <w:rPr>
                <w:rFonts w:cs="Arial"/>
                <w:szCs w:val="19"/>
              </w:rPr>
              <w:t>Benralizumab (</w:t>
            </w:r>
            <w:r w:rsidRPr="007F4586">
              <w:rPr>
                <w:rFonts w:cs="Arial"/>
                <w:i/>
                <w:iCs/>
                <w:szCs w:val="19"/>
              </w:rPr>
              <w:t>Fasenra</w:t>
            </w:r>
            <w:r w:rsidRPr="007F4586">
              <w:rPr>
                <w:rFonts w:cs="Arial"/>
                <w:szCs w:val="19"/>
              </w:rPr>
              <w:t>)</w:t>
            </w:r>
          </w:p>
        </w:tc>
        <w:tc>
          <w:tcPr>
            <w:tcW w:w="3842" w:type="pct"/>
            <w:gridSpan w:val="2"/>
            <w:shd w:val="clear" w:color="auto" w:fill="auto"/>
            <w:tcMar>
              <w:top w:w="57" w:type="dxa"/>
              <w:bottom w:w="57" w:type="dxa"/>
            </w:tcMar>
          </w:tcPr>
          <w:p w14:paraId="29B9117F" w14:textId="77777777" w:rsidR="001B10B5" w:rsidRDefault="001B10B5" w:rsidP="001B10B5">
            <w:pPr>
              <w:tabs>
                <w:tab w:val="center" w:pos="3152"/>
              </w:tabs>
              <w:rPr>
                <w:rFonts w:cs="Arial"/>
                <w:szCs w:val="19"/>
                <w:lang w:val="en-US"/>
              </w:rPr>
            </w:pPr>
            <w:r>
              <w:rPr>
                <w:rFonts w:cs="Arial"/>
                <w:szCs w:val="19"/>
                <w:lang w:val="en-US"/>
              </w:rPr>
              <w:t xml:space="preserve">Use </w:t>
            </w:r>
            <w:r w:rsidRPr="007F4586">
              <w:rPr>
                <w:rFonts w:cs="Arial"/>
                <w:szCs w:val="19"/>
                <w:lang w:val="en-US"/>
              </w:rPr>
              <w:t>as an add-on treatment for adults with relapsing or refractory eosinophilic granulomatosis with polyangiitis</w:t>
            </w:r>
            <w:r>
              <w:rPr>
                <w:rFonts w:cs="Arial"/>
                <w:szCs w:val="19"/>
                <w:lang w:val="en-US"/>
              </w:rPr>
              <w:t xml:space="preserve"> </w:t>
            </w:r>
            <w:r w:rsidRPr="007F4586">
              <w:rPr>
                <w:rFonts w:cs="Arial"/>
                <w:sz w:val="16"/>
                <w:szCs w:val="16"/>
                <w:lang w:val="en-US"/>
              </w:rPr>
              <w:t>[EU] [new indication]</w:t>
            </w:r>
          </w:p>
        </w:tc>
      </w:tr>
      <w:tr w:rsidR="001B10B5" w:rsidRPr="000F19E1" w14:paraId="4A2CBEDC" w14:textId="77777777" w:rsidTr="002E6AF9">
        <w:tc>
          <w:tcPr>
            <w:tcW w:w="1158" w:type="pct"/>
            <w:gridSpan w:val="2"/>
            <w:shd w:val="clear" w:color="auto" w:fill="auto"/>
            <w:tcMar>
              <w:top w:w="0" w:type="dxa"/>
              <w:bottom w:w="0" w:type="dxa"/>
            </w:tcMar>
          </w:tcPr>
          <w:p w14:paraId="2DCCA888" w14:textId="77777777" w:rsidR="001B10B5" w:rsidRPr="000F19E1" w:rsidRDefault="001B10B5" w:rsidP="001B10B5">
            <w:pPr>
              <w:rPr>
                <w:rFonts w:cs="Arial"/>
                <w:bCs/>
                <w:sz w:val="8"/>
                <w:szCs w:val="8"/>
              </w:rPr>
            </w:pPr>
          </w:p>
        </w:tc>
        <w:tc>
          <w:tcPr>
            <w:tcW w:w="3842" w:type="pct"/>
            <w:gridSpan w:val="2"/>
            <w:shd w:val="clear" w:color="auto" w:fill="auto"/>
            <w:tcMar>
              <w:top w:w="0" w:type="dxa"/>
              <w:bottom w:w="0" w:type="dxa"/>
            </w:tcMar>
          </w:tcPr>
          <w:p w14:paraId="1F6A402D" w14:textId="77777777" w:rsidR="001B10B5" w:rsidRPr="000F19E1" w:rsidRDefault="001B10B5" w:rsidP="001B10B5">
            <w:pPr>
              <w:tabs>
                <w:tab w:val="center" w:pos="3152"/>
              </w:tabs>
              <w:rPr>
                <w:rFonts w:cs="Arial"/>
                <w:sz w:val="8"/>
                <w:szCs w:val="8"/>
                <w:lang w:val="en-US"/>
              </w:rPr>
            </w:pPr>
          </w:p>
        </w:tc>
      </w:tr>
      <w:tr w:rsidR="001B10B5" w:rsidRPr="000F19E1" w14:paraId="66C11000" w14:textId="77777777" w:rsidTr="002E6AF9">
        <w:tc>
          <w:tcPr>
            <w:tcW w:w="1152" w:type="pct"/>
            <w:shd w:val="clear" w:color="auto" w:fill="DAEEF3"/>
            <w:tcMar>
              <w:top w:w="0" w:type="dxa"/>
              <w:bottom w:w="0" w:type="dxa"/>
            </w:tcMar>
          </w:tcPr>
          <w:p w14:paraId="31A2E6D3" w14:textId="77777777" w:rsidR="001B10B5" w:rsidRPr="000F19E1" w:rsidRDefault="001B10B5" w:rsidP="001B10B5">
            <w:pPr>
              <w:rPr>
                <w:rFonts w:cs="Arial"/>
                <w:bCs/>
                <w:sz w:val="8"/>
                <w:szCs w:val="8"/>
              </w:rPr>
            </w:pPr>
          </w:p>
        </w:tc>
        <w:tc>
          <w:tcPr>
            <w:tcW w:w="3848" w:type="pct"/>
            <w:gridSpan w:val="3"/>
            <w:shd w:val="clear" w:color="auto" w:fill="DAEEF3"/>
            <w:tcMar>
              <w:top w:w="0" w:type="dxa"/>
              <w:bottom w:w="0" w:type="dxa"/>
            </w:tcMar>
          </w:tcPr>
          <w:p w14:paraId="517DEB84" w14:textId="77777777" w:rsidR="001B10B5" w:rsidRPr="000F19E1" w:rsidRDefault="001B10B5" w:rsidP="001B10B5">
            <w:pPr>
              <w:tabs>
                <w:tab w:val="center" w:pos="3152"/>
              </w:tabs>
              <w:rPr>
                <w:rFonts w:cs="Arial"/>
                <w:sz w:val="8"/>
                <w:szCs w:val="8"/>
                <w:lang w:val="en-US"/>
              </w:rPr>
            </w:pPr>
          </w:p>
        </w:tc>
      </w:tr>
    </w:tbl>
    <w:p w14:paraId="00444111" w14:textId="696570B9" w:rsidR="00F359DF" w:rsidRDefault="00F359DF"/>
    <w:p w14:paraId="33DFBFDB" w14:textId="55792A96" w:rsidR="001137C8" w:rsidRDefault="001137C8">
      <w:r>
        <w:br w:type="page"/>
      </w:r>
    </w:p>
    <w:p w14:paraId="246391FD" w14:textId="77777777" w:rsidR="001B7829" w:rsidRDefault="001B7829"/>
    <w:tbl>
      <w:tblPr>
        <w:tblW w:w="5170" w:type="pct"/>
        <w:tblInd w:w="-176" w:type="dxa"/>
        <w:tblLayout w:type="fixed"/>
        <w:tblLook w:val="01E0" w:firstRow="1" w:lastRow="1" w:firstColumn="1" w:lastColumn="1" w:noHBand="0" w:noVBand="0"/>
      </w:tblPr>
      <w:tblGrid>
        <w:gridCol w:w="2431"/>
        <w:gridCol w:w="13"/>
        <w:gridCol w:w="8107"/>
      </w:tblGrid>
      <w:tr w:rsidR="0021490D" w:rsidRPr="00862949" w14:paraId="75B165FA" w14:textId="77777777" w:rsidTr="00D6452A">
        <w:tc>
          <w:tcPr>
            <w:tcW w:w="5000" w:type="pct"/>
            <w:gridSpan w:val="3"/>
            <w:shd w:val="clear" w:color="auto" w:fill="0070C0"/>
            <w:tcMar>
              <w:top w:w="85" w:type="dxa"/>
              <w:bottom w:w="85" w:type="dxa"/>
            </w:tcMar>
            <w:vAlign w:val="bottom"/>
          </w:tcPr>
          <w:p w14:paraId="41BFC9E6"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4D68BD7D" w14:textId="77777777" w:rsidTr="00155BD9">
        <w:tc>
          <w:tcPr>
            <w:tcW w:w="1152" w:type="pct"/>
            <w:shd w:val="clear" w:color="auto" w:fill="DAEEF3"/>
            <w:tcMar>
              <w:top w:w="0" w:type="dxa"/>
              <w:bottom w:w="0" w:type="dxa"/>
            </w:tcMar>
          </w:tcPr>
          <w:p w14:paraId="31A21777"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326AFC95" w14:textId="77777777" w:rsidR="001C3A55" w:rsidRPr="000F19E1" w:rsidRDefault="001C3A55" w:rsidP="00510003">
            <w:pPr>
              <w:tabs>
                <w:tab w:val="center" w:pos="3152"/>
              </w:tabs>
              <w:rPr>
                <w:rFonts w:cs="Arial"/>
                <w:sz w:val="8"/>
                <w:szCs w:val="8"/>
                <w:lang w:val="en-US"/>
              </w:rPr>
            </w:pPr>
          </w:p>
        </w:tc>
      </w:tr>
      <w:tr w:rsidR="001C3A55" w:rsidRPr="00433D3E" w14:paraId="45501974" w14:textId="77777777" w:rsidTr="00155BD9">
        <w:tc>
          <w:tcPr>
            <w:tcW w:w="5000" w:type="pct"/>
            <w:gridSpan w:val="3"/>
            <w:shd w:val="clear" w:color="auto" w:fill="00B050"/>
            <w:tcMar>
              <w:top w:w="57" w:type="dxa"/>
              <w:bottom w:w="57" w:type="dxa"/>
            </w:tcMar>
          </w:tcPr>
          <w:p w14:paraId="463A4AB0" w14:textId="5924A0DA"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F359DF">
              <w:rPr>
                <w:rFonts w:cs="Arial"/>
                <w:b/>
                <w:bCs/>
                <w:i/>
                <w:iCs/>
                <w:color w:val="FFFFFF"/>
                <w:sz w:val="22"/>
                <w:szCs w:val="20"/>
                <w:lang w:val="en-US"/>
              </w:rPr>
              <w:t xml:space="preserve"> </w:t>
            </w:r>
            <w:r w:rsidR="00F359DF" w:rsidRPr="00F359DF">
              <w:rPr>
                <w:rFonts w:cs="Arial"/>
                <w:b/>
                <w:bCs/>
                <w:color w:val="FFFFFF"/>
                <w:sz w:val="16"/>
                <w:szCs w:val="14"/>
                <w:lang w:val="en-US"/>
              </w:rPr>
              <w:t>(continued)</w:t>
            </w:r>
          </w:p>
        </w:tc>
      </w:tr>
      <w:tr w:rsidR="001B10B5" w14:paraId="0C8DE8AE" w14:textId="77777777" w:rsidTr="003F40E9">
        <w:tc>
          <w:tcPr>
            <w:tcW w:w="1158" w:type="pct"/>
            <w:gridSpan w:val="2"/>
            <w:shd w:val="clear" w:color="auto" w:fill="auto"/>
            <w:tcMar>
              <w:top w:w="57" w:type="dxa"/>
              <w:bottom w:w="57" w:type="dxa"/>
            </w:tcMar>
          </w:tcPr>
          <w:p w14:paraId="6680F34C" w14:textId="00C0AC48" w:rsidR="001B10B5" w:rsidRDefault="001B10B5" w:rsidP="001B10B5">
            <w:pPr>
              <w:rPr>
                <w:rFonts w:cs="Arial"/>
                <w:szCs w:val="19"/>
              </w:rPr>
            </w:pPr>
            <w:r w:rsidRPr="00504C80">
              <w:rPr>
                <w:rFonts w:cs="Arial"/>
                <w:szCs w:val="19"/>
              </w:rPr>
              <w:t>Ceftazidime + avibactam (</w:t>
            </w:r>
            <w:r w:rsidRPr="007B777D">
              <w:rPr>
                <w:rFonts w:cs="Arial"/>
                <w:i/>
                <w:iCs/>
                <w:szCs w:val="19"/>
              </w:rPr>
              <w:t>Zavicefta</w:t>
            </w:r>
            <w:r>
              <w:rPr>
                <w:rFonts w:cs="Arial"/>
                <w:szCs w:val="19"/>
              </w:rPr>
              <w:t>)</w:t>
            </w:r>
          </w:p>
        </w:tc>
        <w:tc>
          <w:tcPr>
            <w:tcW w:w="3842" w:type="pct"/>
            <w:shd w:val="clear" w:color="auto" w:fill="auto"/>
            <w:tcMar>
              <w:top w:w="57" w:type="dxa"/>
              <w:bottom w:w="57" w:type="dxa"/>
            </w:tcMar>
          </w:tcPr>
          <w:p w14:paraId="7A9E065E" w14:textId="77777777" w:rsidR="001B10B5" w:rsidRDefault="001B10B5" w:rsidP="001B10B5">
            <w:pPr>
              <w:tabs>
                <w:tab w:val="center" w:pos="3152"/>
              </w:tabs>
              <w:rPr>
                <w:rFonts w:cs="Arial"/>
                <w:sz w:val="16"/>
                <w:szCs w:val="16"/>
                <w:lang w:val="en-US"/>
              </w:rPr>
            </w:pPr>
            <w:r>
              <w:rPr>
                <w:rFonts w:cs="Arial"/>
                <w:szCs w:val="19"/>
                <w:lang w:val="en-US"/>
              </w:rPr>
              <w:t>Use</w:t>
            </w:r>
            <w:r w:rsidRPr="00504C80">
              <w:rPr>
                <w:rFonts w:cs="Arial"/>
                <w:szCs w:val="19"/>
                <w:lang w:val="en-US"/>
              </w:rPr>
              <w:t xml:space="preserve"> in adults and paediatric patients from birth for the treatment of complicated intra-abdominal infection, complicated urinary tract infection, including pyelonephritis, hospital-acquired pneumonia, including ventilator associated pneumonia. Also for the treatment of infections due to aerobic Gram-negative organisms in adults and paediatric patients from birth with limited treatment options</w:t>
            </w:r>
            <w:r>
              <w:rPr>
                <w:rFonts w:cs="Arial"/>
                <w:szCs w:val="19"/>
                <w:lang w:val="en-US"/>
              </w:rPr>
              <w:t xml:space="preserve"> </w:t>
            </w:r>
            <w:r w:rsidRPr="00504C80">
              <w:rPr>
                <w:rFonts w:cs="Arial"/>
                <w:sz w:val="16"/>
                <w:szCs w:val="16"/>
                <w:lang w:val="en-US"/>
              </w:rPr>
              <w:t xml:space="preserve">[EU] </w:t>
            </w:r>
          </w:p>
          <w:p w14:paraId="7C02A557" w14:textId="1B67378B" w:rsidR="001B10B5" w:rsidRDefault="001B10B5" w:rsidP="001B10B5">
            <w:pPr>
              <w:tabs>
                <w:tab w:val="center" w:pos="3152"/>
              </w:tabs>
              <w:rPr>
                <w:rFonts w:cs="Arial"/>
                <w:szCs w:val="19"/>
                <w:lang w:val="en-US"/>
              </w:rPr>
            </w:pPr>
            <w:r w:rsidRPr="00504C80">
              <w:rPr>
                <w:rFonts w:cs="Arial"/>
                <w:sz w:val="16"/>
                <w:szCs w:val="16"/>
                <w:lang w:val="en-US"/>
              </w:rPr>
              <w:t>[licence change from use only in adults and paediatric patients aged ≥3 months]</w:t>
            </w:r>
          </w:p>
        </w:tc>
      </w:tr>
      <w:tr w:rsidR="001B10B5" w14:paraId="0553D11F" w14:textId="77777777" w:rsidTr="003F40E9">
        <w:tc>
          <w:tcPr>
            <w:tcW w:w="1158" w:type="pct"/>
            <w:gridSpan w:val="2"/>
            <w:shd w:val="clear" w:color="auto" w:fill="auto"/>
            <w:tcMar>
              <w:top w:w="57" w:type="dxa"/>
              <w:bottom w:w="57" w:type="dxa"/>
            </w:tcMar>
          </w:tcPr>
          <w:p w14:paraId="19CD2F6A" w14:textId="61CA8405" w:rsidR="001B10B5" w:rsidRDefault="001B10B5" w:rsidP="001B10B5">
            <w:pPr>
              <w:rPr>
                <w:rFonts w:cs="Arial"/>
                <w:szCs w:val="19"/>
              </w:rPr>
            </w:pPr>
            <w:r w:rsidRPr="00306E97">
              <w:rPr>
                <w:rFonts w:cs="Arial"/>
                <w:szCs w:val="19"/>
              </w:rPr>
              <w:t>Daratumumab</w:t>
            </w:r>
            <w:r>
              <w:rPr>
                <w:rFonts w:cs="Arial"/>
                <w:szCs w:val="19"/>
              </w:rPr>
              <w:t xml:space="preserve"> (</w:t>
            </w:r>
            <w:r>
              <w:rPr>
                <w:rFonts w:cs="Arial"/>
                <w:i/>
                <w:iCs/>
                <w:szCs w:val="19"/>
              </w:rPr>
              <w:t>Darzalex</w:t>
            </w:r>
            <w:r>
              <w:rPr>
                <w:rFonts w:cs="Arial"/>
                <w:szCs w:val="19"/>
              </w:rPr>
              <w:t>)</w:t>
            </w:r>
          </w:p>
        </w:tc>
        <w:tc>
          <w:tcPr>
            <w:tcW w:w="3842" w:type="pct"/>
            <w:shd w:val="clear" w:color="auto" w:fill="auto"/>
            <w:tcMar>
              <w:top w:w="57" w:type="dxa"/>
              <w:bottom w:w="57" w:type="dxa"/>
            </w:tcMar>
          </w:tcPr>
          <w:p w14:paraId="6FA0C288" w14:textId="31379A52" w:rsidR="001B10B5" w:rsidRDefault="001B10B5" w:rsidP="001B10B5">
            <w:pPr>
              <w:tabs>
                <w:tab w:val="center" w:pos="3152"/>
              </w:tabs>
              <w:rPr>
                <w:rFonts w:cs="Arial"/>
                <w:szCs w:val="19"/>
                <w:lang w:val="en-US"/>
              </w:rPr>
            </w:pPr>
            <w:r>
              <w:rPr>
                <w:rFonts w:cs="Arial"/>
                <w:szCs w:val="19"/>
                <w:lang w:val="en-US"/>
              </w:rPr>
              <w:t xml:space="preserve">Use </w:t>
            </w:r>
            <w:r w:rsidRPr="00306E97">
              <w:rPr>
                <w:rFonts w:cs="Arial"/>
                <w:szCs w:val="19"/>
                <w:lang w:val="en-US"/>
              </w:rPr>
              <w:t>in combination with bortezomib, lenalidomide and dexamethasone for the treatment of adults with newly diagnosed multiple myeloma who are eligible for autologous stem cell transplant</w:t>
            </w:r>
            <w:r>
              <w:rPr>
                <w:rFonts w:cs="Arial"/>
                <w:szCs w:val="19"/>
                <w:lang w:val="en-US"/>
              </w:rPr>
              <w:t xml:space="preserve"> </w:t>
            </w:r>
            <w:r w:rsidRPr="00306E97">
              <w:rPr>
                <w:rFonts w:cs="Arial"/>
                <w:sz w:val="16"/>
                <w:szCs w:val="16"/>
                <w:lang w:val="en-US"/>
              </w:rPr>
              <w:t>[EU] [new indication]</w:t>
            </w:r>
          </w:p>
        </w:tc>
      </w:tr>
      <w:tr w:rsidR="001B10B5" w14:paraId="322ACE1B" w14:textId="77777777" w:rsidTr="003F40E9">
        <w:tc>
          <w:tcPr>
            <w:tcW w:w="1158" w:type="pct"/>
            <w:gridSpan w:val="2"/>
            <w:shd w:val="clear" w:color="auto" w:fill="auto"/>
            <w:tcMar>
              <w:top w:w="57" w:type="dxa"/>
              <w:bottom w:w="57" w:type="dxa"/>
            </w:tcMar>
          </w:tcPr>
          <w:p w14:paraId="270F73C8" w14:textId="30A982F8" w:rsidR="001B10B5" w:rsidRPr="00622582" w:rsidRDefault="001B10B5" w:rsidP="001B10B5">
            <w:pPr>
              <w:rPr>
                <w:rFonts w:cs="Arial"/>
                <w:szCs w:val="19"/>
              </w:rPr>
            </w:pPr>
            <w:r>
              <w:rPr>
                <w:rFonts w:cs="Arial"/>
                <w:szCs w:val="19"/>
              </w:rPr>
              <w:t>Dupilumab (</w:t>
            </w:r>
            <w:r>
              <w:rPr>
                <w:rFonts w:cs="Arial"/>
                <w:i/>
                <w:iCs/>
                <w:szCs w:val="19"/>
              </w:rPr>
              <w:t>Dupixent</w:t>
            </w:r>
            <w:r>
              <w:rPr>
                <w:rFonts w:cs="Arial"/>
                <w:szCs w:val="19"/>
              </w:rPr>
              <w:t>)</w:t>
            </w:r>
          </w:p>
        </w:tc>
        <w:tc>
          <w:tcPr>
            <w:tcW w:w="3842" w:type="pct"/>
            <w:shd w:val="clear" w:color="auto" w:fill="auto"/>
            <w:tcMar>
              <w:top w:w="57" w:type="dxa"/>
              <w:bottom w:w="57" w:type="dxa"/>
            </w:tcMar>
          </w:tcPr>
          <w:p w14:paraId="7212365D" w14:textId="77777777" w:rsidR="001B10B5" w:rsidRDefault="001B10B5" w:rsidP="001B10B5">
            <w:pPr>
              <w:tabs>
                <w:tab w:val="center" w:pos="3152"/>
              </w:tabs>
              <w:rPr>
                <w:rFonts w:cs="Arial"/>
                <w:sz w:val="16"/>
                <w:szCs w:val="16"/>
                <w:lang w:val="en-US"/>
              </w:rPr>
            </w:pPr>
            <w:r>
              <w:rPr>
                <w:rFonts w:cs="Arial"/>
                <w:szCs w:val="19"/>
                <w:lang w:val="en-US"/>
              </w:rPr>
              <w:t>T</w:t>
            </w:r>
            <w:r w:rsidRPr="00306E97">
              <w:rPr>
                <w:rFonts w:cs="Arial"/>
                <w:szCs w:val="19"/>
                <w:lang w:val="en-US"/>
              </w:rPr>
              <w:t xml:space="preserve">reatment of eosinophilic esophagitis in adults, and adolescents and children aged </w:t>
            </w:r>
            <w:r>
              <w:rPr>
                <w:rFonts w:cs="Arial"/>
                <w:szCs w:val="19"/>
                <w:lang w:val="en-US"/>
              </w:rPr>
              <w:t>≥</w:t>
            </w:r>
            <w:r w:rsidRPr="00306E97">
              <w:rPr>
                <w:rFonts w:cs="Arial"/>
                <w:szCs w:val="19"/>
                <w:lang w:val="en-US"/>
              </w:rPr>
              <w:t xml:space="preserve">1 year weighing </w:t>
            </w:r>
            <w:r>
              <w:rPr>
                <w:rFonts w:cs="Arial"/>
                <w:szCs w:val="19"/>
                <w:lang w:val="en-US"/>
              </w:rPr>
              <w:t>≥</w:t>
            </w:r>
            <w:r w:rsidRPr="00306E97">
              <w:rPr>
                <w:rFonts w:cs="Arial"/>
                <w:szCs w:val="19"/>
                <w:lang w:val="en-US"/>
              </w:rPr>
              <w:t>15kg who are inadequately controlled by, are intolerant to, or who are not candidates for conventional medicinal therapy</w:t>
            </w:r>
            <w:r>
              <w:rPr>
                <w:rFonts w:cs="Arial"/>
                <w:szCs w:val="19"/>
                <w:lang w:val="en-US"/>
              </w:rPr>
              <w:t xml:space="preserve"> </w:t>
            </w:r>
            <w:r w:rsidRPr="00306E97">
              <w:rPr>
                <w:rFonts w:cs="Arial"/>
                <w:sz w:val="16"/>
                <w:szCs w:val="16"/>
                <w:lang w:val="en-US"/>
              </w:rPr>
              <w:t xml:space="preserve">[EU] </w:t>
            </w:r>
          </w:p>
          <w:p w14:paraId="16D9875E" w14:textId="3FBC788F" w:rsidR="001B10B5" w:rsidRDefault="001B10B5" w:rsidP="001B10B5">
            <w:pPr>
              <w:tabs>
                <w:tab w:val="center" w:pos="3152"/>
              </w:tabs>
              <w:rPr>
                <w:rFonts w:cs="Arial"/>
                <w:szCs w:val="19"/>
                <w:lang w:val="en-US"/>
              </w:rPr>
            </w:pPr>
            <w:r w:rsidRPr="00306E97">
              <w:rPr>
                <w:rFonts w:cs="Arial"/>
                <w:sz w:val="16"/>
                <w:szCs w:val="16"/>
                <w:lang w:val="en-US"/>
              </w:rPr>
              <w:t xml:space="preserve">[licence change from use only in adults, adolescents and children </w:t>
            </w:r>
            <w:r>
              <w:rPr>
                <w:rFonts w:cs="Arial"/>
                <w:sz w:val="16"/>
                <w:szCs w:val="16"/>
                <w:lang w:val="en-US"/>
              </w:rPr>
              <w:t>aged ≥</w:t>
            </w:r>
            <w:r w:rsidRPr="00306E97">
              <w:rPr>
                <w:rFonts w:cs="Arial"/>
                <w:sz w:val="16"/>
                <w:szCs w:val="16"/>
                <w:lang w:val="en-US"/>
              </w:rPr>
              <w:t xml:space="preserve">12 years weighing </w:t>
            </w:r>
            <w:r>
              <w:rPr>
                <w:rFonts w:cs="Arial"/>
                <w:sz w:val="16"/>
                <w:szCs w:val="16"/>
                <w:lang w:val="en-US"/>
              </w:rPr>
              <w:t>≥</w:t>
            </w:r>
            <w:r w:rsidRPr="00306E97">
              <w:rPr>
                <w:rFonts w:cs="Arial"/>
                <w:sz w:val="16"/>
                <w:szCs w:val="16"/>
                <w:lang w:val="en-US"/>
              </w:rPr>
              <w:t>40kg]</w:t>
            </w:r>
          </w:p>
        </w:tc>
      </w:tr>
      <w:tr w:rsidR="001B10B5" w14:paraId="6EF389F4" w14:textId="77777777" w:rsidTr="003F40E9">
        <w:tc>
          <w:tcPr>
            <w:tcW w:w="1158" w:type="pct"/>
            <w:gridSpan w:val="2"/>
            <w:shd w:val="clear" w:color="auto" w:fill="auto"/>
            <w:tcMar>
              <w:top w:w="57" w:type="dxa"/>
              <w:bottom w:w="57" w:type="dxa"/>
            </w:tcMar>
          </w:tcPr>
          <w:p w14:paraId="4C5E7C7F" w14:textId="3A0C1A10" w:rsidR="001B10B5" w:rsidRPr="00A000A9" w:rsidRDefault="001B10B5" w:rsidP="001B10B5">
            <w:pPr>
              <w:rPr>
                <w:rFonts w:cs="Arial"/>
                <w:szCs w:val="19"/>
              </w:rPr>
            </w:pPr>
            <w:r w:rsidRPr="00622582">
              <w:rPr>
                <w:rFonts w:cs="Arial"/>
                <w:szCs w:val="19"/>
              </w:rPr>
              <w:t>Empagliflozin + metformin</w:t>
            </w:r>
            <w:r>
              <w:rPr>
                <w:rFonts w:cs="Arial"/>
                <w:szCs w:val="19"/>
              </w:rPr>
              <w:t xml:space="preserve"> (</w:t>
            </w:r>
            <w:r>
              <w:rPr>
                <w:rFonts w:cs="Arial"/>
                <w:i/>
                <w:iCs/>
                <w:szCs w:val="19"/>
              </w:rPr>
              <w:t>Synjardy</w:t>
            </w:r>
            <w:r>
              <w:rPr>
                <w:rFonts w:cs="Arial"/>
                <w:szCs w:val="19"/>
              </w:rPr>
              <w:t>)</w:t>
            </w:r>
            <w:r w:rsidRPr="00622582">
              <w:rPr>
                <w:rFonts w:cs="Arial"/>
                <w:szCs w:val="19"/>
              </w:rPr>
              <w:t xml:space="preserve"> </w:t>
            </w:r>
          </w:p>
        </w:tc>
        <w:tc>
          <w:tcPr>
            <w:tcW w:w="3842" w:type="pct"/>
            <w:shd w:val="clear" w:color="auto" w:fill="auto"/>
            <w:tcMar>
              <w:top w:w="57" w:type="dxa"/>
              <w:bottom w:w="57" w:type="dxa"/>
            </w:tcMar>
          </w:tcPr>
          <w:p w14:paraId="5FDAFB9C" w14:textId="7AF040C2" w:rsidR="001B10B5" w:rsidRPr="00A000A9" w:rsidRDefault="001B10B5" w:rsidP="001B10B5">
            <w:pPr>
              <w:tabs>
                <w:tab w:val="center" w:pos="3152"/>
              </w:tabs>
              <w:rPr>
                <w:rFonts w:cs="Arial"/>
                <w:szCs w:val="19"/>
                <w:lang w:val="en-US"/>
              </w:rPr>
            </w:pPr>
            <w:r>
              <w:rPr>
                <w:rFonts w:cs="Arial"/>
                <w:szCs w:val="19"/>
                <w:lang w:val="en-US"/>
              </w:rPr>
              <w:t xml:space="preserve">Use </w:t>
            </w:r>
            <w:r w:rsidRPr="00622582">
              <w:rPr>
                <w:rFonts w:cs="Arial"/>
                <w:szCs w:val="19"/>
                <w:lang w:val="en-US"/>
              </w:rPr>
              <w:t xml:space="preserve">in adults and children aged </w:t>
            </w:r>
            <w:r>
              <w:rPr>
                <w:rFonts w:cs="Arial"/>
                <w:szCs w:val="19"/>
                <w:lang w:val="en-US"/>
              </w:rPr>
              <w:t>≥</w:t>
            </w:r>
            <w:r w:rsidRPr="00622582">
              <w:rPr>
                <w:rFonts w:cs="Arial"/>
                <w:szCs w:val="19"/>
                <w:lang w:val="en-US"/>
              </w:rPr>
              <w:t>10 years for the treatment of type 2 diabetes mellitus as an adjunct to diet and exercise in patients insufficiently controlled on their maximally tolerated dose of metformin alone, in combination with other medicinal products for the treatment of diabetes in patients insufficiently controlled with metformin and these medicinal products</w:t>
            </w:r>
            <w:r>
              <w:rPr>
                <w:rFonts w:cs="Arial"/>
                <w:szCs w:val="19"/>
                <w:lang w:val="en-US"/>
              </w:rPr>
              <w:t>,</w:t>
            </w:r>
            <w:r w:rsidRPr="00622582">
              <w:rPr>
                <w:rFonts w:cs="Arial"/>
                <w:szCs w:val="19"/>
                <w:lang w:val="en-US"/>
              </w:rPr>
              <w:t xml:space="preserve"> and in patients already being treated with the combination of empagliflozin and metformin as separate tablets</w:t>
            </w:r>
            <w:r>
              <w:rPr>
                <w:rFonts w:cs="Arial"/>
                <w:szCs w:val="19"/>
                <w:lang w:val="en-US"/>
              </w:rPr>
              <w:t xml:space="preserve"> </w:t>
            </w:r>
            <w:r w:rsidRPr="00306E97">
              <w:rPr>
                <w:rFonts w:cs="Arial"/>
                <w:sz w:val="16"/>
                <w:szCs w:val="16"/>
                <w:lang w:val="en-US"/>
              </w:rPr>
              <w:t>[EU] [licence change from use only in adults]</w:t>
            </w:r>
          </w:p>
        </w:tc>
      </w:tr>
      <w:tr w:rsidR="001B10B5" w14:paraId="66C18A31" w14:textId="77777777" w:rsidTr="003F40E9">
        <w:tc>
          <w:tcPr>
            <w:tcW w:w="1158" w:type="pct"/>
            <w:gridSpan w:val="2"/>
            <w:shd w:val="clear" w:color="auto" w:fill="auto"/>
            <w:tcMar>
              <w:top w:w="57" w:type="dxa"/>
              <w:bottom w:w="57" w:type="dxa"/>
            </w:tcMar>
          </w:tcPr>
          <w:p w14:paraId="5BBE6EA6" w14:textId="77777777" w:rsidR="001B10B5" w:rsidRDefault="001B10B5" w:rsidP="001B10B5">
            <w:pPr>
              <w:rPr>
                <w:rFonts w:cs="Arial"/>
                <w:szCs w:val="19"/>
              </w:rPr>
            </w:pPr>
            <w:r w:rsidRPr="004F3645">
              <w:rPr>
                <w:rFonts w:cs="Arial"/>
                <w:szCs w:val="19"/>
              </w:rPr>
              <w:t>Fenofibrate + pravastatin </w:t>
            </w:r>
          </w:p>
          <w:p w14:paraId="4CB4E21E" w14:textId="33519499" w:rsidR="001B10B5" w:rsidRPr="00A000A9" w:rsidRDefault="001B10B5" w:rsidP="001B10B5">
            <w:pPr>
              <w:rPr>
                <w:rFonts w:cs="Arial"/>
                <w:szCs w:val="19"/>
              </w:rPr>
            </w:pPr>
            <w:r>
              <w:rPr>
                <w:rFonts w:cs="Arial"/>
                <w:szCs w:val="19"/>
              </w:rPr>
              <w:t>(</w:t>
            </w:r>
            <w:r w:rsidRPr="004F3645">
              <w:rPr>
                <w:rFonts w:cs="Arial"/>
                <w:i/>
                <w:iCs/>
                <w:szCs w:val="19"/>
              </w:rPr>
              <w:t>Pravafenix</w:t>
            </w:r>
            <w:r>
              <w:rPr>
                <w:rFonts w:cs="Arial"/>
                <w:szCs w:val="19"/>
              </w:rPr>
              <w:t>)</w:t>
            </w:r>
          </w:p>
        </w:tc>
        <w:tc>
          <w:tcPr>
            <w:tcW w:w="3842" w:type="pct"/>
            <w:shd w:val="clear" w:color="auto" w:fill="auto"/>
            <w:tcMar>
              <w:top w:w="57" w:type="dxa"/>
              <w:bottom w:w="57" w:type="dxa"/>
            </w:tcMar>
          </w:tcPr>
          <w:p w14:paraId="52537522" w14:textId="2B827361" w:rsidR="001B10B5" w:rsidRPr="00A000A9" w:rsidRDefault="001B10B5" w:rsidP="001B10B5">
            <w:pPr>
              <w:tabs>
                <w:tab w:val="center" w:pos="3152"/>
              </w:tabs>
              <w:rPr>
                <w:rFonts w:cs="Arial"/>
                <w:szCs w:val="19"/>
                <w:lang w:val="en-US"/>
              </w:rPr>
            </w:pPr>
            <w:r>
              <w:rPr>
                <w:rFonts w:cs="Arial"/>
                <w:szCs w:val="19"/>
                <w:lang w:val="en-US"/>
              </w:rPr>
              <w:t>Use</w:t>
            </w:r>
            <w:r w:rsidRPr="004F3645">
              <w:rPr>
                <w:rFonts w:cs="Arial"/>
                <w:szCs w:val="19"/>
                <w:lang w:val="en-US"/>
              </w:rPr>
              <w:t xml:space="preserve"> as an adjunct to diet and other non-pharmacological treatment (e.g. exercise, weight reduction) for the treatment of mixed hyperlipidaemia in adults at high cardiovascular risk to reduce triglycerides and increase HDL-C when LDL-C levels are adequately controlled while on a treatment with pravastatin 40mg monotherapy or on another moderate-intensity statin regimen</w:t>
            </w:r>
            <w:r>
              <w:rPr>
                <w:rFonts w:cs="Arial"/>
                <w:szCs w:val="19"/>
                <w:lang w:val="en-US"/>
              </w:rPr>
              <w:t xml:space="preserve"> </w:t>
            </w:r>
            <w:r w:rsidRPr="004F3645">
              <w:rPr>
                <w:rFonts w:cs="Arial"/>
                <w:sz w:val="16"/>
                <w:szCs w:val="16"/>
                <w:lang w:val="en-US"/>
              </w:rPr>
              <w:t>[EU] [licence change from use only in patients who are inadequately controlled on treatment with pravastatin 40mg monotherapy]</w:t>
            </w:r>
          </w:p>
        </w:tc>
      </w:tr>
      <w:tr w:rsidR="001B10B5" w14:paraId="44DB974B" w14:textId="77777777" w:rsidTr="003F40E9">
        <w:tc>
          <w:tcPr>
            <w:tcW w:w="1158" w:type="pct"/>
            <w:gridSpan w:val="2"/>
            <w:shd w:val="clear" w:color="auto" w:fill="auto"/>
            <w:tcMar>
              <w:top w:w="57" w:type="dxa"/>
              <w:bottom w:w="57" w:type="dxa"/>
            </w:tcMar>
          </w:tcPr>
          <w:p w14:paraId="7406BB7E" w14:textId="54327901" w:rsidR="001B10B5" w:rsidRPr="006276AF" w:rsidRDefault="001B10B5" w:rsidP="001B10B5">
            <w:pPr>
              <w:rPr>
                <w:rFonts w:cs="Arial"/>
                <w:szCs w:val="19"/>
              </w:rPr>
            </w:pPr>
            <w:r w:rsidRPr="00A000A9">
              <w:rPr>
                <w:rFonts w:cs="Arial"/>
                <w:szCs w:val="19"/>
              </w:rPr>
              <w:t>Marstacimab (</w:t>
            </w:r>
            <w:r w:rsidRPr="00A000A9">
              <w:rPr>
                <w:rFonts w:cs="Arial"/>
                <w:i/>
                <w:iCs/>
                <w:szCs w:val="19"/>
              </w:rPr>
              <w:t>Hympazvi</w:t>
            </w:r>
            <w:r w:rsidRPr="00A000A9">
              <w:rPr>
                <w:rFonts w:cs="Arial"/>
                <w:szCs w:val="19"/>
              </w:rPr>
              <w:t>)</w:t>
            </w:r>
          </w:p>
        </w:tc>
        <w:tc>
          <w:tcPr>
            <w:tcW w:w="3842" w:type="pct"/>
            <w:shd w:val="clear" w:color="auto" w:fill="auto"/>
            <w:tcMar>
              <w:top w:w="57" w:type="dxa"/>
              <w:bottom w:w="57" w:type="dxa"/>
            </w:tcMar>
          </w:tcPr>
          <w:p w14:paraId="4153BF38" w14:textId="2F59102E" w:rsidR="001B10B5" w:rsidRDefault="001B10B5" w:rsidP="001B10B5">
            <w:pPr>
              <w:tabs>
                <w:tab w:val="center" w:pos="3152"/>
              </w:tabs>
              <w:rPr>
                <w:rFonts w:cs="Arial"/>
                <w:szCs w:val="19"/>
                <w:lang w:val="en-US"/>
              </w:rPr>
            </w:pPr>
            <w:r w:rsidRPr="00A000A9">
              <w:rPr>
                <w:rFonts w:cs="Arial"/>
                <w:szCs w:val="19"/>
                <w:lang w:val="en-US"/>
              </w:rPr>
              <w:t xml:space="preserve">Routine prophylaxis of bleeding episodes in patients </w:t>
            </w:r>
            <w:r>
              <w:rPr>
                <w:rFonts w:cs="Arial"/>
                <w:szCs w:val="19"/>
                <w:lang w:val="en-US"/>
              </w:rPr>
              <w:t>aged ≥</w:t>
            </w:r>
            <w:r w:rsidRPr="00A000A9">
              <w:rPr>
                <w:rFonts w:cs="Arial"/>
                <w:szCs w:val="19"/>
                <w:lang w:val="en-US"/>
              </w:rPr>
              <w:t xml:space="preserve">12 years, weighing </w:t>
            </w:r>
            <w:r>
              <w:rPr>
                <w:rFonts w:cs="Arial"/>
                <w:szCs w:val="19"/>
                <w:lang w:val="en-US"/>
              </w:rPr>
              <w:t>≥</w:t>
            </w:r>
            <w:r w:rsidRPr="00A000A9">
              <w:rPr>
                <w:rFonts w:cs="Arial"/>
                <w:szCs w:val="19"/>
                <w:lang w:val="en-US"/>
              </w:rPr>
              <w:t>35kg, with severe haemophilia A (congenital factor VIII deficiency, FVIII &lt;1%) without factor VIII inhibitors, or severe haemophilia B (congenital factor IX deficiency, FIX &lt;1%) without factor IX inhibitors</w:t>
            </w:r>
            <w:r>
              <w:rPr>
                <w:rFonts w:cs="Arial"/>
                <w:szCs w:val="19"/>
                <w:lang w:val="en-US"/>
              </w:rPr>
              <w:t xml:space="preserve"> </w:t>
            </w:r>
            <w:r w:rsidRPr="004F0987">
              <w:rPr>
                <w:rFonts w:cs="Arial"/>
                <w:sz w:val="16"/>
                <w:szCs w:val="16"/>
                <w:lang w:val="en-US"/>
              </w:rPr>
              <w:t>[EU]</w:t>
            </w:r>
          </w:p>
        </w:tc>
      </w:tr>
      <w:tr w:rsidR="001B10B5" w:rsidRPr="00A075A3" w14:paraId="1EC7BEC1" w14:textId="77777777" w:rsidTr="003F40E9">
        <w:tc>
          <w:tcPr>
            <w:tcW w:w="1158" w:type="pct"/>
            <w:gridSpan w:val="2"/>
            <w:shd w:val="clear" w:color="auto" w:fill="auto"/>
            <w:tcMar>
              <w:top w:w="57" w:type="dxa"/>
              <w:bottom w:w="57" w:type="dxa"/>
            </w:tcMar>
          </w:tcPr>
          <w:p w14:paraId="3747EAD1" w14:textId="4C5B9E74" w:rsidR="001B10B5" w:rsidRPr="00785862" w:rsidRDefault="001B10B5" w:rsidP="001B10B5">
            <w:pPr>
              <w:rPr>
                <w:rFonts w:cs="Arial"/>
                <w:szCs w:val="19"/>
              </w:rPr>
            </w:pPr>
            <w:r w:rsidRPr="009D0ABD">
              <w:rPr>
                <w:rFonts w:cs="Arial"/>
                <w:szCs w:val="19"/>
              </w:rPr>
              <w:t>Meningococcal ABCWY vaccine (</w:t>
            </w:r>
            <w:r w:rsidRPr="009D0ABD">
              <w:rPr>
                <w:rFonts w:cs="Arial"/>
                <w:i/>
                <w:iCs/>
                <w:szCs w:val="19"/>
              </w:rPr>
              <w:t>Penbraya</w:t>
            </w:r>
            <w:r w:rsidRPr="009D0ABD">
              <w:rPr>
                <w:rFonts w:cs="Arial"/>
                <w:szCs w:val="19"/>
              </w:rPr>
              <w:t>)</w:t>
            </w:r>
          </w:p>
        </w:tc>
        <w:tc>
          <w:tcPr>
            <w:tcW w:w="3842" w:type="pct"/>
            <w:shd w:val="clear" w:color="auto" w:fill="auto"/>
            <w:tcMar>
              <w:top w:w="57" w:type="dxa"/>
              <w:bottom w:w="57" w:type="dxa"/>
            </w:tcMar>
          </w:tcPr>
          <w:p w14:paraId="5D083435" w14:textId="404BD048" w:rsidR="001B10B5" w:rsidRDefault="001B10B5" w:rsidP="001B10B5">
            <w:pPr>
              <w:tabs>
                <w:tab w:val="num" w:pos="720"/>
                <w:tab w:val="center" w:pos="3152"/>
              </w:tabs>
              <w:rPr>
                <w:rFonts w:cs="Arial"/>
                <w:szCs w:val="19"/>
                <w:lang w:val="en-US"/>
              </w:rPr>
            </w:pPr>
            <w:r>
              <w:rPr>
                <w:rFonts w:cs="Arial"/>
                <w:szCs w:val="19"/>
                <w:lang w:val="en-US"/>
              </w:rPr>
              <w:t>Activ</w:t>
            </w:r>
            <w:r w:rsidRPr="009D0ABD">
              <w:rPr>
                <w:rFonts w:cs="Arial"/>
                <w:szCs w:val="19"/>
                <w:lang w:val="en-US"/>
              </w:rPr>
              <w:t xml:space="preserve">e immunisation of individuals </w:t>
            </w:r>
            <w:r>
              <w:rPr>
                <w:rFonts w:cs="Arial"/>
                <w:szCs w:val="19"/>
                <w:lang w:val="en-US"/>
              </w:rPr>
              <w:t>aged ≥</w:t>
            </w:r>
            <w:r w:rsidRPr="009D0ABD">
              <w:rPr>
                <w:rFonts w:cs="Arial"/>
                <w:szCs w:val="19"/>
                <w:lang w:val="en-US"/>
              </w:rPr>
              <w:t xml:space="preserve">10 years to prevent invasive disease caused by </w:t>
            </w:r>
            <w:r w:rsidRPr="009D0ABD">
              <w:rPr>
                <w:rFonts w:cs="Arial"/>
                <w:i/>
                <w:iCs/>
                <w:szCs w:val="19"/>
                <w:lang w:val="en-US"/>
              </w:rPr>
              <w:t>Neisseria meningitidis</w:t>
            </w:r>
            <w:r w:rsidRPr="009D0ABD">
              <w:rPr>
                <w:rFonts w:cs="Arial"/>
                <w:szCs w:val="19"/>
                <w:lang w:val="en-US"/>
              </w:rPr>
              <w:t xml:space="preserve"> groups A, B, C, W and Y</w:t>
            </w:r>
            <w:r>
              <w:rPr>
                <w:rFonts w:cs="Arial"/>
                <w:szCs w:val="19"/>
                <w:lang w:val="en-US"/>
              </w:rPr>
              <w:t xml:space="preserve"> </w:t>
            </w:r>
            <w:r w:rsidRPr="004F0987">
              <w:rPr>
                <w:rFonts w:cs="Arial"/>
                <w:sz w:val="16"/>
                <w:szCs w:val="16"/>
                <w:lang w:val="en-US"/>
              </w:rPr>
              <w:t>[EU]</w:t>
            </w:r>
          </w:p>
        </w:tc>
      </w:tr>
      <w:tr w:rsidR="001B10B5" w:rsidRPr="00A075A3" w14:paraId="12F3E19A" w14:textId="77777777" w:rsidTr="003F40E9">
        <w:tc>
          <w:tcPr>
            <w:tcW w:w="1158" w:type="pct"/>
            <w:gridSpan w:val="2"/>
            <w:shd w:val="clear" w:color="auto" w:fill="auto"/>
            <w:tcMar>
              <w:top w:w="57" w:type="dxa"/>
              <w:bottom w:w="57" w:type="dxa"/>
            </w:tcMar>
          </w:tcPr>
          <w:p w14:paraId="6FEDC25C" w14:textId="1401FFE5" w:rsidR="001B10B5" w:rsidRPr="00A958E1" w:rsidRDefault="001B10B5" w:rsidP="001B10B5">
            <w:pPr>
              <w:rPr>
                <w:rFonts w:cs="Arial"/>
                <w:szCs w:val="19"/>
              </w:rPr>
            </w:pPr>
            <w:r>
              <w:rPr>
                <w:rFonts w:cs="Arial"/>
                <w:szCs w:val="19"/>
              </w:rPr>
              <w:t>Midazolam (</w:t>
            </w:r>
            <w:r>
              <w:rPr>
                <w:rFonts w:cs="Arial"/>
                <w:i/>
                <w:iCs/>
                <w:szCs w:val="19"/>
              </w:rPr>
              <w:t>Buccolam</w:t>
            </w:r>
            <w:r>
              <w:rPr>
                <w:rFonts w:cs="Arial"/>
                <w:szCs w:val="19"/>
              </w:rPr>
              <w:t>)</w:t>
            </w:r>
          </w:p>
        </w:tc>
        <w:tc>
          <w:tcPr>
            <w:tcW w:w="3842" w:type="pct"/>
            <w:shd w:val="clear" w:color="auto" w:fill="auto"/>
            <w:tcMar>
              <w:top w:w="57" w:type="dxa"/>
              <w:bottom w:w="57" w:type="dxa"/>
            </w:tcMar>
          </w:tcPr>
          <w:p w14:paraId="0F4631DF" w14:textId="70F26624" w:rsidR="001B10B5" w:rsidRDefault="001B10B5" w:rsidP="001B10B5">
            <w:pPr>
              <w:tabs>
                <w:tab w:val="num" w:pos="720"/>
                <w:tab w:val="center" w:pos="3152"/>
              </w:tabs>
              <w:rPr>
                <w:rFonts w:cs="Arial"/>
                <w:szCs w:val="19"/>
                <w:lang w:val="en-US"/>
              </w:rPr>
            </w:pPr>
            <w:r>
              <w:rPr>
                <w:rFonts w:cs="Arial"/>
                <w:szCs w:val="19"/>
                <w:lang w:val="en-US"/>
              </w:rPr>
              <w:t>T</w:t>
            </w:r>
            <w:r w:rsidRPr="00A958E1">
              <w:rPr>
                <w:rFonts w:cs="Arial"/>
                <w:szCs w:val="19"/>
                <w:lang w:val="en-US"/>
              </w:rPr>
              <w:t xml:space="preserve">reatment of prolonged, acute, convulsive seizures in infants </w:t>
            </w:r>
            <w:r>
              <w:rPr>
                <w:rFonts w:cs="Arial"/>
                <w:szCs w:val="19"/>
                <w:lang w:val="en-US"/>
              </w:rPr>
              <w:t>aged</w:t>
            </w:r>
            <w:r w:rsidRPr="00A958E1">
              <w:rPr>
                <w:rFonts w:cs="Arial"/>
                <w:szCs w:val="19"/>
                <w:lang w:val="en-US"/>
              </w:rPr>
              <w:t xml:space="preserve"> </w:t>
            </w:r>
            <w:r>
              <w:rPr>
                <w:rFonts w:cs="Arial"/>
                <w:szCs w:val="19"/>
                <w:lang w:val="en-US"/>
              </w:rPr>
              <w:t>≥</w:t>
            </w:r>
            <w:r w:rsidRPr="00A958E1">
              <w:rPr>
                <w:rFonts w:cs="Arial"/>
                <w:szCs w:val="19"/>
                <w:lang w:val="en-US"/>
              </w:rPr>
              <w:t>3 months to adults</w:t>
            </w:r>
            <w:r>
              <w:rPr>
                <w:rFonts w:cs="Arial"/>
                <w:szCs w:val="19"/>
                <w:lang w:val="en-US"/>
              </w:rPr>
              <w:t xml:space="preserve"> </w:t>
            </w:r>
            <w:r w:rsidRPr="00A958E1">
              <w:rPr>
                <w:rFonts w:cs="Arial"/>
                <w:sz w:val="16"/>
                <w:szCs w:val="16"/>
                <w:lang w:val="en-US"/>
              </w:rPr>
              <w:t xml:space="preserve">[EU] [licence change from use only in in toddlers, children and adolescents aged ≥3 months to </w:t>
            </w:r>
            <w:r>
              <w:rPr>
                <w:rFonts w:cs="Arial"/>
                <w:sz w:val="16"/>
                <w:szCs w:val="16"/>
                <w:lang w:val="en-US"/>
              </w:rPr>
              <w:t>17</w:t>
            </w:r>
            <w:r w:rsidRPr="00A958E1">
              <w:rPr>
                <w:rFonts w:cs="Arial"/>
                <w:sz w:val="16"/>
                <w:szCs w:val="16"/>
                <w:lang w:val="en-US"/>
              </w:rPr>
              <w:t xml:space="preserve"> years]</w:t>
            </w:r>
          </w:p>
        </w:tc>
      </w:tr>
      <w:tr w:rsidR="001B10B5" w:rsidRPr="00A075A3" w14:paraId="5720FDCC" w14:textId="77777777" w:rsidTr="003F40E9">
        <w:tc>
          <w:tcPr>
            <w:tcW w:w="1158" w:type="pct"/>
            <w:gridSpan w:val="2"/>
            <w:shd w:val="clear" w:color="auto" w:fill="auto"/>
            <w:tcMar>
              <w:top w:w="57" w:type="dxa"/>
              <w:bottom w:w="57" w:type="dxa"/>
            </w:tcMar>
          </w:tcPr>
          <w:p w14:paraId="4DDC489D" w14:textId="55F5FD86" w:rsidR="001B10B5" w:rsidRPr="00E411E8" w:rsidRDefault="001B10B5" w:rsidP="001B10B5">
            <w:pPr>
              <w:rPr>
                <w:rFonts w:cs="Arial"/>
                <w:szCs w:val="19"/>
              </w:rPr>
            </w:pPr>
            <w:r w:rsidRPr="004F0987">
              <w:rPr>
                <w:rFonts w:cs="Arial"/>
                <w:szCs w:val="19"/>
              </w:rPr>
              <w:t>Mirvetuximab soravtansine</w:t>
            </w:r>
            <w:r>
              <w:rPr>
                <w:rFonts w:cs="Arial"/>
                <w:szCs w:val="19"/>
              </w:rPr>
              <w:t xml:space="preserve"> (</w:t>
            </w:r>
            <w:r>
              <w:rPr>
                <w:rFonts w:cs="Arial"/>
                <w:i/>
                <w:iCs/>
                <w:szCs w:val="19"/>
              </w:rPr>
              <w:t>Elahere</w:t>
            </w:r>
            <w:r>
              <w:rPr>
                <w:rFonts w:cs="Arial"/>
                <w:szCs w:val="19"/>
              </w:rPr>
              <w:t>)</w:t>
            </w:r>
          </w:p>
        </w:tc>
        <w:tc>
          <w:tcPr>
            <w:tcW w:w="3842" w:type="pct"/>
            <w:shd w:val="clear" w:color="auto" w:fill="auto"/>
            <w:tcMar>
              <w:top w:w="57" w:type="dxa"/>
              <w:bottom w:w="57" w:type="dxa"/>
            </w:tcMar>
          </w:tcPr>
          <w:p w14:paraId="16DA7E03" w14:textId="590BD9B1" w:rsidR="001B10B5" w:rsidRDefault="001B10B5" w:rsidP="001B10B5">
            <w:pPr>
              <w:tabs>
                <w:tab w:val="num" w:pos="720"/>
                <w:tab w:val="center" w:pos="3152"/>
              </w:tabs>
              <w:rPr>
                <w:rFonts w:cs="Arial"/>
                <w:szCs w:val="19"/>
                <w:lang w:val="en-US"/>
              </w:rPr>
            </w:pPr>
            <w:r w:rsidRPr="004F0987">
              <w:rPr>
                <w:rFonts w:cs="Arial"/>
                <w:szCs w:val="19"/>
                <w:lang w:val="en-US"/>
              </w:rPr>
              <w:t>Monotherapy for the treatment of adult</w:t>
            </w:r>
            <w:r>
              <w:rPr>
                <w:rFonts w:cs="Arial"/>
                <w:szCs w:val="19"/>
                <w:lang w:val="en-US"/>
              </w:rPr>
              <w:t>s</w:t>
            </w:r>
            <w:r w:rsidRPr="004F0987">
              <w:rPr>
                <w:rFonts w:cs="Arial"/>
                <w:szCs w:val="19"/>
                <w:lang w:val="en-US"/>
              </w:rPr>
              <w:t xml:space="preserve"> with folate receptor-alpha</w:t>
            </w:r>
            <w:r>
              <w:rPr>
                <w:rFonts w:cs="Arial"/>
                <w:szCs w:val="19"/>
                <w:lang w:val="en-US"/>
              </w:rPr>
              <w:t>-</w:t>
            </w:r>
            <w:r w:rsidRPr="004F0987">
              <w:rPr>
                <w:rFonts w:cs="Arial"/>
                <w:szCs w:val="19"/>
                <w:lang w:val="en-US"/>
              </w:rPr>
              <w:t>positive, platinum-resistant high grade serous epithelial ovarian, fallopian tube, or primary peritoneal cancer who have received one to three prior systemic treatment regimens</w:t>
            </w:r>
            <w:r>
              <w:rPr>
                <w:rFonts w:cs="Arial"/>
                <w:szCs w:val="19"/>
                <w:lang w:val="en-US"/>
              </w:rPr>
              <w:t xml:space="preserve"> </w:t>
            </w:r>
            <w:r w:rsidRPr="004F0987">
              <w:rPr>
                <w:rFonts w:cs="Arial"/>
                <w:sz w:val="16"/>
                <w:szCs w:val="16"/>
                <w:lang w:val="en-US"/>
              </w:rPr>
              <w:t>[EU]</w:t>
            </w:r>
          </w:p>
        </w:tc>
      </w:tr>
      <w:tr w:rsidR="001B10B5" w:rsidRPr="00A075A3" w14:paraId="00B63113" w14:textId="77777777" w:rsidTr="003F40E9">
        <w:tc>
          <w:tcPr>
            <w:tcW w:w="1158" w:type="pct"/>
            <w:gridSpan w:val="2"/>
            <w:shd w:val="clear" w:color="auto" w:fill="auto"/>
            <w:tcMar>
              <w:top w:w="57" w:type="dxa"/>
              <w:bottom w:w="57" w:type="dxa"/>
            </w:tcMar>
          </w:tcPr>
          <w:p w14:paraId="27B56A9B" w14:textId="4C86A2E7" w:rsidR="001B10B5" w:rsidRPr="00E411E8" w:rsidRDefault="001B10B5" w:rsidP="001B10B5">
            <w:pPr>
              <w:rPr>
                <w:rFonts w:cs="Arial"/>
                <w:szCs w:val="19"/>
              </w:rPr>
            </w:pPr>
            <w:r>
              <w:rPr>
                <w:rFonts w:cs="Arial"/>
                <w:szCs w:val="19"/>
              </w:rPr>
              <w:t>Pembrolizumab (</w:t>
            </w:r>
            <w:r>
              <w:rPr>
                <w:rFonts w:cs="Arial"/>
                <w:i/>
                <w:iCs/>
                <w:szCs w:val="19"/>
              </w:rPr>
              <w:t>Keytruda</w:t>
            </w:r>
            <w:r>
              <w:rPr>
                <w:rFonts w:cs="Arial"/>
                <w:szCs w:val="19"/>
              </w:rPr>
              <w:t>)</w:t>
            </w:r>
          </w:p>
        </w:tc>
        <w:tc>
          <w:tcPr>
            <w:tcW w:w="3842" w:type="pct"/>
            <w:shd w:val="clear" w:color="auto" w:fill="auto"/>
            <w:tcMar>
              <w:top w:w="57" w:type="dxa"/>
              <w:bottom w:w="57" w:type="dxa"/>
            </w:tcMar>
          </w:tcPr>
          <w:p w14:paraId="75C77A92" w14:textId="64245859" w:rsidR="001B10B5" w:rsidRDefault="001B10B5" w:rsidP="001B10B5">
            <w:pPr>
              <w:tabs>
                <w:tab w:val="num" w:pos="720"/>
                <w:tab w:val="center" w:pos="3152"/>
              </w:tabs>
              <w:rPr>
                <w:rFonts w:cs="Arial"/>
                <w:szCs w:val="19"/>
                <w:lang w:val="en-US"/>
              </w:rPr>
            </w:pPr>
            <w:r>
              <w:rPr>
                <w:rFonts w:cs="Arial"/>
                <w:szCs w:val="19"/>
                <w:lang w:val="en-US"/>
              </w:rPr>
              <w:t xml:space="preserve">Use </w:t>
            </w:r>
            <w:r w:rsidRPr="0006357A">
              <w:rPr>
                <w:rFonts w:cs="Arial"/>
                <w:szCs w:val="19"/>
                <w:lang w:val="en-US"/>
              </w:rPr>
              <w:t>in combination with carboplatin and paclitaxel, for the first-line treatment of primary advanced or recurrent endometrial carcinoma in adults who are candidates for systemic therapy</w:t>
            </w:r>
            <w:r>
              <w:rPr>
                <w:rFonts w:cs="Arial"/>
                <w:szCs w:val="19"/>
                <w:lang w:val="en-US"/>
              </w:rPr>
              <w:t xml:space="preserve"> </w:t>
            </w:r>
            <w:r w:rsidRPr="0006357A">
              <w:rPr>
                <w:rFonts w:cs="Arial"/>
                <w:sz w:val="16"/>
                <w:szCs w:val="16"/>
                <w:lang w:val="en-US"/>
              </w:rPr>
              <w:t>[EU] [new indication]</w:t>
            </w:r>
          </w:p>
        </w:tc>
      </w:tr>
      <w:tr w:rsidR="001B10B5" w:rsidRPr="00A075A3" w14:paraId="52C6752D" w14:textId="77777777" w:rsidTr="003F40E9">
        <w:tc>
          <w:tcPr>
            <w:tcW w:w="1158" w:type="pct"/>
            <w:gridSpan w:val="2"/>
            <w:shd w:val="clear" w:color="auto" w:fill="auto"/>
            <w:tcMar>
              <w:top w:w="57" w:type="dxa"/>
              <w:bottom w:w="57" w:type="dxa"/>
            </w:tcMar>
          </w:tcPr>
          <w:p w14:paraId="68854718" w14:textId="5841BD83" w:rsidR="001B10B5" w:rsidRPr="0006357A" w:rsidRDefault="001B10B5" w:rsidP="001B10B5">
            <w:pPr>
              <w:rPr>
                <w:rFonts w:cs="Arial"/>
                <w:szCs w:val="19"/>
              </w:rPr>
            </w:pPr>
            <w:r>
              <w:rPr>
                <w:rFonts w:cs="Arial"/>
                <w:szCs w:val="19"/>
              </w:rPr>
              <w:t>Pembrolizumab (</w:t>
            </w:r>
            <w:r>
              <w:rPr>
                <w:rFonts w:cs="Arial"/>
                <w:i/>
                <w:iCs/>
                <w:szCs w:val="19"/>
              </w:rPr>
              <w:t>Keytruda</w:t>
            </w:r>
            <w:r>
              <w:rPr>
                <w:rFonts w:cs="Arial"/>
                <w:szCs w:val="19"/>
              </w:rPr>
              <w:t>)</w:t>
            </w:r>
          </w:p>
        </w:tc>
        <w:tc>
          <w:tcPr>
            <w:tcW w:w="3842" w:type="pct"/>
            <w:shd w:val="clear" w:color="auto" w:fill="auto"/>
            <w:tcMar>
              <w:top w:w="57" w:type="dxa"/>
              <w:bottom w:w="57" w:type="dxa"/>
            </w:tcMar>
          </w:tcPr>
          <w:p w14:paraId="5C054F77" w14:textId="764AAFB0" w:rsidR="001B10B5" w:rsidRDefault="001B10B5" w:rsidP="001B10B5">
            <w:pPr>
              <w:tabs>
                <w:tab w:val="num" w:pos="720"/>
                <w:tab w:val="center" w:pos="3152"/>
              </w:tabs>
              <w:rPr>
                <w:rFonts w:cs="Arial"/>
                <w:szCs w:val="19"/>
                <w:lang w:val="en-US"/>
              </w:rPr>
            </w:pPr>
            <w:r>
              <w:rPr>
                <w:rFonts w:cs="Arial"/>
                <w:szCs w:val="19"/>
                <w:lang w:val="en-US"/>
              </w:rPr>
              <w:t xml:space="preserve">Use </w:t>
            </w:r>
            <w:r w:rsidRPr="0006357A">
              <w:rPr>
                <w:rFonts w:cs="Arial"/>
                <w:szCs w:val="19"/>
                <w:lang w:val="en-US"/>
              </w:rPr>
              <w:t>in combination with chemoradiotherapy (external beam radiation therapy followed by brachytherapy), for the treatment of FIGO 2014 Stage III - IVA locally advanced cervical cancer in adults who have not received prior definitive therapy</w:t>
            </w:r>
            <w:r>
              <w:rPr>
                <w:rFonts w:cs="Arial"/>
                <w:szCs w:val="19"/>
                <w:lang w:val="en-US"/>
              </w:rPr>
              <w:t xml:space="preserve"> </w:t>
            </w:r>
            <w:r w:rsidRPr="0006357A">
              <w:rPr>
                <w:rFonts w:cs="Arial"/>
                <w:sz w:val="16"/>
                <w:szCs w:val="16"/>
                <w:lang w:val="en-US"/>
              </w:rPr>
              <w:t>[EU] [new indication]</w:t>
            </w:r>
          </w:p>
        </w:tc>
      </w:tr>
      <w:tr w:rsidR="001B10B5" w:rsidRPr="00A075A3" w14:paraId="668519A8" w14:textId="77777777" w:rsidTr="003F40E9">
        <w:tc>
          <w:tcPr>
            <w:tcW w:w="1158" w:type="pct"/>
            <w:gridSpan w:val="2"/>
            <w:shd w:val="clear" w:color="auto" w:fill="auto"/>
            <w:tcMar>
              <w:top w:w="57" w:type="dxa"/>
              <w:bottom w:w="57" w:type="dxa"/>
            </w:tcMar>
          </w:tcPr>
          <w:p w14:paraId="228A1D3C" w14:textId="75FAE2FF" w:rsidR="001B10B5" w:rsidRPr="00E411E8" w:rsidRDefault="001B10B5" w:rsidP="001B10B5">
            <w:pPr>
              <w:rPr>
                <w:rFonts w:cs="Arial"/>
                <w:szCs w:val="19"/>
              </w:rPr>
            </w:pPr>
            <w:r w:rsidRPr="00617114">
              <w:rPr>
                <w:rFonts w:cs="Arial"/>
                <w:szCs w:val="19"/>
              </w:rPr>
              <w:t>Serplulimab (</w:t>
            </w:r>
            <w:r w:rsidRPr="00617114">
              <w:rPr>
                <w:rFonts w:cs="Arial"/>
                <w:i/>
                <w:iCs/>
                <w:szCs w:val="19"/>
              </w:rPr>
              <w:t>Hetronifly</w:t>
            </w:r>
            <w:r w:rsidRPr="00617114">
              <w:rPr>
                <w:rFonts w:cs="Arial"/>
                <w:szCs w:val="19"/>
              </w:rPr>
              <w:t>)</w:t>
            </w:r>
          </w:p>
        </w:tc>
        <w:tc>
          <w:tcPr>
            <w:tcW w:w="3842" w:type="pct"/>
            <w:shd w:val="clear" w:color="auto" w:fill="auto"/>
            <w:tcMar>
              <w:top w:w="57" w:type="dxa"/>
              <w:bottom w:w="57" w:type="dxa"/>
            </w:tcMar>
          </w:tcPr>
          <w:p w14:paraId="27905121" w14:textId="6148C677" w:rsidR="001B10B5" w:rsidRDefault="001B10B5" w:rsidP="001B10B5">
            <w:pPr>
              <w:tabs>
                <w:tab w:val="num" w:pos="720"/>
                <w:tab w:val="center" w:pos="3152"/>
              </w:tabs>
              <w:rPr>
                <w:rFonts w:cs="Arial"/>
                <w:szCs w:val="19"/>
                <w:lang w:val="en-US"/>
              </w:rPr>
            </w:pPr>
            <w:r w:rsidRPr="00617114">
              <w:rPr>
                <w:rFonts w:cs="Arial"/>
                <w:szCs w:val="19"/>
                <w:lang w:val="en-US"/>
              </w:rPr>
              <w:t>Use in combination with carboplatin and etoposide for the first</w:t>
            </w:r>
            <w:r w:rsidRPr="00617114">
              <w:rPr>
                <w:rFonts w:ascii="Cambria Math" w:hAnsi="Cambria Math" w:cs="Cambria Math"/>
                <w:szCs w:val="19"/>
                <w:lang w:val="en-US"/>
              </w:rPr>
              <w:t>‑</w:t>
            </w:r>
            <w:r w:rsidRPr="00617114">
              <w:rPr>
                <w:rFonts w:cs="Arial"/>
                <w:szCs w:val="19"/>
                <w:lang w:val="en-US"/>
              </w:rPr>
              <w:t>line treatment of adults with extensive</w:t>
            </w:r>
            <w:r w:rsidRPr="00617114">
              <w:rPr>
                <w:rFonts w:ascii="Cambria Math" w:hAnsi="Cambria Math" w:cs="Cambria Math"/>
                <w:szCs w:val="19"/>
                <w:lang w:val="en-US"/>
              </w:rPr>
              <w:t>‑</w:t>
            </w:r>
            <w:r w:rsidRPr="00617114">
              <w:rPr>
                <w:rFonts w:cs="Arial"/>
                <w:szCs w:val="19"/>
                <w:lang w:val="en-US"/>
              </w:rPr>
              <w:t>stage small cell lung cancer</w:t>
            </w:r>
            <w:r>
              <w:rPr>
                <w:rFonts w:cs="Arial"/>
                <w:szCs w:val="19"/>
                <w:lang w:val="en-US"/>
              </w:rPr>
              <w:t xml:space="preserve"> </w:t>
            </w:r>
            <w:r w:rsidRPr="00617114">
              <w:rPr>
                <w:rFonts w:cs="Arial"/>
                <w:sz w:val="16"/>
                <w:szCs w:val="16"/>
                <w:lang w:val="en-US"/>
              </w:rPr>
              <w:t>[EU]</w:t>
            </w:r>
          </w:p>
        </w:tc>
      </w:tr>
      <w:tr w:rsidR="001B10B5" w:rsidRPr="00A075A3" w14:paraId="3A28BB1B" w14:textId="77777777" w:rsidTr="003F40E9">
        <w:tc>
          <w:tcPr>
            <w:tcW w:w="1158" w:type="pct"/>
            <w:gridSpan w:val="2"/>
            <w:shd w:val="clear" w:color="auto" w:fill="auto"/>
            <w:tcMar>
              <w:top w:w="57" w:type="dxa"/>
              <w:bottom w:w="57" w:type="dxa"/>
            </w:tcMar>
          </w:tcPr>
          <w:p w14:paraId="6534E091" w14:textId="32FC18A2" w:rsidR="001B10B5" w:rsidRPr="007600DE" w:rsidRDefault="001B10B5" w:rsidP="001B10B5">
            <w:pPr>
              <w:rPr>
                <w:rFonts w:cs="Arial"/>
                <w:i/>
                <w:iCs/>
                <w:szCs w:val="19"/>
              </w:rPr>
            </w:pPr>
            <w:r>
              <w:rPr>
                <w:rFonts w:cs="Arial"/>
                <w:szCs w:val="19"/>
              </w:rPr>
              <w:t>Smallpox vaccine (</w:t>
            </w:r>
            <w:r w:rsidRPr="007600DE">
              <w:rPr>
                <w:rFonts w:cs="Arial"/>
                <w:i/>
                <w:iCs/>
                <w:szCs w:val="19"/>
              </w:rPr>
              <w:t>Imvanex</w:t>
            </w:r>
            <w:r>
              <w:rPr>
                <w:rFonts w:cs="Arial"/>
                <w:szCs w:val="19"/>
              </w:rPr>
              <w:t>)</w:t>
            </w:r>
          </w:p>
        </w:tc>
        <w:tc>
          <w:tcPr>
            <w:tcW w:w="3842" w:type="pct"/>
            <w:shd w:val="clear" w:color="auto" w:fill="auto"/>
            <w:tcMar>
              <w:top w:w="57" w:type="dxa"/>
              <w:bottom w:w="57" w:type="dxa"/>
            </w:tcMar>
          </w:tcPr>
          <w:p w14:paraId="3897FF45" w14:textId="20961C38" w:rsidR="001B10B5" w:rsidRPr="007F4586" w:rsidRDefault="001B10B5" w:rsidP="001B10B5">
            <w:pPr>
              <w:tabs>
                <w:tab w:val="num" w:pos="720"/>
                <w:tab w:val="center" w:pos="3152"/>
              </w:tabs>
              <w:rPr>
                <w:rFonts w:cs="Arial"/>
                <w:szCs w:val="19"/>
                <w:lang w:val="en-US"/>
              </w:rPr>
            </w:pPr>
            <w:r w:rsidRPr="007600DE">
              <w:rPr>
                <w:rFonts w:cs="Arial"/>
                <w:szCs w:val="19"/>
                <w:lang w:val="en-US"/>
              </w:rPr>
              <w:t xml:space="preserve">Active immunisation against smallpox, monkeypox and disease caused by </w:t>
            </w:r>
            <w:r w:rsidRPr="007600DE">
              <w:rPr>
                <w:rFonts w:cs="Arial"/>
                <w:i/>
                <w:iCs/>
                <w:szCs w:val="19"/>
                <w:lang w:val="en-US"/>
              </w:rPr>
              <w:t>vaccinia</w:t>
            </w:r>
            <w:r w:rsidRPr="007600DE">
              <w:rPr>
                <w:rFonts w:cs="Arial"/>
                <w:szCs w:val="19"/>
                <w:lang w:val="en-US"/>
              </w:rPr>
              <w:t xml:space="preserve"> virus in individuals </w:t>
            </w:r>
            <w:r>
              <w:rPr>
                <w:rFonts w:cs="Arial"/>
                <w:szCs w:val="19"/>
                <w:lang w:val="en-US"/>
              </w:rPr>
              <w:t>aged ≥</w:t>
            </w:r>
            <w:r w:rsidRPr="007600DE">
              <w:rPr>
                <w:rFonts w:cs="Arial"/>
                <w:szCs w:val="19"/>
                <w:lang w:val="en-US"/>
              </w:rPr>
              <w:t xml:space="preserve">12 years </w:t>
            </w:r>
            <w:r w:rsidRPr="007600DE">
              <w:rPr>
                <w:rFonts w:cs="Arial"/>
                <w:sz w:val="16"/>
                <w:szCs w:val="16"/>
                <w:lang w:val="en-US"/>
              </w:rPr>
              <w:t>[EU] [licence change from use only in adults]</w:t>
            </w:r>
          </w:p>
        </w:tc>
      </w:tr>
      <w:tr w:rsidR="001B10B5" w:rsidRPr="00A075A3" w14:paraId="05982248" w14:textId="77777777" w:rsidTr="003F40E9">
        <w:tc>
          <w:tcPr>
            <w:tcW w:w="1158" w:type="pct"/>
            <w:gridSpan w:val="2"/>
            <w:shd w:val="clear" w:color="auto" w:fill="auto"/>
            <w:tcMar>
              <w:top w:w="57" w:type="dxa"/>
              <w:bottom w:w="57" w:type="dxa"/>
            </w:tcMar>
          </w:tcPr>
          <w:p w14:paraId="4E8404C2" w14:textId="77777777" w:rsidR="001B10B5" w:rsidRDefault="001B10B5" w:rsidP="001B10B5">
            <w:pPr>
              <w:rPr>
                <w:rFonts w:cs="Arial"/>
                <w:szCs w:val="19"/>
              </w:rPr>
            </w:pPr>
            <w:r w:rsidRPr="007F4586">
              <w:rPr>
                <w:rFonts w:cs="Arial"/>
                <w:szCs w:val="19"/>
              </w:rPr>
              <w:t>Turoctocog alfa pegol </w:t>
            </w:r>
          </w:p>
          <w:p w14:paraId="31227D27" w14:textId="364D4CB1" w:rsidR="001B10B5" w:rsidRPr="007F4586" w:rsidRDefault="001B10B5" w:rsidP="001B10B5">
            <w:pPr>
              <w:rPr>
                <w:rFonts w:cs="Arial"/>
                <w:szCs w:val="19"/>
              </w:rPr>
            </w:pPr>
            <w:r>
              <w:rPr>
                <w:rFonts w:cs="Arial"/>
                <w:szCs w:val="19"/>
              </w:rPr>
              <w:t>(</w:t>
            </w:r>
            <w:r>
              <w:rPr>
                <w:rFonts w:cs="Arial"/>
                <w:i/>
                <w:iCs/>
                <w:szCs w:val="19"/>
              </w:rPr>
              <w:t>Esperoct</w:t>
            </w:r>
            <w:r>
              <w:rPr>
                <w:rFonts w:cs="Arial"/>
                <w:szCs w:val="19"/>
              </w:rPr>
              <w:t>)</w:t>
            </w:r>
          </w:p>
        </w:tc>
        <w:tc>
          <w:tcPr>
            <w:tcW w:w="3842" w:type="pct"/>
            <w:shd w:val="clear" w:color="auto" w:fill="auto"/>
            <w:tcMar>
              <w:top w:w="57" w:type="dxa"/>
              <w:bottom w:w="57" w:type="dxa"/>
            </w:tcMar>
          </w:tcPr>
          <w:p w14:paraId="13282174" w14:textId="43DA3CB9" w:rsidR="001B10B5" w:rsidRDefault="001B10B5" w:rsidP="001B10B5">
            <w:pPr>
              <w:tabs>
                <w:tab w:val="num" w:pos="720"/>
                <w:tab w:val="center" w:pos="3152"/>
              </w:tabs>
              <w:rPr>
                <w:rFonts w:cs="Arial"/>
                <w:szCs w:val="19"/>
                <w:lang w:val="en-US"/>
              </w:rPr>
            </w:pPr>
            <w:r w:rsidRPr="007F4586">
              <w:rPr>
                <w:rFonts w:cs="Arial"/>
                <w:szCs w:val="19"/>
                <w:lang w:val="en-US"/>
              </w:rPr>
              <w:t>Treatment and prophylaxis of bleeding in patients with haemophilia A (congenital factor VIII deficiency)</w:t>
            </w:r>
            <w:r>
              <w:rPr>
                <w:rFonts w:cs="Arial"/>
                <w:szCs w:val="19"/>
                <w:lang w:val="en-US"/>
              </w:rPr>
              <w:t xml:space="preserve"> </w:t>
            </w:r>
            <w:r w:rsidRPr="007F4586">
              <w:rPr>
                <w:rFonts w:cs="Arial"/>
                <w:sz w:val="16"/>
                <w:szCs w:val="16"/>
                <w:lang w:val="en-US"/>
              </w:rPr>
              <w:t>[EU] [licence change from use only in patients aged ≥12 years]</w:t>
            </w:r>
          </w:p>
        </w:tc>
      </w:tr>
      <w:tr w:rsidR="001B10B5" w:rsidRPr="000F19E1" w14:paraId="32388311" w14:textId="77777777" w:rsidTr="003F40E9">
        <w:tc>
          <w:tcPr>
            <w:tcW w:w="1158" w:type="pct"/>
            <w:gridSpan w:val="2"/>
            <w:shd w:val="clear" w:color="auto" w:fill="auto"/>
            <w:tcMar>
              <w:top w:w="0" w:type="dxa"/>
              <w:bottom w:w="0" w:type="dxa"/>
            </w:tcMar>
          </w:tcPr>
          <w:p w14:paraId="3867CE0B" w14:textId="77777777" w:rsidR="001B10B5" w:rsidRPr="000F19E1" w:rsidRDefault="001B10B5" w:rsidP="001B10B5">
            <w:pPr>
              <w:rPr>
                <w:rFonts w:cs="Arial"/>
                <w:bCs/>
                <w:sz w:val="8"/>
                <w:szCs w:val="8"/>
              </w:rPr>
            </w:pPr>
          </w:p>
        </w:tc>
        <w:tc>
          <w:tcPr>
            <w:tcW w:w="3842" w:type="pct"/>
            <w:shd w:val="clear" w:color="auto" w:fill="auto"/>
            <w:tcMar>
              <w:top w:w="0" w:type="dxa"/>
              <w:bottom w:w="0" w:type="dxa"/>
            </w:tcMar>
          </w:tcPr>
          <w:p w14:paraId="01584415" w14:textId="77777777" w:rsidR="001B10B5" w:rsidRPr="000F19E1" w:rsidRDefault="001B10B5" w:rsidP="001B10B5">
            <w:pPr>
              <w:tabs>
                <w:tab w:val="center" w:pos="3152"/>
              </w:tabs>
              <w:rPr>
                <w:rFonts w:cs="Arial"/>
                <w:sz w:val="8"/>
                <w:szCs w:val="8"/>
                <w:lang w:val="en-US"/>
              </w:rPr>
            </w:pPr>
          </w:p>
        </w:tc>
      </w:tr>
      <w:tr w:rsidR="001B10B5" w:rsidRPr="000F19E1" w14:paraId="588D5624" w14:textId="77777777" w:rsidTr="00155BD9">
        <w:tc>
          <w:tcPr>
            <w:tcW w:w="1152" w:type="pct"/>
            <w:shd w:val="clear" w:color="auto" w:fill="DAEEF3"/>
            <w:tcMar>
              <w:top w:w="0" w:type="dxa"/>
              <w:bottom w:w="0" w:type="dxa"/>
            </w:tcMar>
          </w:tcPr>
          <w:p w14:paraId="3D08E7D0" w14:textId="77777777" w:rsidR="001B10B5" w:rsidRPr="000F19E1" w:rsidRDefault="001B10B5" w:rsidP="001B10B5">
            <w:pPr>
              <w:rPr>
                <w:rFonts w:cs="Arial"/>
                <w:bCs/>
                <w:sz w:val="8"/>
                <w:szCs w:val="8"/>
              </w:rPr>
            </w:pPr>
          </w:p>
        </w:tc>
        <w:tc>
          <w:tcPr>
            <w:tcW w:w="3848" w:type="pct"/>
            <w:gridSpan w:val="2"/>
            <w:shd w:val="clear" w:color="auto" w:fill="DAEEF3"/>
            <w:tcMar>
              <w:top w:w="0" w:type="dxa"/>
              <w:bottom w:w="0" w:type="dxa"/>
            </w:tcMar>
          </w:tcPr>
          <w:p w14:paraId="19B1E43A" w14:textId="77777777" w:rsidR="001B10B5" w:rsidRPr="000F19E1" w:rsidRDefault="001B10B5" w:rsidP="001B10B5">
            <w:pPr>
              <w:tabs>
                <w:tab w:val="center" w:pos="3152"/>
              </w:tabs>
              <w:rPr>
                <w:rFonts w:cs="Arial"/>
                <w:sz w:val="8"/>
                <w:szCs w:val="8"/>
                <w:lang w:val="en-US"/>
              </w:rPr>
            </w:pPr>
          </w:p>
        </w:tc>
      </w:tr>
    </w:tbl>
    <w:p w14:paraId="5D125330" w14:textId="77777777" w:rsidR="00CF4145" w:rsidRDefault="00CF4145"/>
    <w:p w14:paraId="7657952C" w14:textId="77777777" w:rsidR="00CF4145" w:rsidRDefault="00CF4145"/>
    <w:p w14:paraId="76D611E5" w14:textId="77777777" w:rsidR="00CF4145" w:rsidRDefault="00CF4145"/>
    <w:tbl>
      <w:tblPr>
        <w:tblW w:w="5170" w:type="pct"/>
        <w:tblInd w:w="-176" w:type="dxa"/>
        <w:tblLayout w:type="fixed"/>
        <w:tblLook w:val="01E0" w:firstRow="1" w:lastRow="1" w:firstColumn="1" w:lastColumn="1" w:noHBand="0" w:noVBand="0"/>
      </w:tblPr>
      <w:tblGrid>
        <w:gridCol w:w="2431"/>
        <w:gridCol w:w="13"/>
        <w:gridCol w:w="8107"/>
      </w:tblGrid>
      <w:tr w:rsidR="00CF4145" w:rsidRPr="00862949" w14:paraId="6A48317B" w14:textId="77777777" w:rsidTr="002E6AF9">
        <w:tc>
          <w:tcPr>
            <w:tcW w:w="5000" w:type="pct"/>
            <w:gridSpan w:val="3"/>
            <w:shd w:val="clear" w:color="auto" w:fill="0070C0"/>
            <w:tcMar>
              <w:top w:w="85" w:type="dxa"/>
              <w:bottom w:w="85" w:type="dxa"/>
            </w:tcMar>
            <w:vAlign w:val="bottom"/>
          </w:tcPr>
          <w:p w14:paraId="73D916AF" w14:textId="77777777" w:rsidR="00CF4145" w:rsidRPr="00862949" w:rsidRDefault="00CF4145" w:rsidP="002E6AF9">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CF4145" w:rsidRPr="000F19E1" w14:paraId="7B6AE37E" w14:textId="77777777" w:rsidTr="002E6AF9">
        <w:tc>
          <w:tcPr>
            <w:tcW w:w="1152" w:type="pct"/>
            <w:shd w:val="clear" w:color="auto" w:fill="DAEEF3"/>
            <w:tcMar>
              <w:top w:w="0" w:type="dxa"/>
              <w:bottom w:w="0" w:type="dxa"/>
            </w:tcMar>
          </w:tcPr>
          <w:p w14:paraId="6E9F29E7" w14:textId="77777777" w:rsidR="00CF4145" w:rsidRPr="000F19E1" w:rsidRDefault="00CF4145" w:rsidP="002E6AF9">
            <w:pPr>
              <w:rPr>
                <w:rFonts w:cs="Arial"/>
                <w:bCs/>
                <w:sz w:val="8"/>
                <w:szCs w:val="8"/>
              </w:rPr>
            </w:pPr>
          </w:p>
        </w:tc>
        <w:tc>
          <w:tcPr>
            <w:tcW w:w="3848" w:type="pct"/>
            <w:gridSpan w:val="2"/>
            <w:shd w:val="clear" w:color="auto" w:fill="DAEEF3"/>
            <w:tcMar>
              <w:top w:w="0" w:type="dxa"/>
              <w:bottom w:w="0" w:type="dxa"/>
            </w:tcMar>
          </w:tcPr>
          <w:p w14:paraId="6B17642C" w14:textId="77777777" w:rsidR="00CF4145" w:rsidRPr="000F19E1" w:rsidRDefault="00CF4145" w:rsidP="002E6AF9">
            <w:pPr>
              <w:tabs>
                <w:tab w:val="center" w:pos="3152"/>
              </w:tabs>
              <w:rPr>
                <w:rFonts w:cs="Arial"/>
                <w:sz w:val="8"/>
                <w:szCs w:val="8"/>
                <w:lang w:val="en-US"/>
              </w:rPr>
            </w:pPr>
          </w:p>
        </w:tc>
      </w:tr>
      <w:tr w:rsidR="0006357A" w:rsidRPr="00433D3E" w14:paraId="328EB19C" w14:textId="77777777" w:rsidTr="00155BD9">
        <w:tc>
          <w:tcPr>
            <w:tcW w:w="5000" w:type="pct"/>
            <w:gridSpan w:val="3"/>
            <w:shd w:val="clear" w:color="auto" w:fill="00B050"/>
            <w:tcMar>
              <w:top w:w="57" w:type="dxa"/>
              <w:bottom w:w="57" w:type="dxa"/>
            </w:tcMar>
          </w:tcPr>
          <w:p w14:paraId="412E9173" w14:textId="29516811" w:rsidR="0006357A" w:rsidRPr="00433D3E" w:rsidRDefault="0006357A" w:rsidP="0006357A">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06357A" w:rsidRPr="00A075A3" w14:paraId="3E915AA9" w14:textId="77777777" w:rsidTr="003F40E9">
        <w:tc>
          <w:tcPr>
            <w:tcW w:w="1158" w:type="pct"/>
            <w:gridSpan w:val="2"/>
            <w:shd w:val="clear" w:color="auto" w:fill="auto"/>
            <w:tcMar>
              <w:top w:w="57" w:type="dxa"/>
              <w:bottom w:w="57" w:type="dxa"/>
            </w:tcMar>
          </w:tcPr>
          <w:p w14:paraId="2740766E" w14:textId="3590240E" w:rsidR="0006357A" w:rsidRPr="00E848D9" w:rsidRDefault="0006357A" w:rsidP="0006357A">
            <w:pPr>
              <w:rPr>
                <w:rFonts w:cs="Arial"/>
                <w:szCs w:val="19"/>
              </w:rPr>
            </w:pPr>
            <w:r>
              <w:rPr>
                <w:rFonts w:cs="Arial"/>
                <w:szCs w:val="19"/>
              </w:rPr>
              <w:t>Amivantamab (</w:t>
            </w:r>
            <w:r>
              <w:rPr>
                <w:rFonts w:cs="Arial"/>
                <w:i/>
                <w:iCs/>
                <w:szCs w:val="19"/>
              </w:rPr>
              <w:t>Rybrevant</w:t>
            </w:r>
            <w:r>
              <w:rPr>
                <w:rFonts w:cs="Arial"/>
                <w:szCs w:val="19"/>
              </w:rPr>
              <w:t>)</w:t>
            </w:r>
          </w:p>
        </w:tc>
        <w:tc>
          <w:tcPr>
            <w:tcW w:w="3842" w:type="pct"/>
            <w:shd w:val="clear" w:color="auto" w:fill="auto"/>
            <w:tcMar>
              <w:top w:w="57" w:type="dxa"/>
              <w:bottom w:w="57" w:type="dxa"/>
            </w:tcMar>
          </w:tcPr>
          <w:p w14:paraId="527459D6" w14:textId="77777777" w:rsidR="0006357A" w:rsidRDefault="0006357A" w:rsidP="0006357A">
            <w:pPr>
              <w:tabs>
                <w:tab w:val="center" w:pos="3152"/>
              </w:tabs>
              <w:rPr>
                <w:rFonts w:cs="Arial"/>
                <w:sz w:val="16"/>
                <w:szCs w:val="16"/>
                <w:lang w:val="en-US"/>
              </w:rPr>
            </w:pPr>
            <w:r w:rsidRPr="00E848D9">
              <w:rPr>
                <w:rFonts w:cs="Arial"/>
                <w:szCs w:val="19"/>
                <w:lang w:val="en-US"/>
              </w:rPr>
              <w:t xml:space="preserve">Non-small cell lung cancer </w:t>
            </w:r>
            <w:r w:rsidRPr="00E848D9">
              <w:rPr>
                <w:rFonts w:cs="Arial"/>
                <w:szCs w:val="19"/>
                <w:lang w:val="en-US"/>
              </w:rPr>
              <w:tab/>
              <w:t xml:space="preserve">with EGFR Exon 19, 20 or 21 mutations in adults </w:t>
            </w:r>
            <w:r w:rsidRPr="00E848D9">
              <w:rPr>
                <w:rFonts w:cs="Arial"/>
                <w:sz w:val="16"/>
                <w:szCs w:val="16"/>
                <w:lang w:val="en-US"/>
              </w:rPr>
              <w:t xml:space="preserve">[EU] </w:t>
            </w:r>
          </w:p>
          <w:p w14:paraId="6F0C1BBF" w14:textId="4F3229A4" w:rsidR="0006357A" w:rsidRPr="00A075A3" w:rsidRDefault="0006357A" w:rsidP="0006357A">
            <w:pPr>
              <w:tabs>
                <w:tab w:val="center" w:pos="3152"/>
              </w:tabs>
              <w:rPr>
                <w:rFonts w:cs="Arial"/>
                <w:szCs w:val="19"/>
                <w:lang w:val="en-US"/>
              </w:rPr>
            </w:pPr>
            <w:r w:rsidRPr="00E848D9">
              <w:rPr>
                <w:rFonts w:cs="Arial"/>
                <w:sz w:val="16"/>
                <w:szCs w:val="16"/>
                <w:lang w:val="en-US"/>
              </w:rPr>
              <w:t>[new subcutaneous formulation]</w:t>
            </w:r>
          </w:p>
        </w:tc>
      </w:tr>
      <w:tr w:rsidR="0006357A" w:rsidRPr="00A075A3" w14:paraId="71090356" w14:textId="77777777" w:rsidTr="003F40E9">
        <w:tc>
          <w:tcPr>
            <w:tcW w:w="1158" w:type="pct"/>
            <w:gridSpan w:val="2"/>
            <w:shd w:val="clear" w:color="auto" w:fill="auto"/>
            <w:tcMar>
              <w:top w:w="57" w:type="dxa"/>
              <w:bottom w:w="57" w:type="dxa"/>
            </w:tcMar>
          </w:tcPr>
          <w:p w14:paraId="6542E37E" w14:textId="4FA9991A" w:rsidR="0006357A" w:rsidRDefault="0006357A" w:rsidP="0006357A">
            <w:pPr>
              <w:rPr>
                <w:rFonts w:cs="Arial"/>
                <w:szCs w:val="19"/>
              </w:rPr>
            </w:pPr>
            <w:r w:rsidRPr="002E781C">
              <w:rPr>
                <w:rFonts w:cs="Arial"/>
                <w:szCs w:val="19"/>
              </w:rPr>
              <w:t>Baloxavir marboxil (</w:t>
            </w:r>
            <w:r w:rsidRPr="002E781C">
              <w:rPr>
                <w:rFonts w:cs="Arial"/>
                <w:i/>
                <w:iCs/>
                <w:szCs w:val="19"/>
              </w:rPr>
              <w:t>Xofluza</w:t>
            </w:r>
            <w:r w:rsidRPr="002E781C">
              <w:rPr>
                <w:rFonts w:cs="Arial"/>
                <w:szCs w:val="19"/>
              </w:rPr>
              <w:t>)</w:t>
            </w:r>
          </w:p>
        </w:tc>
        <w:tc>
          <w:tcPr>
            <w:tcW w:w="3842" w:type="pct"/>
            <w:shd w:val="clear" w:color="auto" w:fill="auto"/>
            <w:tcMar>
              <w:top w:w="57" w:type="dxa"/>
              <w:bottom w:w="57" w:type="dxa"/>
            </w:tcMar>
          </w:tcPr>
          <w:p w14:paraId="1C531FAF" w14:textId="77777777" w:rsidR="0006357A" w:rsidRDefault="0006357A" w:rsidP="0006357A">
            <w:pPr>
              <w:tabs>
                <w:tab w:val="center" w:pos="3152"/>
              </w:tabs>
              <w:rPr>
                <w:rFonts w:cs="Arial"/>
                <w:sz w:val="16"/>
                <w:szCs w:val="16"/>
                <w:lang w:val="en-US"/>
              </w:rPr>
            </w:pPr>
            <w:r>
              <w:rPr>
                <w:rFonts w:cs="Arial"/>
                <w:szCs w:val="19"/>
                <w:lang w:val="en-US"/>
              </w:rPr>
              <w:t>Treatment of uncomplicated i</w:t>
            </w:r>
            <w:r w:rsidRPr="002E781C">
              <w:rPr>
                <w:rFonts w:cs="Arial"/>
                <w:szCs w:val="19"/>
                <w:lang w:val="en-US"/>
              </w:rPr>
              <w:t xml:space="preserve">nfluenza </w:t>
            </w:r>
            <w:r>
              <w:rPr>
                <w:rFonts w:cs="Arial"/>
                <w:szCs w:val="19"/>
                <w:lang w:val="en-US"/>
              </w:rPr>
              <w:t>in</w:t>
            </w:r>
            <w:r w:rsidRPr="002E781C">
              <w:rPr>
                <w:rFonts w:cs="Arial"/>
                <w:szCs w:val="19"/>
                <w:lang w:val="en-US"/>
              </w:rPr>
              <w:t xml:space="preserve"> infants aged &lt;1 year</w:t>
            </w:r>
            <w:r>
              <w:rPr>
                <w:rFonts w:cs="Arial"/>
                <w:szCs w:val="19"/>
                <w:lang w:val="en-US"/>
              </w:rPr>
              <w:t xml:space="preserve"> </w:t>
            </w:r>
            <w:r w:rsidRPr="002E781C">
              <w:rPr>
                <w:rFonts w:cs="Arial"/>
                <w:sz w:val="16"/>
                <w:szCs w:val="16"/>
                <w:lang w:val="en-US"/>
              </w:rPr>
              <w:t xml:space="preserve">[EU] </w:t>
            </w:r>
          </w:p>
          <w:p w14:paraId="521E5754" w14:textId="358722E9" w:rsidR="0006357A" w:rsidRDefault="0006357A" w:rsidP="0006357A">
            <w:pPr>
              <w:tabs>
                <w:tab w:val="center" w:pos="3152"/>
              </w:tabs>
              <w:rPr>
                <w:rFonts w:cs="Arial"/>
                <w:szCs w:val="19"/>
                <w:lang w:val="en-US"/>
              </w:rPr>
            </w:pPr>
            <w:r w:rsidRPr="002E781C">
              <w:rPr>
                <w:rFonts w:cs="Arial"/>
                <w:sz w:val="16"/>
                <w:szCs w:val="16"/>
                <w:lang w:val="en-US"/>
              </w:rPr>
              <w:t>[licence change form use only in patients aged ≥1 year]</w:t>
            </w:r>
          </w:p>
        </w:tc>
      </w:tr>
      <w:tr w:rsidR="0006357A" w:rsidRPr="00A075A3" w14:paraId="663BBFA0" w14:textId="77777777" w:rsidTr="003F40E9">
        <w:tc>
          <w:tcPr>
            <w:tcW w:w="1158" w:type="pct"/>
            <w:gridSpan w:val="2"/>
            <w:shd w:val="clear" w:color="auto" w:fill="auto"/>
            <w:tcMar>
              <w:top w:w="57" w:type="dxa"/>
              <w:bottom w:w="57" w:type="dxa"/>
            </w:tcMar>
          </w:tcPr>
          <w:p w14:paraId="6ED79DE7" w14:textId="0B927328" w:rsidR="0006357A" w:rsidRPr="0037050E" w:rsidRDefault="0006357A" w:rsidP="0006357A">
            <w:pPr>
              <w:rPr>
                <w:rFonts w:cs="Arial"/>
                <w:szCs w:val="19"/>
              </w:rPr>
            </w:pPr>
            <w:r>
              <w:rPr>
                <w:rFonts w:cs="Arial"/>
                <w:szCs w:val="19"/>
              </w:rPr>
              <w:t>Guselkumab (</w:t>
            </w:r>
            <w:r>
              <w:rPr>
                <w:rFonts w:cs="Arial"/>
                <w:i/>
                <w:iCs/>
                <w:szCs w:val="19"/>
              </w:rPr>
              <w:t>Tremfya</w:t>
            </w:r>
            <w:r>
              <w:rPr>
                <w:rFonts w:cs="Arial"/>
                <w:szCs w:val="19"/>
              </w:rPr>
              <w:t>)</w:t>
            </w:r>
          </w:p>
        </w:tc>
        <w:tc>
          <w:tcPr>
            <w:tcW w:w="3842" w:type="pct"/>
            <w:shd w:val="clear" w:color="auto" w:fill="auto"/>
            <w:tcMar>
              <w:top w:w="57" w:type="dxa"/>
              <w:bottom w:w="57" w:type="dxa"/>
            </w:tcMar>
          </w:tcPr>
          <w:p w14:paraId="5F291A2E" w14:textId="77777777" w:rsidR="0006357A" w:rsidRDefault="0006357A" w:rsidP="0006357A">
            <w:pPr>
              <w:tabs>
                <w:tab w:val="center" w:pos="3152"/>
              </w:tabs>
              <w:rPr>
                <w:rFonts w:cs="Arial"/>
                <w:sz w:val="16"/>
                <w:szCs w:val="16"/>
                <w:lang w:val="en-US"/>
              </w:rPr>
            </w:pPr>
            <w:r>
              <w:rPr>
                <w:rFonts w:cs="Arial"/>
                <w:szCs w:val="19"/>
                <w:lang w:val="en-US"/>
              </w:rPr>
              <w:t>A</w:t>
            </w:r>
            <w:r w:rsidRPr="0037050E">
              <w:rPr>
                <w:rFonts w:cs="Arial"/>
                <w:szCs w:val="19"/>
                <w:lang w:val="en-US"/>
              </w:rPr>
              <w:t>ctive, moderate to severe</w:t>
            </w:r>
            <w:r>
              <w:rPr>
                <w:rFonts w:cs="Arial"/>
                <w:szCs w:val="19"/>
                <w:lang w:val="en-US"/>
              </w:rPr>
              <w:t xml:space="preserve"> </w:t>
            </w:r>
            <w:r w:rsidRPr="0037050E">
              <w:rPr>
                <w:rFonts w:cs="Arial"/>
                <w:szCs w:val="19"/>
                <w:lang w:val="en-US"/>
              </w:rPr>
              <w:t xml:space="preserve">Crohn's disease in adults </w:t>
            </w:r>
            <w:r w:rsidRPr="0037050E">
              <w:rPr>
                <w:rFonts w:cs="Arial"/>
                <w:sz w:val="16"/>
                <w:szCs w:val="16"/>
                <w:lang w:val="en-US"/>
              </w:rPr>
              <w:t xml:space="preserve">[EU] </w:t>
            </w:r>
          </w:p>
          <w:p w14:paraId="60D1A88B" w14:textId="4467DA28" w:rsidR="0006357A" w:rsidRPr="00E848D9" w:rsidRDefault="0006357A" w:rsidP="0006357A">
            <w:pPr>
              <w:tabs>
                <w:tab w:val="center" w:pos="3152"/>
              </w:tabs>
              <w:rPr>
                <w:rFonts w:cs="Arial"/>
                <w:szCs w:val="19"/>
                <w:lang w:val="en-US"/>
              </w:rPr>
            </w:pPr>
            <w:r w:rsidRPr="0037050E">
              <w:rPr>
                <w:rFonts w:cs="Arial"/>
                <w:sz w:val="16"/>
                <w:szCs w:val="16"/>
                <w:lang w:val="en-US"/>
              </w:rPr>
              <w:t>[new subcutaneous induction dosing regimen]</w:t>
            </w:r>
          </w:p>
        </w:tc>
      </w:tr>
      <w:tr w:rsidR="006C0A6C" w:rsidRPr="00A075A3" w14:paraId="605C3411" w14:textId="77777777" w:rsidTr="003F40E9">
        <w:tc>
          <w:tcPr>
            <w:tcW w:w="1158" w:type="pct"/>
            <w:gridSpan w:val="2"/>
            <w:shd w:val="clear" w:color="auto" w:fill="auto"/>
            <w:tcMar>
              <w:top w:w="57" w:type="dxa"/>
              <w:bottom w:w="57" w:type="dxa"/>
            </w:tcMar>
          </w:tcPr>
          <w:p w14:paraId="61FE896D" w14:textId="52A082F4" w:rsidR="006C0A6C" w:rsidRPr="006C0A6C" w:rsidRDefault="006C0A6C" w:rsidP="0006357A">
            <w:pPr>
              <w:rPr>
                <w:rFonts w:cs="Arial"/>
                <w:szCs w:val="19"/>
              </w:rPr>
            </w:pPr>
            <w:r>
              <w:rPr>
                <w:rFonts w:cs="Arial"/>
                <w:szCs w:val="19"/>
              </w:rPr>
              <w:t>Isatuximab (</w:t>
            </w:r>
            <w:r>
              <w:rPr>
                <w:rFonts w:cs="Arial"/>
                <w:i/>
                <w:iCs/>
                <w:szCs w:val="19"/>
              </w:rPr>
              <w:t>Sarclisa</w:t>
            </w:r>
            <w:r>
              <w:rPr>
                <w:rFonts w:cs="Arial"/>
                <w:szCs w:val="19"/>
              </w:rPr>
              <w:t>)</w:t>
            </w:r>
          </w:p>
        </w:tc>
        <w:tc>
          <w:tcPr>
            <w:tcW w:w="3842" w:type="pct"/>
            <w:shd w:val="clear" w:color="auto" w:fill="auto"/>
            <w:tcMar>
              <w:top w:w="57" w:type="dxa"/>
              <w:bottom w:w="57" w:type="dxa"/>
            </w:tcMar>
          </w:tcPr>
          <w:p w14:paraId="7CEB0CEF" w14:textId="49525942" w:rsidR="006C0A6C" w:rsidRDefault="006C0A6C" w:rsidP="006C0A6C">
            <w:pPr>
              <w:tabs>
                <w:tab w:val="center" w:pos="3152"/>
              </w:tabs>
              <w:rPr>
                <w:rFonts w:cs="Arial"/>
                <w:szCs w:val="19"/>
                <w:lang w:val="en-US"/>
              </w:rPr>
            </w:pPr>
            <w:r>
              <w:rPr>
                <w:rFonts w:cs="Arial"/>
                <w:szCs w:val="19"/>
                <w:lang w:val="en-US"/>
              </w:rPr>
              <w:t>R</w:t>
            </w:r>
            <w:r w:rsidRPr="006C0A6C">
              <w:rPr>
                <w:rFonts w:cs="Arial"/>
                <w:szCs w:val="19"/>
                <w:lang w:val="en-US"/>
              </w:rPr>
              <w:t>elapsed or refractory</w:t>
            </w:r>
            <w:r>
              <w:rPr>
                <w:rFonts w:cs="Arial"/>
                <w:szCs w:val="19"/>
                <w:lang w:val="en-US"/>
              </w:rPr>
              <w:t xml:space="preserve"> m</w:t>
            </w:r>
            <w:r w:rsidRPr="006C0A6C">
              <w:rPr>
                <w:rFonts w:cs="Arial"/>
                <w:szCs w:val="19"/>
                <w:lang w:val="en-US"/>
              </w:rPr>
              <w:t xml:space="preserve">ultiple myeloma in adults </w:t>
            </w:r>
            <w:r w:rsidRPr="006C0A6C">
              <w:rPr>
                <w:rFonts w:cs="Arial"/>
                <w:sz w:val="16"/>
                <w:szCs w:val="16"/>
                <w:lang w:val="en-US"/>
              </w:rPr>
              <w:t>[EU] [new subcutaneous formulation]</w:t>
            </w:r>
          </w:p>
        </w:tc>
      </w:tr>
      <w:tr w:rsidR="0006357A" w:rsidRPr="00A075A3" w14:paraId="68DA7081" w14:textId="77777777" w:rsidTr="003F40E9">
        <w:tc>
          <w:tcPr>
            <w:tcW w:w="1158" w:type="pct"/>
            <w:gridSpan w:val="2"/>
            <w:shd w:val="clear" w:color="auto" w:fill="auto"/>
            <w:tcMar>
              <w:top w:w="57" w:type="dxa"/>
              <w:bottom w:w="57" w:type="dxa"/>
            </w:tcMar>
          </w:tcPr>
          <w:p w14:paraId="694FCB00" w14:textId="1A45E868" w:rsidR="0006357A" w:rsidRPr="00896AE9" w:rsidRDefault="0006357A" w:rsidP="0006357A">
            <w:pPr>
              <w:rPr>
                <w:rFonts w:cs="Arial"/>
                <w:szCs w:val="19"/>
              </w:rPr>
            </w:pPr>
            <w:r w:rsidRPr="003F40E9">
              <w:rPr>
                <w:rFonts w:cs="Arial"/>
                <w:szCs w:val="19"/>
              </w:rPr>
              <w:t>Lutetium (177Lu) oxodotreotide </w:t>
            </w:r>
            <w:r>
              <w:rPr>
                <w:rFonts w:cs="Arial"/>
                <w:szCs w:val="19"/>
              </w:rPr>
              <w:t>(</w:t>
            </w:r>
            <w:r>
              <w:rPr>
                <w:rFonts w:cs="Arial"/>
                <w:i/>
                <w:iCs/>
                <w:szCs w:val="19"/>
              </w:rPr>
              <w:t>Lutathera</w:t>
            </w:r>
            <w:r>
              <w:rPr>
                <w:rFonts w:cs="Arial"/>
                <w:szCs w:val="19"/>
              </w:rPr>
              <w:t>)</w:t>
            </w:r>
          </w:p>
        </w:tc>
        <w:tc>
          <w:tcPr>
            <w:tcW w:w="3842" w:type="pct"/>
            <w:shd w:val="clear" w:color="auto" w:fill="auto"/>
            <w:tcMar>
              <w:top w:w="57" w:type="dxa"/>
              <w:bottom w:w="57" w:type="dxa"/>
            </w:tcMar>
          </w:tcPr>
          <w:p w14:paraId="352BB563" w14:textId="5606AE9F" w:rsidR="0006357A" w:rsidRPr="00A075A3" w:rsidRDefault="0006357A" w:rsidP="0006357A">
            <w:pPr>
              <w:tabs>
                <w:tab w:val="center" w:pos="3152"/>
              </w:tabs>
              <w:rPr>
                <w:rFonts w:cs="Arial"/>
                <w:szCs w:val="19"/>
                <w:lang w:val="en-US"/>
              </w:rPr>
            </w:pPr>
            <w:r>
              <w:rPr>
                <w:rFonts w:cs="Arial"/>
                <w:szCs w:val="19"/>
                <w:lang w:val="en-US"/>
              </w:rPr>
              <w:t>U</w:t>
            </w:r>
            <w:r w:rsidRPr="003F40E9">
              <w:rPr>
                <w:rFonts w:cs="Arial"/>
                <w:szCs w:val="19"/>
                <w:lang w:val="en-US"/>
              </w:rPr>
              <w:t>nresectable or metastatic, Grade 2 or 3 somatostatin receptor-positive</w:t>
            </w:r>
            <w:r>
              <w:rPr>
                <w:rFonts w:cs="Arial"/>
                <w:szCs w:val="19"/>
                <w:lang w:val="en-US"/>
              </w:rPr>
              <w:t xml:space="preserve"> g</w:t>
            </w:r>
            <w:r w:rsidRPr="003F40E9">
              <w:rPr>
                <w:rFonts w:cs="Arial"/>
                <w:szCs w:val="19"/>
                <w:lang w:val="en-US"/>
              </w:rPr>
              <w:t>astroentero</w:t>
            </w:r>
            <w:r>
              <w:rPr>
                <w:rFonts w:cs="Arial"/>
                <w:szCs w:val="19"/>
                <w:lang w:val="en-US"/>
              </w:rPr>
              <w:t>-</w:t>
            </w:r>
            <w:r w:rsidRPr="003F40E9">
              <w:rPr>
                <w:rFonts w:cs="Arial"/>
                <w:szCs w:val="19"/>
                <w:lang w:val="en-US"/>
              </w:rPr>
              <w:t>pancreatic neuroendocrine tumours, newly diagnosed in adults</w:t>
            </w:r>
            <w:r>
              <w:rPr>
                <w:rFonts w:cs="Arial"/>
                <w:szCs w:val="19"/>
                <w:lang w:val="en-US"/>
              </w:rPr>
              <w:t>,</w:t>
            </w:r>
            <w:r w:rsidRPr="003F40E9">
              <w:rPr>
                <w:rFonts w:cs="Arial"/>
                <w:szCs w:val="19"/>
                <w:lang w:val="en-US"/>
              </w:rPr>
              <w:t xml:space="preserve"> with octreotide</w:t>
            </w:r>
            <w:r>
              <w:rPr>
                <w:rFonts w:cs="Arial"/>
                <w:szCs w:val="19"/>
                <w:lang w:val="en-US"/>
              </w:rPr>
              <w:t xml:space="preserve"> </w:t>
            </w:r>
            <w:r w:rsidRPr="003F40E9">
              <w:rPr>
                <w:rFonts w:cs="Arial"/>
                <w:sz w:val="16"/>
                <w:szCs w:val="16"/>
                <w:lang w:val="en-US"/>
              </w:rPr>
              <w:t>[EU]</w:t>
            </w:r>
          </w:p>
        </w:tc>
      </w:tr>
      <w:tr w:rsidR="0006357A" w:rsidRPr="00A075A3" w14:paraId="1F2B1ED1" w14:textId="77777777" w:rsidTr="003F40E9">
        <w:tc>
          <w:tcPr>
            <w:tcW w:w="1158" w:type="pct"/>
            <w:gridSpan w:val="2"/>
            <w:shd w:val="clear" w:color="auto" w:fill="auto"/>
            <w:tcMar>
              <w:top w:w="57" w:type="dxa"/>
              <w:bottom w:w="57" w:type="dxa"/>
            </w:tcMar>
          </w:tcPr>
          <w:p w14:paraId="1F1AE107" w14:textId="7BC329A1" w:rsidR="0006357A" w:rsidRPr="003F40E9" w:rsidRDefault="0006357A" w:rsidP="0006357A">
            <w:pPr>
              <w:rPr>
                <w:rFonts w:cs="Arial"/>
                <w:szCs w:val="19"/>
              </w:rPr>
            </w:pPr>
            <w:r w:rsidRPr="005D120E">
              <w:rPr>
                <w:rFonts w:cs="Arial"/>
                <w:szCs w:val="19"/>
              </w:rPr>
              <w:t>Mirdametinib</w:t>
            </w:r>
            <w:r>
              <w:rPr>
                <w:rFonts w:cs="Arial"/>
                <w:szCs w:val="19"/>
              </w:rPr>
              <w:t xml:space="preserve"> </w:t>
            </w:r>
          </w:p>
        </w:tc>
        <w:tc>
          <w:tcPr>
            <w:tcW w:w="3842" w:type="pct"/>
            <w:shd w:val="clear" w:color="auto" w:fill="auto"/>
            <w:tcMar>
              <w:top w:w="57" w:type="dxa"/>
              <w:bottom w:w="57" w:type="dxa"/>
            </w:tcMar>
          </w:tcPr>
          <w:p w14:paraId="65378D0D" w14:textId="0920FD9A" w:rsidR="0006357A" w:rsidRPr="00A075A3" w:rsidRDefault="0006357A" w:rsidP="0006357A">
            <w:pPr>
              <w:tabs>
                <w:tab w:val="center" w:pos="3152"/>
              </w:tabs>
              <w:rPr>
                <w:rFonts w:cs="Arial"/>
                <w:szCs w:val="19"/>
                <w:lang w:val="en-US"/>
              </w:rPr>
            </w:pPr>
            <w:r>
              <w:rPr>
                <w:rFonts w:cs="Arial"/>
                <w:szCs w:val="19"/>
                <w:lang w:val="en-US"/>
              </w:rPr>
              <w:t>Treatment of type 1 n</w:t>
            </w:r>
            <w:r w:rsidRPr="005D120E">
              <w:rPr>
                <w:rFonts w:cs="Arial"/>
                <w:szCs w:val="19"/>
                <w:lang w:val="en-US"/>
              </w:rPr>
              <w:t>eurofibromatosis in children aged ≥2 years, adolescents and adults, who have symptomatic, inoperable plexiform neurofibromas</w:t>
            </w:r>
            <w:r>
              <w:rPr>
                <w:rFonts w:cs="Arial"/>
                <w:szCs w:val="19"/>
                <w:lang w:val="en-US"/>
              </w:rPr>
              <w:t xml:space="preserve"> </w:t>
            </w:r>
            <w:r w:rsidRPr="005D120E">
              <w:rPr>
                <w:rFonts w:cs="Arial"/>
                <w:sz w:val="16"/>
                <w:szCs w:val="16"/>
                <w:lang w:val="en-US"/>
              </w:rPr>
              <w:t>[EU]</w:t>
            </w:r>
          </w:p>
        </w:tc>
      </w:tr>
      <w:tr w:rsidR="0006357A" w:rsidRPr="00A075A3" w14:paraId="3B826BBF" w14:textId="77777777" w:rsidTr="003F40E9">
        <w:tc>
          <w:tcPr>
            <w:tcW w:w="1158" w:type="pct"/>
            <w:gridSpan w:val="2"/>
            <w:shd w:val="clear" w:color="auto" w:fill="auto"/>
            <w:tcMar>
              <w:top w:w="57" w:type="dxa"/>
              <w:bottom w:w="57" w:type="dxa"/>
            </w:tcMar>
          </w:tcPr>
          <w:p w14:paraId="5449EB67" w14:textId="51ADB704" w:rsidR="0006357A" w:rsidRPr="004910AC" w:rsidRDefault="0006357A" w:rsidP="0006357A">
            <w:pPr>
              <w:rPr>
                <w:rFonts w:cs="Arial"/>
                <w:szCs w:val="19"/>
              </w:rPr>
            </w:pPr>
            <w:r>
              <w:rPr>
                <w:rFonts w:cs="Arial"/>
                <w:szCs w:val="19"/>
              </w:rPr>
              <w:t>Nemolizumab (</w:t>
            </w:r>
            <w:r>
              <w:rPr>
                <w:rFonts w:cs="Arial"/>
                <w:i/>
                <w:iCs/>
                <w:szCs w:val="19"/>
              </w:rPr>
              <w:t>Nemluvio</w:t>
            </w:r>
            <w:r>
              <w:rPr>
                <w:rFonts w:cs="Arial"/>
                <w:szCs w:val="19"/>
              </w:rPr>
              <w:t>)</w:t>
            </w:r>
          </w:p>
        </w:tc>
        <w:tc>
          <w:tcPr>
            <w:tcW w:w="3842" w:type="pct"/>
            <w:shd w:val="clear" w:color="auto" w:fill="auto"/>
            <w:tcMar>
              <w:top w:w="57" w:type="dxa"/>
              <w:bottom w:w="57" w:type="dxa"/>
            </w:tcMar>
          </w:tcPr>
          <w:p w14:paraId="32D8A017" w14:textId="1052E587" w:rsidR="0006357A" w:rsidRPr="00460B68" w:rsidRDefault="0006357A" w:rsidP="0006357A">
            <w:pPr>
              <w:tabs>
                <w:tab w:val="center" w:pos="3152"/>
              </w:tabs>
              <w:rPr>
                <w:rFonts w:cs="Arial"/>
                <w:szCs w:val="19"/>
                <w:lang w:val="en-US"/>
              </w:rPr>
            </w:pPr>
            <w:r w:rsidRPr="00B52484">
              <w:rPr>
                <w:rFonts w:cs="Arial"/>
                <w:szCs w:val="19"/>
                <w:lang w:val="en-US"/>
              </w:rPr>
              <w:t xml:space="preserve">Treatment of </w:t>
            </w:r>
            <w:r>
              <w:rPr>
                <w:rFonts w:cs="Arial"/>
                <w:szCs w:val="19"/>
                <w:lang w:val="en-US"/>
              </w:rPr>
              <w:t xml:space="preserve">adults and </w:t>
            </w:r>
            <w:r w:rsidRPr="00B52484">
              <w:rPr>
                <w:rFonts w:cs="Arial"/>
                <w:szCs w:val="19"/>
                <w:lang w:val="en-US"/>
              </w:rPr>
              <w:t>adolescents with moderate to severe atopic dermatitis</w:t>
            </w:r>
            <w:r>
              <w:rPr>
                <w:rFonts w:cs="Arial"/>
                <w:szCs w:val="19"/>
                <w:lang w:val="en-US"/>
              </w:rPr>
              <w:t xml:space="preserve"> </w:t>
            </w:r>
            <w:r w:rsidRPr="00B52484">
              <w:rPr>
                <w:rFonts w:cs="Arial"/>
                <w:sz w:val="16"/>
                <w:szCs w:val="16"/>
                <w:lang w:val="en-US"/>
              </w:rPr>
              <w:t>[UK]</w:t>
            </w:r>
          </w:p>
        </w:tc>
      </w:tr>
      <w:tr w:rsidR="0006357A" w:rsidRPr="00A075A3" w14:paraId="55AC875C" w14:textId="77777777" w:rsidTr="003F40E9">
        <w:tc>
          <w:tcPr>
            <w:tcW w:w="1158" w:type="pct"/>
            <w:gridSpan w:val="2"/>
            <w:shd w:val="clear" w:color="auto" w:fill="auto"/>
            <w:tcMar>
              <w:top w:w="57" w:type="dxa"/>
              <w:bottom w:w="57" w:type="dxa"/>
            </w:tcMar>
          </w:tcPr>
          <w:p w14:paraId="156C4C9D" w14:textId="573C340C" w:rsidR="0006357A" w:rsidRPr="00B52484" w:rsidRDefault="0006357A" w:rsidP="0006357A">
            <w:pPr>
              <w:rPr>
                <w:rFonts w:cs="Arial"/>
                <w:szCs w:val="19"/>
              </w:rPr>
            </w:pPr>
            <w:r>
              <w:rPr>
                <w:rFonts w:cs="Arial"/>
                <w:szCs w:val="19"/>
              </w:rPr>
              <w:t xml:space="preserve">Nipocalimab </w:t>
            </w:r>
          </w:p>
        </w:tc>
        <w:tc>
          <w:tcPr>
            <w:tcW w:w="3842" w:type="pct"/>
            <w:shd w:val="clear" w:color="auto" w:fill="auto"/>
            <w:tcMar>
              <w:top w:w="57" w:type="dxa"/>
              <w:bottom w:w="57" w:type="dxa"/>
            </w:tcMar>
          </w:tcPr>
          <w:p w14:paraId="76C3EEC9" w14:textId="3BA59F8E" w:rsidR="0006357A" w:rsidRPr="00460B68" w:rsidRDefault="0006357A" w:rsidP="0006357A">
            <w:pPr>
              <w:tabs>
                <w:tab w:val="center" w:pos="3152"/>
              </w:tabs>
              <w:rPr>
                <w:rFonts w:cs="Arial"/>
                <w:szCs w:val="19"/>
                <w:lang w:val="en-US"/>
              </w:rPr>
            </w:pPr>
            <w:r w:rsidRPr="003F40E9">
              <w:rPr>
                <w:rFonts w:cs="Arial"/>
                <w:szCs w:val="19"/>
                <w:lang w:val="en-US"/>
              </w:rPr>
              <w:t xml:space="preserve">Treatment of </w:t>
            </w:r>
            <w:r>
              <w:rPr>
                <w:rFonts w:cs="Arial"/>
                <w:szCs w:val="19"/>
                <w:lang w:val="en-US"/>
              </w:rPr>
              <w:t>adults</w:t>
            </w:r>
            <w:r w:rsidRPr="003F40E9">
              <w:rPr>
                <w:rFonts w:cs="Arial"/>
                <w:szCs w:val="19"/>
                <w:lang w:val="en-US"/>
              </w:rPr>
              <w:t xml:space="preserve"> with generalised myasthenia gravis</w:t>
            </w:r>
            <w:r>
              <w:rPr>
                <w:rFonts w:cs="Arial"/>
                <w:szCs w:val="19"/>
                <w:lang w:val="en-US"/>
              </w:rPr>
              <w:t xml:space="preserve"> </w:t>
            </w:r>
            <w:r w:rsidRPr="0097545A">
              <w:rPr>
                <w:rFonts w:cs="Arial"/>
                <w:sz w:val="16"/>
                <w:szCs w:val="16"/>
                <w:lang w:val="en-US"/>
              </w:rPr>
              <w:t>[EU]</w:t>
            </w:r>
          </w:p>
        </w:tc>
      </w:tr>
      <w:tr w:rsidR="0006357A" w:rsidRPr="00A075A3" w14:paraId="63117648" w14:textId="77777777" w:rsidTr="003F40E9">
        <w:tc>
          <w:tcPr>
            <w:tcW w:w="1158" w:type="pct"/>
            <w:gridSpan w:val="2"/>
            <w:shd w:val="clear" w:color="auto" w:fill="auto"/>
            <w:tcMar>
              <w:top w:w="57" w:type="dxa"/>
              <w:bottom w:w="57" w:type="dxa"/>
            </w:tcMar>
          </w:tcPr>
          <w:p w14:paraId="39F77372" w14:textId="1A5A32AB" w:rsidR="0006357A" w:rsidRDefault="0006357A" w:rsidP="0006357A">
            <w:pPr>
              <w:rPr>
                <w:rFonts w:cs="Arial"/>
                <w:szCs w:val="19"/>
              </w:rPr>
            </w:pPr>
            <w:r w:rsidRPr="0071693C">
              <w:rPr>
                <w:rFonts w:cs="Arial"/>
                <w:szCs w:val="19"/>
              </w:rPr>
              <w:t>Respiratory syncytial virus vaccine (</w:t>
            </w:r>
            <w:r w:rsidRPr="0071693C">
              <w:rPr>
                <w:rFonts w:cs="Arial"/>
                <w:i/>
                <w:iCs/>
                <w:szCs w:val="19"/>
              </w:rPr>
              <w:t>Abrysvo</w:t>
            </w:r>
            <w:r w:rsidRPr="0071693C">
              <w:rPr>
                <w:rFonts w:cs="Arial"/>
                <w:szCs w:val="19"/>
              </w:rPr>
              <w:t>)</w:t>
            </w:r>
          </w:p>
        </w:tc>
        <w:tc>
          <w:tcPr>
            <w:tcW w:w="3842" w:type="pct"/>
            <w:shd w:val="clear" w:color="auto" w:fill="auto"/>
            <w:tcMar>
              <w:top w:w="57" w:type="dxa"/>
              <w:bottom w:w="57" w:type="dxa"/>
            </w:tcMar>
          </w:tcPr>
          <w:p w14:paraId="65149E80" w14:textId="11D03AB4" w:rsidR="0006357A" w:rsidRPr="0071693C" w:rsidRDefault="0006357A" w:rsidP="0006357A">
            <w:pPr>
              <w:tabs>
                <w:tab w:val="center" w:pos="3152"/>
              </w:tabs>
              <w:rPr>
                <w:rFonts w:cs="Arial"/>
                <w:szCs w:val="19"/>
                <w:lang w:val="en-US"/>
              </w:rPr>
            </w:pPr>
            <w:r w:rsidRPr="0071693C">
              <w:rPr>
                <w:rFonts w:cs="Arial"/>
                <w:szCs w:val="19"/>
                <w:lang w:val="en-US"/>
              </w:rPr>
              <w:t>Active immunisation of individuals aged 18 to 59 years a</w:t>
            </w:r>
            <w:r w:rsidRPr="0071693C">
              <w:rPr>
                <w:rFonts w:cs="Arial"/>
                <w:color w:val="000000"/>
                <w:szCs w:val="19"/>
                <w:shd w:val="clear" w:color="auto" w:fill="FFFFFF"/>
              </w:rPr>
              <w:t xml:space="preserve">t high risk of severe </w:t>
            </w:r>
            <w:r w:rsidRPr="0071693C">
              <w:rPr>
                <w:rFonts w:cs="Arial"/>
                <w:szCs w:val="19"/>
                <w:lang w:val="en-US"/>
              </w:rPr>
              <w:t xml:space="preserve">respiratory syncytial virus </w:t>
            </w:r>
            <w:r>
              <w:rPr>
                <w:rFonts w:cs="Arial"/>
                <w:szCs w:val="19"/>
                <w:lang w:val="en-US"/>
              </w:rPr>
              <w:t>(</w:t>
            </w:r>
            <w:r w:rsidRPr="0071693C">
              <w:rPr>
                <w:rFonts w:cs="Arial"/>
                <w:color w:val="000000"/>
                <w:szCs w:val="19"/>
                <w:shd w:val="clear" w:color="auto" w:fill="FFFFFF"/>
              </w:rPr>
              <w:t>RSV</w:t>
            </w:r>
            <w:r>
              <w:rPr>
                <w:rFonts w:cs="Arial"/>
                <w:color w:val="000000"/>
                <w:szCs w:val="19"/>
                <w:shd w:val="clear" w:color="auto" w:fill="FFFFFF"/>
              </w:rPr>
              <w:t>)</w:t>
            </w:r>
            <w:r w:rsidRPr="0071693C">
              <w:rPr>
                <w:rFonts w:cs="Arial"/>
                <w:color w:val="000000"/>
                <w:szCs w:val="19"/>
                <w:shd w:val="clear" w:color="auto" w:fill="FFFFFF"/>
              </w:rPr>
              <w:t xml:space="preserve"> disease due to certain chronic medical conditions</w:t>
            </w:r>
            <w:r w:rsidRPr="0071693C">
              <w:rPr>
                <w:rFonts w:cs="Arial"/>
                <w:szCs w:val="19"/>
                <w:lang w:val="en-US"/>
              </w:rPr>
              <w:t xml:space="preserve"> </w:t>
            </w:r>
            <w:r>
              <w:rPr>
                <w:rFonts w:cs="Arial"/>
                <w:szCs w:val="19"/>
                <w:lang w:val="en-US"/>
              </w:rPr>
              <w:t xml:space="preserve">for </w:t>
            </w:r>
            <w:r w:rsidRPr="0071693C">
              <w:rPr>
                <w:rFonts w:cs="Arial"/>
                <w:szCs w:val="19"/>
                <w:lang w:val="en-US"/>
              </w:rPr>
              <w:t xml:space="preserve">the prevention of lower respiratory tract disease caused by respiratory syncytial virus </w:t>
            </w:r>
            <w:r w:rsidRPr="0071693C">
              <w:rPr>
                <w:rFonts w:cs="Arial"/>
                <w:sz w:val="16"/>
                <w:szCs w:val="16"/>
                <w:lang w:val="en-US"/>
              </w:rPr>
              <w:t xml:space="preserve">[EU] [new indication] </w:t>
            </w:r>
          </w:p>
        </w:tc>
      </w:tr>
      <w:tr w:rsidR="0006357A" w:rsidRPr="00A075A3" w14:paraId="09CEDE5A" w14:textId="77777777" w:rsidTr="003F40E9">
        <w:tc>
          <w:tcPr>
            <w:tcW w:w="1158" w:type="pct"/>
            <w:gridSpan w:val="2"/>
            <w:shd w:val="clear" w:color="auto" w:fill="auto"/>
            <w:tcMar>
              <w:top w:w="57" w:type="dxa"/>
              <w:bottom w:w="57" w:type="dxa"/>
            </w:tcMar>
          </w:tcPr>
          <w:p w14:paraId="0C194989" w14:textId="250CA14D" w:rsidR="0006357A" w:rsidRDefault="0006357A" w:rsidP="0006357A">
            <w:pPr>
              <w:rPr>
                <w:rFonts w:cs="Arial"/>
                <w:szCs w:val="19"/>
              </w:rPr>
            </w:pPr>
            <w:r>
              <w:rPr>
                <w:rFonts w:cs="Arial"/>
                <w:szCs w:val="19"/>
              </w:rPr>
              <w:t>Rilpivirine (</w:t>
            </w:r>
            <w:r>
              <w:rPr>
                <w:rFonts w:cs="Arial"/>
                <w:i/>
                <w:iCs/>
                <w:szCs w:val="19"/>
              </w:rPr>
              <w:t>Rekambys</w:t>
            </w:r>
            <w:r>
              <w:rPr>
                <w:rFonts w:cs="Arial"/>
                <w:szCs w:val="19"/>
              </w:rPr>
              <w:t>)</w:t>
            </w:r>
          </w:p>
        </w:tc>
        <w:tc>
          <w:tcPr>
            <w:tcW w:w="3842" w:type="pct"/>
            <w:shd w:val="clear" w:color="auto" w:fill="auto"/>
            <w:tcMar>
              <w:top w:w="57" w:type="dxa"/>
              <w:bottom w:w="57" w:type="dxa"/>
            </w:tcMar>
          </w:tcPr>
          <w:p w14:paraId="4126D53A" w14:textId="7094BC65" w:rsidR="0006357A" w:rsidRPr="008714FB" w:rsidRDefault="0006357A" w:rsidP="0006357A">
            <w:pPr>
              <w:tabs>
                <w:tab w:val="center" w:pos="3152"/>
              </w:tabs>
              <w:rPr>
                <w:rFonts w:cs="Arial"/>
                <w:szCs w:val="19"/>
                <w:lang w:val="en-US"/>
              </w:rPr>
            </w:pPr>
            <w:r w:rsidRPr="008714FB">
              <w:rPr>
                <w:rFonts w:cs="Arial"/>
                <w:szCs w:val="19"/>
                <w:lang w:val="en-US"/>
              </w:rPr>
              <w:t xml:space="preserve">HIV infection </w:t>
            </w:r>
            <w:r w:rsidRPr="008714FB">
              <w:rPr>
                <w:rFonts w:cs="Arial"/>
                <w:szCs w:val="19"/>
                <w:lang w:val="en-US"/>
              </w:rPr>
              <w:tab/>
              <w:t>in adolescents</w:t>
            </w:r>
            <w:r>
              <w:rPr>
                <w:rFonts w:cs="Arial"/>
                <w:szCs w:val="19"/>
                <w:lang w:val="en-US"/>
              </w:rPr>
              <w:t>,</w:t>
            </w:r>
            <w:r w:rsidRPr="008714FB">
              <w:rPr>
                <w:rFonts w:cs="Arial"/>
                <w:szCs w:val="19"/>
                <w:lang w:val="en-US"/>
              </w:rPr>
              <w:t xml:space="preserve"> with cabotegravir (injectable formulation) </w:t>
            </w:r>
            <w:r w:rsidRPr="008714FB">
              <w:rPr>
                <w:rFonts w:cs="Arial"/>
                <w:sz w:val="16"/>
                <w:szCs w:val="16"/>
                <w:lang w:val="en-US"/>
              </w:rPr>
              <w:t>[EU]</w:t>
            </w:r>
          </w:p>
        </w:tc>
      </w:tr>
      <w:tr w:rsidR="0006357A" w:rsidRPr="00A075A3" w14:paraId="7B828BFB" w14:textId="77777777" w:rsidTr="003F40E9">
        <w:tc>
          <w:tcPr>
            <w:tcW w:w="1158" w:type="pct"/>
            <w:gridSpan w:val="2"/>
            <w:shd w:val="clear" w:color="auto" w:fill="auto"/>
            <w:tcMar>
              <w:top w:w="57" w:type="dxa"/>
              <w:bottom w:w="57" w:type="dxa"/>
            </w:tcMar>
          </w:tcPr>
          <w:p w14:paraId="56D1B574" w14:textId="150C5C17" w:rsidR="0006357A" w:rsidRPr="008714FB" w:rsidRDefault="0006357A" w:rsidP="0006357A">
            <w:pPr>
              <w:rPr>
                <w:rFonts w:cs="Arial"/>
                <w:szCs w:val="19"/>
              </w:rPr>
            </w:pPr>
            <w:r w:rsidRPr="00B4740A">
              <w:rPr>
                <w:rFonts w:cs="Arial"/>
                <w:szCs w:val="19"/>
              </w:rPr>
              <w:t>Sebetralstat</w:t>
            </w:r>
            <w:r>
              <w:rPr>
                <w:rFonts w:cs="Arial"/>
                <w:szCs w:val="19"/>
              </w:rPr>
              <w:t xml:space="preserve"> </w:t>
            </w:r>
          </w:p>
        </w:tc>
        <w:tc>
          <w:tcPr>
            <w:tcW w:w="3842" w:type="pct"/>
            <w:shd w:val="clear" w:color="auto" w:fill="auto"/>
            <w:tcMar>
              <w:top w:w="57" w:type="dxa"/>
              <w:bottom w:w="57" w:type="dxa"/>
            </w:tcMar>
          </w:tcPr>
          <w:p w14:paraId="462B0599" w14:textId="16359954" w:rsidR="0006357A" w:rsidRPr="00460B68" w:rsidRDefault="0006357A" w:rsidP="0006357A">
            <w:pPr>
              <w:tabs>
                <w:tab w:val="center" w:pos="3152"/>
              </w:tabs>
              <w:rPr>
                <w:rFonts w:cs="Arial"/>
                <w:szCs w:val="19"/>
                <w:lang w:val="en-US"/>
              </w:rPr>
            </w:pPr>
            <w:r>
              <w:rPr>
                <w:rFonts w:cs="Arial"/>
                <w:szCs w:val="19"/>
                <w:lang w:val="en-US"/>
              </w:rPr>
              <w:t>On-demand treatment of h</w:t>
            </w:r>
            <w:r w:rsidRPr="00B4740A">
              <w:rPr>
                <w:rFonts w:cs="Arial"/>
                <w:szCs w:val="19"/>
                <w:lang w:val="en-US"/>
              </w:rPr>
              <w:t xml:space="preserve">ereditary angioedema in adults and adolescents aged </w:t>
            </w:r>
            <w:r>
              <w:rPr>
                <w:rFonts w:cs="Arial"/>
                <w:szCs w:val="19"/>
                <w:lang w:val="en-US"/>
              </w:rPr>
              <w:t>≥</w:t>
            </w:r>
            <w:r w:rsidRPr="00B4740A">
              <w:rPr>
                <w:rFonts w:cs="Arial"/>
                <w:szCs w:val="19"/>
                <w:lang w:val="en-US"/>
              </w:rPr>
              <w:t>12 years</w:t>
            </w:r>
            <w:r>
              <w:rPr>
                <w:rFonts w:cs="Arial"/>
                <w:szCs w:val="19"/>
                <w:lang w:val="en-US"/>
              </w:rPr>
              <w:t xml:space="preserve"> </w:t>
            </w:r>
            <w:r w:rsidRPr="00B4740A">
              <w:rPr>
                <w:rFonts w:cs="Arial"/>
                <w:sz w:val="16"/>
                <w:szCs w:val="16"/>
                <w:lang w:val="en-US"/>
              </w:rPr>
              <w:t>[EU]</w:t>
            </w:r>
          </w:p>
        </w:tc>
      </w:tr>
      <w:tr w:rsidR="0006357A" w:rsidRPr="00A075A3" w14:paraId="5456940D" w14:textId="77777777" w:rsidTr="003F40E9">
        <w:tc>
          <w:tcPr>
            <w:tcW w:w="1158" w:type="pct"/>
            <w:gridSpan w:val="2"/>
            <w:shd w:val="clear" w:color="auto" w:fill="auto"/>
            <w:tcMar>
              <w:top w:w="57" w:type="dxa"/>
              <w:bottom w:w="57" w:type="dxa"/>
            </w:tcMar>
          </w:tcPr>
          <w:p w14:paraId="5A410E5F" w14:textId="76AC6744" w:rsidR="0006357A" w:rsidRPr="00462DF3" w:rsidRDefault="0006357A" w:rsidP="0006357A">
            <w:pPr>
              <w:rPr>
                <w:rFonts w:cs="Arial"/>
                <w:szCs w:val="19"/>
              </w:rPr>
            </w:pPr>
            <w:r>
              <w:rPr>
                <w:rFonts w:cs="Arial"/>
                <w:szCs w:val="19"/>
              </w:rPr>
              <w:t>Somatrogon (</w:t>
            </w:r>
            <w:r>
              <w:rPr>
                <w:rFonts w:cs="Arial"/>
                <w:i/>
                <w:iCs/>
                <w:szCs w:val="19"/>
              </w:rPr>
              <w:t>Ngenla</w:t>
            </w:r>
            <w:r>
              <w:rPr>
                <w:rFonts w:cs="Arial"/>
                <w:szCs w:val="19"/>
              </w:rPr>
              <w:t>)</w:t>
            </w:r>
          </w:p>
        </w:tc>
        <w:tc>
          <w:tcPr>
            <w:tcW w:w="3842" w:type="pct"/>
            <w:shd w:val="clear" w:color="auto" w:fill="auto"/>
            <w:tcMar>
              <w:top w:w="57" w:type="dxa"/>
              <w:bottom w:w="57" w:type="dxa"/>
            </w:tcMar>
          </w:tcPr>
          <w:p w14:paraId="0CD14BD3" w14:textId="6C58ACF6" w:rsidR="0006357A" w:rsidRPr="003F02CB" w:rsidRDefault="0006357A" w:rsidP="0006357A">
            <w:pPr>
              <w:tabs>
                <w:tab w:val="center" w:pos="3152"/>
              </w:tabs>
              <w:rPr>
                <w:rFonts w:cs="Arial"/>
                <w:szCs w:val="19"/>
                <w:lang w:val="en-US"/>
              </w:rPr>
            </w:pPr>
            <w:r w:rsidRPr="00462DF3">
              <w:rPr>
                <w:rFonts w:cs="Arial"/>
                <w:szCs w:val="19"/>
                <w:lang w:val="en-US"/>
              </w:rPr>
              <w:t>Long-term replacement of endogenous growth hormone of adults with growth hormone deficiency</w:t>
            </w:r>
            <w:r>
              <w:rPr>
                <w:rFonts w:cs="Arial"/>
                <w:szCs w:val="19"/>
                <w:lang w:val="en-US"/>
              </w:rPr>
              <w:t xml:space="preserve"> </w:t>
            </w:r>
            <w:r w:rsidRPr="00462DF3">
              <w:rPr>
                <w:rFonts w:cs="Arial"/>
                <w:sz w:val="16"/>
                <w:szCs w:val="16"/>
                <w:lang w:val="en-US"/>
              </w:rPr>
              <w:t>[EU] [new indication]</w:t>
            </w:r>
          </w:p>
        </w:tc>
      </w:tr>
      <w:tr w:rsidR="0006357A" w:rsidRPr="00A075A3" w14:paraId="48131127" w14:textId="77777777" w:rsidTr="003F40E9">
        <w:tc>
          <w:tcPr>
            <w:tcW w:w="1158" w:type="pct"/>
            <w:gridSpan w:val="2"/>
            <w:shd w:val="clear" w:color="auto" w:fill="auto"/>
            <w:tcMar>
              <w:top w:w="57" w:type="dxa"/>
              <w:bottom w:w="57" w:type="dxa"/>
            </w:tcMar>
          </w:tcPr>
          <w:p w14:paraId="187A8B9F" w14:textId="2883E28B" w:rsidR="0006357A" w:rsidRPr="005D120E" w:rsidRDefault="0006357A" w:rsidP="0006357A">
            <w:pPr>
              <w:rPr>
                <w:rFonts w:cs="Arial"/>
                <w:szCs w:val="19"/>
              </w:rPr>
            </w:pPr>
            <w:r>
              <w:rPr>
                <w:rFonts w:cs="Arial"/>
                <w:szCs w:val="19"/>
              </w:rPr>
              <w:t>Teprotuzumab (</w:t>
            </w:r>
            <w:r>
              <w:rPr>
                <w:rFonts w:cs="Arial"/>
                <w:i/>
                <w:iCs/>
                <w:szCs w:val="19"/>
              </w:rPr>
              <w:t>Tepezza</w:t>
            </w:r>
            <w:r>
              <w:rPr>
                <w:rFonts w:cs="Arial"/>
                <w:szCs w:val="19"/>
              </w:rPr>
              <w:t>)</w:t>
            </w:r>
          </w:p>
        </w:tc>
        <w:tc>
          <w:tcPr>
            <w:tcW w:w="3842" w:type="pct"/>
            <w:shd w:val="clear" w:color="auto" w:fill="auto"/>
            <w:tcMar>
              <w:top w:w="57" w:type="dxa"/>
              <w:bottom w:w="57" w:type="dxa"/>
            </w:tcMar>
          </w:tcPr>
          <w:p w14:paraId="304AFE85" w14:textId="18728763" w:rsidR="0006357A" w:rsidRPr="00272180" w:rsidRDefault="0006357A" w:rsidP="0006357A">
            <w:pPr>
              <w:tabs>
                <w:tab w:val="center" w:pos="3152"/>
              </w:tabs>
              <w:rPr>
                <w:rFonts w:cs="Arial"/>
                <w:szCs w:val="19"/>
                <w:lang w:val="en-US"/>
              </w:rPr>
            </w:pPr>
            <w:r w:rsidRPr="008D70E1">
              <w:rPr>
                <w:rFonts w:cs="Arial"/>
                <w:szCs w:val="19"/>
                <w:lang w:val="en-US"/>
              </w:rPr>
              <w:t xml:space="preserve">Treatment of moderate to severe </w:t>
            </w:r>
            <w:r>
              <w:rPr>
                <w:rFonts w:cs="Arial"/>
                <w:szCs w:val="19"/>
                <w:lang w:val="en-US"/>
              </w:rPr>
              <w:t>t</w:t>
            </w:r>
            <w:r w:rsidRPr="008D70E1">
              <w:rPr>
                <w:rFonts w:cs="Arial"/>
                <w:szCs w:val="19"/>
                <w:lang w:val="en-US"/>
              </w:rPr>
              <w:t xml:space="preserve">hyroid </w:t>
            </w:r>
            <w:r>
              <w:rPr>
                <w:rFonts w:cs="Arial"/>
                <w:szCs w:val="19"/>
                <w:lang w:val="en-US"/>
              </w:rPr>
              <w:t>e</w:t>
            </w:r>
            <w:r w:rsidRPr="008D70E1">
              <w:rPr>
                <w:rFonts w:cs="Arial"/>
                <w:szCs w:val="19"/>
                <w:lang w:val="en-US"/>
              </w:rPr>
              <w:t xml:space="preserve">ye </w:t>
            </w:r>
            <w:r>
              <w:rPr>
                <w:rFonts w:cs="Arial"/>
                <w:szCs w:val="19"/>
                <w:lang w:val="en-US"/>
              </w:rPr>
              <w:t>d</w:t>
            </w:r>
            <w:r w:rsidRPr="008D70E1">
              <w:rPr>
                <w:rFonts w:cs="Arial"/>
                <w:szCs w:val="19"/>
                <w:lang w:val="en-US"/>
              </w:rPr>
              <w:t>isease</w:t>
            </w:r>
            <w:r>
              <w:rPr>
                <w:rFonts w:cs="Arial"/>
                <w:szCs w:val="19"/>
                <w:lang w:val="en-US"/>
              </w:rPr>
              <w:t xml:space="preserve"> </w:t>
            </w:r>
            <w:r w:rsidRPr="00B4740A">
              <w:rPr>
                <w:rFonts w:cs="Arial"/>
                <w:sz w:val="16"/>
                <w:szCs w:val="16"/>
                <w:lang w:val="en-US"/>
              </w:rPr>
              <w:t>[UK]</w:t>
            </w:r>
          </w:p>
        </w:tc>
      </w:tr>
      <w:tr w:rsidR="0006357A" w:rsidRPr="00A075A3" w14:paraId="0185177C" w14:textId="77777777" w:rsidTr="003F40E9">
        <w:tc>
          <w:tcPr>
            <w:tcW w:w="1158" w:type="pct"/>
            <w:gridSpan w:val="2"/>
            <w:shd w:val="clear" w:color="auto" w:fill="auto"/>
            <w:tcMar>
              <w:top w:w="57" w:type="dxa"/>
              <w:bottom w:w="57" w:type="dxa"/>
            </w:tcMar>
          </w:tcPr>
          <w:p w14:paraId="215A1019" w14:textId="20175A30" w:rsidR="0006357A" w:rsidRPr="007976DB" w:rsidRDefault="0006357A" w:rsidP="0006357A">
            <w:pPr>
              <w:rPr>
                <w:rFonts w:cs="Arial"/>
                <w:szCs w:val="19"/>
              </w:rPr>
            </w:pPr>
            <w:r>
              <w:rPr>
                <w:rFonts w:cs="Arial"/>
                <w:szCs w:val="19"/>
              </w:rPr>
              <w:t>Ustekinumab (</w:t>
            </w:r>
            <w:r>
              <w:rPr>
                <w:rFonts w:cs="Arial"/>
                <w:i/>
                <w:iCs/>
                <w:szCs w:val="19"/>
              </w:rPr>
              <w:t>Stelara</w:t>
            </w:r>
            <w:r>
              <w:rPr>
                <w:rFonts w:cs="Arial"/>
                <w:szCs w:val="19"/>
              </w:rPr>
              <w:t>)</w:t>
            </w:r>
          </w:p>
        </w:tc>
        <w:tc>
          <w:tcPr>
            <w:tcW w:w="3842" w:type="pct"/>
            <w:shd w:val="clear" w:color="auto" w:fill="auto"/>
            <w:tcMar>
              <w:top w:w="57" w:type="dxa"/>
              <w:bottom w:w="57" w:type="dxa"/>
            </w:tcMar>
          </w:tcPr>
          <w:p w14:paraId="61EEA10D" w14:textId="77777777" w:rsidR="0006357A" w:rsidRDefault="0006357A" w:rsidP="0006357A">
            <w:pPr>
              <w:tabs>
                <w:tab w:val="center" w:pos="3152"/>
              </w:tabs>
              <w:rPr>
                <w:rFonts w:cs="Arial"/>
                <w:sz w:val="16"/>
                <w:szCs w:val="16"/>
                <w:lang w:val="en-US"/>
              </w:rPr>
            </w:pPr>
            <w:r>
              <w:rPr>
                <w:rFonts w:cs="Arial"/>
                <w:szCs w:val="19"/>
                <w:lang w:val="en-US"/>
              </w:rPr>
              <w:t>M</w:t>
            </w:r>
            <w:r w:rsidRPr="007976DB">
              <w:rPr>
                <w:rFonts w:cs="Arial"/>
                <w:szCs w:val="19"/>
                <w:lang w:val="en-US"/>
              </w:rPr>
              <w:t>oderately to severely active</w:t>
            </w:r>
            <w:r>
              <w:rPr>
                <w:rFonts w:cs="Arial"/>
                <w:szCs w:val="19"/>
                <w:lang w:val="en-US"/>
              </w:rPr>
              <w:t xml:space="preserve"> </w:t>
            </w:r>
            <w:r w:rsidRPr="007976DB">
              <w:rPr>
                <w:rFonts w:cs="Arial"/>
                <w:szCs w:val="19"/>
                <w:lang w:val="en-US"/>
              </w:rPr>
              <w:t xml:space="preserve">Crohn's disease in children aged 2 to 17 years </w:t>
            </w:r>
            <w:r w:rsidRPr="007976DB">
              <w:rPr>
                <w:rFonts w:cs="Arial"/>
                <w:sz w:val="16"/>
                <w:szCs w:val="16"/>
                <w:lang w:val="en-US"/>
              </w:rPr>
              <w:t>[EU]</w:t>
            </w:r>
          </w:p>
          <w:p w14:paraId="17285657" w14:textId="1AA5516F" w:rsidR="0006357A" w:rsidRPr="008D70E1" w:rsidRDefault="0006357A" w:rsidP="0006357A">
            <w:pPr>
              <w:tabs>
                <w:tab w:val="center" w:pos="3152"/>
              </w:tabs>
              <w:rPr>
                <w:rFonts w:cs="Arial"/>
                <w:szCs w:val="19"/>
                <w:lang w:val="en-US"/>
              </w:rPr>
            </w:pPr>
            <w:r w:rsidRPr="007976DB">
              <w:rPr>
                <w:rFonts w:cs="Arial"/>
                <w:sz w:val="16"/>
                <w:szCs w:val="16"/>
                <w:lang w:val="en-US"/>
              </w:rPr>
              <w:t>[licence change from use only in adults]</w:t>
            </w:r>
          </w:p>
        </w:tc>
      </w:tr>
      <w:tr w:rsidR="0006357A" w:rsidRPr="000F19E1" w14:paraId="30804A7E" w14:textId="77777777" w:rsidTr="003F40E9">
        <w:tc>
          <w:tcPr>
            <w:tcW w:w="1158" w:type="pct"/>
            <w:gridSpan w:val="2"/>
            <w:shd w:val="clear" w:color="auto" w:fill="auto"/>
            <w:tcMar>
              <w:top w:w="0" w:type="dxa"/>
              <w:bottom w:w="0" w:type="dxa"/>
            </w:tcMar>
          </w:tcPr>
          <w:p w14:paraId="1E85E108" w14:textId="77777777" w:rsidR="0006357A" w:rsidRPr="000F19E1" w:rsidRDefault="0006357A" w:rsidP="0006357A">
            <w:pPr>
              <w:rPr>
                <w:rFonts w:cs="Arial"/>
                <w:bCs/>
                <w:sz w:val="8"/>
                <w:szCs w:val="8"/>
              </w:rPr>
            </w:pPr>
          </w:p>
        </w:tc>
        <w:tc>
          <w:tcPr>
            <w:tcW w:w="3842" w:type="pct"/>
            <w:shd w:val="clear" w:color="auto" w:fill="auto"/>
            <w:tcMar>
              <w:top w:w="0" w:type="dxa"/>
              <w:bottom w:w="0" w:type="dxa"/>
            </w:tcMar>
          </w:tcPr>
          <w:p w14:paraId="1116BDE9" w14:textId="77777777" w:rsidR="0006357A" w:rsidRPr="000F19E1" w:rsidRDefault="0006357A" w:rsidP="0006357A">
            <w:pPr>
              <w:tabs>
                <w:tab w:val="center" w:pos="3152"/>
              </w:tabs>
              <w:rPr>
                <w:rFonts w:cs="Arial"/>
                <w:sz w:val="8"/>
                <w:szCs w:val="8"/>
                <w:lang w:val="en-US"/>
              </w:rPr>
            </w:pPr>
          </w:p>
        </w:tc>
      </w:tr>
      <w:tr w:rsidR="0006357A" w:rsidRPr="000F19E1" w14:paraId="2735F055" w14:textId="77777777" w:rsidTr="00155BD9">
        <w:tc>
          <w:tcPr>
            <w:tcW w:w="1152" w:type="pct"/>
            <w:shd w:val="clear" w:color="auto" w:fill="DAEEF3"/>
            <w:tcMar>
              <w:top w:w="0" w:type="dxa"/>
              <w:bottom w:w="0" w:type="dxa"/>
            </w:tcMar>
          </w:tcPr>
          <w:p w14:paraId="44B69C1D" w14:textId="77777777" w:rsidR="0006357A" w:rsidRPr="000F19E1" w:rsidRDefault="0006357A" w:rsidP="0006357A">
            <w:pPr>
              <w:rPr>
                <w:rFonts w:cs="Arial"/>
                <w:bCs/>
                <w:sz w:val="8"/>
                <w:szCs w:val="8"/>
              </w:rPr>
            </w:pPr>
          </w:p>
        </w:tc>
        <w:tc>
          <w:tcPr>
            <w:tcW w:w="3848" w:type="pct"/>
            <w:gridSpan w:val="2"/>
            <w:shd w:val="clear" w:color="auto" w:fill="DAEEF3"/>
            <w:tcMar>
              <w:top w:w="0" w:type="dxa"/>
              <w:bottom w:w="0" w:type="dxa"/>
            </w:tcMar>
          </w:tcPr>
          <w:p w14:paraId="2C8FE44C" w14:textId="77777777" w:rsidR="0006357A" w:rsidRPr="000F19E1" w:rsidRDefault="0006357A" w:rsidP="0006357A">
            <w:pPr>
              <w:tabs>
                <w:tab w:val="center" w:pos="3152"/>
              </w:tabs>
              <w:rPr>
                <w:rFonts w:cs="Arial"/>
                <w:sz w:val="8"/>
                <w:szCs w:val="8"/>
                <w:lang w:val="en-US"/>
              </w:rPr>
            </w:pPr>
          </w:p>
        </w:tc>
      </w:tr>
    </w:tbl>
    <w:p w14:paraId="0549A49A" w14:textId="753C62B0" w:rsidR="00F359DF" w:rsidRDefault="00F359DF"/>
    <w:p w14:paraId="0BF93025" w14:textId="71B8A83F" w:rsidR="00F359DF" w:rsidRDefault="00F359DF">
      <w:r>
        <w:br w:type="page"/>
      </w:r>
    </w:p>
    <w:p w14:paraId="541B6A8D" w14:textId="77777777" w:rsidR="00F359DF" w:rsidRDefault="00F359DF"/>
    <w:tbl>
      <w:tblPr>
        <w:tblW w:w="5170" w:type="pct"/>
        <w:tblInd w:w="-176" w:type="dxa"/>
        <w:tblLayout w:type="fixed"/>
        <w:tblLook w:val="01E0" w:firstRow="1" w:lastRow="1" w:firstColumn="1" w:lastColumn="1" w:noHBand="0" w:noVBand="0"/>
      </w:tblPr>
      <w:tblGrid>
        <w:gridCol w:w="2430"/>
        <w:gridCol w:w="13"/>
        <w:gridCol w:w="416"/>
        <w:gridCol w:w="7692"/>
      </w:tblGrid>
      <w:tr w:rsidR="00F359DF" w:rsidRPr="00862949" w14:paraId="5884778C" w14:textId="77777777" w:rsidTr="002E6AF9">
        <w:tc>
          <w:tcPr>
            <w:tcW w:w="5000" w:type="pct"/>
            <w:gridSpan w:val="4"/>
            <w:shd w:val="clear" w:color="auto" w:fill="0070C0"/>
            <w:tcMar>
              <w:top w:w="85" w:type="dxa"/>
              <w:bottom w:w="85" w:type="dxa"/>
            </w:tcMar>
            <w:vAlign w:val="bottom"/>
          </w:tcPr>
          <w:p w14:paraId="22560181" w14:textId="77777777" w:rsidR="00F359DF" w:rsidRPr="00862949" w:rsidRDefault="00F359DF" w:rsidP="002E6AF9">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F359DF" w:rsidRPr="000F19E1" w14:paraId="3C144F92" w14:textId="77777777" w:rsidTr="002E6AF9">
        <w:tc>
          <w:tcPr>
            <w:tcW w:w="1152" w:type="pct"/>
            <w:shd w:val="clear" w:color="auto" w:fill="DAEEF3"/>
            <w:tcMar>
              <w:top w:w="0" w:type="dxa"/>
              <w:bottom w:w="0" w:type="dxa"/>
            </w:tcMar>
          </w:tcPr>
          <w:p w14:paraId="6CEB0CD9" w14:textId="77777777" w:rsidR="00F359DF" w:rsidRPr="000F19E1" w:rsidRDefault="00F359DF" w:rsidP="002E6AF9">
            <w:pPr>
              <w:rPr>
                <w:rFonts w:cs="Arial"/>
                <w:bCs/>
                <w:sz w:val="8"/>
                <w:szCs w:val="8"/>
              </w:rPr>
            </w:pPr>
          </w:p>
        </w:tc>
        <w:tc>
          <w:tcPr>
            <w:tcW w:w="3848" w:type="pct"/>
            <w:gridSpan w:val="3"/>
            <w:shd w:val="clear" w:color="auto" w:fill="DAEEF3"/>
            <w:tcMar>
              <w:top w:w="0" w:type="dxa"/>
              <w:bottom w:w="0" w:type="dxa"/>
            </w:tcMar>
          </w:tcPr>
          <w:p w14:paraId="1058DC9E" w14:textId="77777777" w:rsidR="00F359DF" w:rsidRPr="000F19E1" w:rsidRDefault="00F359DF" w:rsidP="002E6AF9">
            <w:pPr>
              <w:tabs>
                <w:tab w:val="center" w:pos="3152"/>
              </w:tabs>
              <w:rPr>
                <w:rFonts w:cs="Arial"/>
                <w:sz w:val="8"/>
                <w:szCs w:val="8"/>
                <w:lang w:val="en-US"/>
              </w:rPr>
            </w:pPr>
          </w:p>
        </w:tc>
      </w:tr>
      <w:tr w:rsidR="0006357A" w:rsidRPr="00126CCD" w14:paraId="6864537E" w14:textId="77777777" w:rsidTr="00155BD9">
        <w:tc>
          <w:tcPr>
            <w:tcW w:w="5000" w:type="pct"/>
            <w:gridSpan w:val="4"/>
            <w:shd w:val="clear" w:color="auto" w:fill="00B050"/>
            <w:tcMar>
              <w:top w:w="57" w:type="dxa"/>
              <w:bottom w:w="57" w:type="dxa"/>
            </w:tcMar>
          </w:tcPr>
          <w:p w14:paraId="5B51B39C" w14:textId="0D7965F8" w:rsidR="0006357A" w:rsidRPr="004642B4" w:rsidRDefault="0006357A" w:rsidP="0006357A">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06357A" w14:paraId="714A1FA5" w14:textId="77777777" w:rsidTr="003F40E9">
        <w:tc>
          <w:tcPr>
            <w:tcW w:w="1158" w:type="pct"/>
            <w:gridSpan w:val="2"/>
            <w:shd w:val="clear" w:color="auto" w:fill="auto"/>
            <w:tcMar>
              <w:top w:w="57" w:type="dxa"/>
              <w:bottom w:w="57" w:type="dxa"/>
            </w:tcMar>
          </w:tcPr>
          <w:p w14:paraId="3A1A2094" w14:textId="59C99C31" w:rsidR="0006357A" w:rsidRPr="00954900" w:rsidRDefault="0006357A" w:rsidP="0006357A">
            <w:pPr>
              <w:rPr>
                <w:rFonts w:cs="Arial"/>
                <w:szCs w:val="19"/>
              </w:rPr>
            </w:pPr>
            <w:r w:rsidRPr="00954900">
              <w:rPr>
                <w:rFonts w:cs="Arial"/>
                <w:szCs w:val="19"/>
              </w:rPr>
              <w:t>Atezolizumab</w:t>
            </w:r>
            <w:r>
              <w:rPr>
                <w:rFonts w:cs="Arial"/>
                <w:szCs w:val="19"/>
              </w:rPr>
              <w:t xml:space="preserve"> (</w:t>
            </w:r>
            <w:r>
              <w:rPr>
                <w:rFonts w:cs="Arial"/>
                <w:i/>
                <w:iCs/>
                <w:szCs w:val="19"/>
              </w:rPr>
              <w:t>Tecentriq</w:t>
            </w:r>
            <w:r>
              <w:rPr>
                <w:rFonts w:cs="Arial"/>
                <w:szCs w:val="19"/>
              </w:rPr>
              <w:t>)</w:t>
            </w:r>
          </w:p>
        </w:tc>
        <w:tc>
          <w:tcPr>
            <w:tcW w:w="3842" w:type="pct"/>
            <w:gridSpan w:val="2"/>
            <w:shd w:val="clear" w:color="auto" w:fill="auto"/>
            <w:tcMar>
              <w:top w:w="57" w:type="dxa"/>
              <w:bottom w:w="57" w:type="dxa"/>
            </w:tcMar>
          </w:tcPr>
          <w:p w14:paraId="1760A296" w14:textId="2E9678D9" w:rsidR="0006357A" w:rsidRPr="00954900" w:rsidRDefault="0006357A" w:rsidP="0006357A">
            <w:pPr>
              <w:tabs>
                <w:tab w:val="center" w:pos="3152"/>
              </w:tabs>
              <w:rPr>
                <w:rFonts w:cs="Arial"/>
                <w:szCs w:val="19"/>
                <w:lang w:val="en-US"/>
              </w:rPr>
            </w:pPr>
            <w:r w:rsidRPr="00236509">
              <w:rPr>
                <w:rFonts w:cs="Arial"/>
                <w:szCs w:val="19"/>
                <w:lang w:val="en-US"/>
              </w:rPr>
              <w:t>Early relapsing, advanced inoperable, triple negative</w:t>
            </w:r>
            <w:r>
              <w:rPr>
                <w:rFonts w:cs="Arial"/>
                <w:szCs w:val="19"/>
                <w:lang w:val="en-US"/>
              </w:rPr>
              <w:t xml:space="preserve"> breast cancer</w:t>
            </w:r>
            <w:r w:rsidRPr="00236509">
              <w:rPr>
                <w:rFonts w:cs="Arial"/>
                <w:szCs w:val="19"/>
                <w:lang w:val="en-US"/>
              </w:rPr>
              <w:t xml:space="preserve"> in adults</w:t>
            </w:r>
            <w:r>
              <w:rPr>
                <w:rFonts w:cs="Arial"/>
                <w:szCs w:val="19"/>
                <w:lang w:val="en-US"/>
              </w:rPr>
              <w:t>,</w:t>
            </w:r>
            <w:r w:rsidRPr="00236509">
              <w:rPr>
                <w:rFonts w:cs="Arial"/>
                <w:szCs w:val="19"/>
                <w:lang w:val="en-US"/>
              </w:rPr>
              <w:t xml:space="preserve"> with capecitabine or carboplatin/gemcitabine</w:t>
            </w:r>
            <w:r>
              <w:rPr>
                <w:rFonts w:cs="Arial"/>
                <w:szCs w:val="19"/>
                <w:lang w:val="en-US"/>
              </w:rPr>
              <w:t xml:space="preserve"> – development discontinued (lack of efficacy)</w:t>
            </w:r>
          </w:p>
        </w:tc>
      </w:tr>
      <w:tr w:rsidR="0006357A" w14:paraId="697F7632" w14:textId="77777777" w:rsidTr="003F40E9">
        <w:tc>
          <w:tcPr>
            <w:tcW w:w="1158" w:type="pct"/>
            <w:gridSpan w:val="2"/>
            <w:shd w:val="clear" w:color="auto" w:fill="auto"/>
            <w:tcMar>
              <w:top w:w="57" w:type="dxa"/>
              <w:bottom w:w="57" w:type="dxa"/>
            </w:tcMar>
          </w:tcPr>
          <w:p w14:paraId="0C6B2A3E" w14:textId="39DD1518" w:rsidR="0006357A" w:rsidRPr="00954900" w:rsidRDefault="0006357A" w:rsidP="0006357A">
            <w:pPr>
              <w:rPr>
                <w:rFonts w:cs="Arial"/>
                <w:szCs w:val="19"/>
              </w:rPr>
            </w:pPr>
            <w:r w:rsidRPr="00954900">
              <w:rPr>
                <w:rFonts w:cs="Arial"/>
                <w:szCs w:val="19"/>
              </w:rPr>
              <w:t>Atezolizumab</w:t>
            </w:r>
            <w:r>
              <w:rPr>
                <w:rFonts w:cs="Arial"/>
                <w:szCs w:val="19"/>
              </w:rPr>
              <w:t xml:space="preserve"> (</w:t>
            </w:r>
            <w:r>
              <w:rPr>
                <w:rFonts w:cs="Arial"/>
                <w:i/>
                <w:iCs/>
                <w:szCs w:val="19"/>
              </w:rPr>
              <w:t>Tecentriq</w:t>
            </w:r>
            <w:r>
              <w:rPr>
                <w:rFonts w:cs="Arial"/>
                <w:szCs w:val="19"/>
              </w:rPr>
              <w:t>)</w:t>
            </w:r>
          </w:p>
        </w:tc>
        <w:tc>
          <w:tcPr>
            <w:tcW w:w="3842" w:type="pct"/>
            <w:gridSpan w:val="2"/>
            <w:shd w:val="clear" w:color="auto" w:fill="auto"/>
            <w:tcMar>
              <w:top w:w="57" w:type="dxa"/>
              <w:bottom w:w="57" w:type="dxa"/>
            </w:tcMar>
          </w:tcPr>
          <w:p w14:paraId="06403D61" w14:textId="54D2C150" w:rsidR="0006357A" w:rsidRPr="001E3901" w:rsidRDefault="0006357A" w:rsidP="0006357A">
            <w:pPr>
              <w:tabs>
                <w:tab w:val="center" w:pos="3152"/>
              </w:tabs>
              <w:rPr>
                <w:rFonts w:cs="Arial"/>
                <w:szCs w:val="19"/>
                <w:lang w:val="en-US"/>
              </w:rPr>
            </w:pPr>
            <w:r w:rsidRPr="00954900">
              <w:rPr>
                <w:rFonts w:cs="Arial"/>
                <w:szCs w:val="19"/>
                <w:lang w:val="en-US"/>
              </w:rPr>
              <w:t xml:space="preserve">Hepatocellular carcinoma </w:t>
            </w:r>
            <w:r w:rsidRPr="00954900">
              <w:rPr>
                <w:rFonts w:cs="Arial"/>
                <w:szCs w:val="19"/>
                <w:lang w:val="en-US"/>
              </w:rPr>
              <w:tab/>
              <w:t>in adults at high risk of recurrence</w:t>
            </w:r>
            <w:r>
              <w:rPr>
                <w:rFonts w:cs="Arial"/>
                <w:szCs w:val="19"/>
                <w:lang w:val="en-US"/>
              </w:rPr>
              <w:t xml:space="preserve">, </w:t>
            </w:r>
            <w:r w:rsidRPr="00954900">
              <w:rPr>
                <w:rFonts w:cs="Arial"/>
                <w:szCs w:val="19"/>
                <w:lang w:val="en-US"/>
              </w:rPr>
              <w:t>adjuvant therapy with bevacizumab</w:t>
            </w:r>
            <w:r>
              <w:rPr>
                <w:rFonts w:cs="Arial"/>
                <w:szCs w:val="19"/>
                <w:lang w:val="en-US"/>
              </w:rPr>
              <w:t xml:space="preserve"> – </w:t>
            </w:r>
            <w:r w:rsidR="00B74010">
              <w:rPr>
                <w:rFonts w:cs="Arial"/>
                <w:szCs w:val="19"/>
                <w:lang w:val="en-US"/>
              </w:rPr>
              <w:t xml:space="preserve">EU filing withdrawn and </w:t>
            </w:r>
            <w:r>
              <w:rPr>
                <w:rFonts w:cs="Arial"/>
                <w:szCs w:val="19"/>
                <w:lang w:val="en-US"/>
              </w:rPr>
              <w:t>development discontinued (</w:t>
            </w:r>
            <w:r w:rsidR="00B74010">
              <w:rPr>
                <w:rFonts w:cs="Arial"/>
                <w:szCs w:val="19"/>
                <w:lang w:val="en-US"/>
              </w:rPr>
              <w:t>lack of efficacy</w:t>
            </w:r>
            <w:r>
              <w:rPr>
                <w:rFonts w:cs="Arial"/>
                <w:szCs w:val="19"/>
                <w:lang w:val="en-US"/>
              </w:rPr>
              <w:t>)</w:t>
            </w:r>
          </w:p>
        </w:tc>
      </w:tr>
      <w:tr w:rsidR="0006357A" w14:paraId="6DD50BE5" w14:textId="77777777" w:rsidTr="003F40E9">
        <w:tc>
          <w:tcPr>
            <w:tcW w:w="1158" w:type="pct"/>
            <w:gridSpan w:val="2"/>
            <w:shd w:val="clear" w:color="auto" w:fill="auto"/>
            <w:tcMar>
              <w:top w:w="57" w:type="dxa"/>
              <w:bottom w:w="57" w:type="dxa"/>
            </w:tcMar>
          </w:tcPr>
          <w:p w14:paraId="6BE3F139" w14:textId="47ED26D5" w:rsidR="0006357A" w:rsidRPr="001E3901" w:rsidRDefault="0006357A" w:rsidP="0006357A">
            <w:pPr>
              <w:rPr>
                <w:rFonts w:cs="Arial"/>
                <w:szCs w:val="19"/>
              </w:rPr>
            </w:pPr>
            <w:r>
              <w:rPr>
                <w:rFonts w:cs="Arial"/>
                <w:szCs w:val="19"/>
              </w:rPr>
              <w:t>Atezolizumab (</w:t>
            </w:r>
            <w:r>
              <w:rPr>
                <w:rFonts w:cs="Arial"/>
                <w:i/>
                <w:iCs/>
                <w:szCs w:val="19"/>
              </w:rPr>
              <w:t>Tecentriq</w:t>
            </w:r>
            <w:r>
              <w:rPr>
                <w:rFonts w:cs="Arial"/>
                <w:szCs w:val="19"/>
              </w:rPr>
              <w:t>)</w:t>
            </w:r>
          </w:p>
        </w:tc>
        <w:tc>
          <w:tcPr>
            <w:tcW w:w="3842" w:type="pct"/>
            <w:gridSpan w:val="2"/>
            <w:shd w:val="clear" w:color="auto" w:fill="auto"/>
            <w:tcMar>
              <w:top w:w="57" w:type="dxa"/>
              <w:bottom w:w="57" w:type="dxa"/>
            </w:tcMar>
          </w:tcPr>
          <w:p w14:paraId="22A9F97E" w14:textId="578ED549" w:rsidR="0006357A" w:rsidRPr="00C05FAF" w:rsidRDefault="0006357A" w:rsidP="0006357A">
            <w:pPr>
              <w:tabs>
                <w:tab w:val="center" w:pos="3152"/>
              </w:tabs>
              <w:rPr>
                <w:rFonts w:cs="Arial"/>
                <w:szCs w:val="19"/>
                <w:lang w:val="en-US"/>
              </w:rPr>
            </w:pPr>
            <w:r w:rsidRPr="001E3901">
              <w:rPr>
                <w:rFonts w:cs="Arial"/>
                <w:szCs w:val="19"/>
                <w:lang w:val="en-US"/>
              </w:rPr>
              <w:t>Metastatic castration-resistant</w:t>
            </w:r>
            <w:r>
              <w:rPr>
                <w:rFonts w:cs="Arial"/>
                <w:szCs w:val="19"/>
                <w:lang w:val="en-US"/>
              </w:rPr>
              <w:t xml:space="preserve"> prostate cancer</w:t>
            </w:r>
            <w:r w:rsidRPr="001E3901">
              <w:rPr>
                <w:rFonts w:cs="Arial"/>
                <w:szCs w:val="19"/>
                <w:lang w:val="en-US"/>
              </w:rPr>
              <w:t xml:space="preserve"> in adults</w:t>
            </w:r>
            <w:r>
              <w:rPr>
                <w:rFonts w:cs="Arial"/>
                <w:szCs w:val="19"/>
                <w:lang w:val="en-US"/>
              </w:rPr>
              <w:t>,</w:t>
            </w:r>
            <w:r w:rsidRPr="001E3901">
              <w:rPr>
                <w:rFonts w:cs="Arial"/>
                <w:szCs w:val="19"/>
                <w:lang w:val="en-US"/>
              </w:rPr>
              <w:t xml:space="preserve"> with </w:t>
            </w:r>
            <w:r>
              <w:rPr>
                <w:rFonts w:cs="Arial"/>
                <w:szCs w:val="19"/>
                <w:lang w:val="en-US"/>
              </w:rPr>
              <w:t>cabozantinib</w:t>
            </w:r>
            <w:r w:rsidRPr="001E3901">
              <w:rPr>
                <w:rFonts w:cs="Arial"/>
                <w:szCs w:val="19"/>
                <w:lang w:val="en-US"/>
              </w:rPr>
              <w:t xml:space="preserve"> after 1 hormonal treatment</w:t>
            </w:r>
            <w:r>
              <w:rPr>
                <w:rFonts w:cs="Arial"/>
                <w:szCs w:val="19"/>
                <w:lang w:val="en-US"/>
              </w:rPr>
              <w:t xml:space="preserve"> – UK and EU development discontinued (company decision)</w:t>
            </w:r>
          </w:p>
        </w:tc>
      </w:tr>
      <w:tr w:rsidR="00F52EC8" w14:paraId="6BE11D5F" w14:textId="77777777" w:rsidTr="003F40E9">
        <w:tc>
          <w:tcPr>
            <w:tcW w:w="1158" w:type="pct"/>
            <w:gridSpan w:val="2"/>
            <w:shd w:val="clear" w:color="auto" w:fill="auto"/>
            <w:tcMar>
              <w:top w:w="57" w:type="dxa"/>
              <w:bottom w:w="57" w:type="dxa"/>
            </w:tcMar>
          </w:tcPr>
          <w:p w14:paraId="7B7C90FE" w14:textId="69AD8AE6" w:rsidR="00F52EC8" w:rsidRPr="00F52EC8" w:rsidRDefault="00F52EC8" w:rsidP="0006357A">
            <w:pPr>
              <w:rPr>
                <w:rFonts w:cs="Arial"/>
                <w:szCs w:val="19"/>
              </w:rPr>
            </w:pPr>
            <w:r>
              <w:rPr>
                <w:rFonts w:cs="Arial"/>
                <w:szCs w:val="19"/>
              </w:rPr>
              <w:t>Bimatoprost (</w:t>
            </w:r>
            <w:r>
              <w:rPr>
                <w:rFonts w:cs="Arial"/>
                <w:i/>
                <w:iCs/>
                <w:szCs w:val="19"/>
              </w:rPr>
              <w:t>Durysta</w:t>
            </w:r>
            <w:r>
              <w:rPr>
                <w:rFonts w:cs="Arial"/>
                <w:szCs w:val="19"/>
              </w:rPr>
              <w:t>)</w:t>
            </w:r>
          </w:p>
        </w:tc>
        <w:tc>
          <w:tcPr>
            <w:tcW w:w="3842" w:type="pct"/>
            <w:gridSpan w:val="2"/>
            <w:shd w:val="clear" w:color="auto" w:fill="auto"/>
            <w:tcMar>
              <w:top w:w="57" w:type="dxa"/>
              <w:bottom w:w="57" w:type="dxa"/>
            </w:tcMar>
          </w:tcPr>
          <w:p w14:paraId="74D35E9A" w14:textId="2A32A506" w:rsidR="00F52EC8" w:rsidRDefault="00F52EC8" w:rsidP="0006357A">
            <w:pPr>
              <w:tabs>
                <w:tab w:val="center" w:pos="3152"/>
              </w:tabs>
              <w:rPr>
                <w:rFonts w:cs="Arial"/>
                <w:szCs w:val="19"/>
                <w:lang w:val="en-US"/>
              </w:rPr>
            </w:pPr>
            <w:r w:rsidRPr="00F52EC8">
              <w:rPr>
                <w:rFonts w:cs="Arial"/>
                <w:szCs w:val="19"/>
                <w:lang w:val="en-US"/>
              </w:rPr>
              <w:t>Reduction of intraocular pressure in adults with open angle glaucoma or ocular hypertension</w:t>
            </w:r>
            <w:r>
              <w:rPr>
                <w:rFonts w:cs="Arial"/>
                <w:szCs w:val="19"/>
                <w:lang w:val="en-US"/>
              </w:rPr>
              <w:t xml:space="preserve"> – EU filing withdrawn</w:t>
            </w:r>
          </w:p>
        </w:tc>
      </w:tr>
      <w:tr w:rsidR="0006357A" w14:paraId="7B20438D" w14:textId="77777777" w:rsidTr="003F40E9">
        <w:tc>
          <w:tcPr>
            <w:tcW w:w="1158" w:type="pct"/>
            <w:gridSpan w:val="2"/>
            <w:shd w:val="clear" w:color="auto" w:fill="auto"/>
            <w:tcMar>
              <w:top w:w="57" w:type="dxa"/>
              <w:bottom w:w="57" w:type="dxa"/>
            </w:tcMar>
          </w:tcPr>
          <w:p w14:paraId="5795C37D" w14:textId="1ED9B425" w:rsidR="0006357A" w:rsidRDefault="0006357A" w:rsidP="0006357A">
            <w:pPr>
              <w:rPr>
                <w:rFonts w:cs="Arial"/>
                <w:szCs w:val="19"/>
              </w:rPr>
            </w:pPr>
            <w:r w:rsidRPr="0039223E">
              <w:rPr>
                <w:rFonts w:cs="Arial"/>
                <w:szCs w:val="19"/>
              </w:rPr>
              <w:t>Brigimadlin</w:t>
            </w:r>
            <w:r>
              <w:rPr>
                <w:rFonts w:cs="Arial"/>
                <w:szCs w:val="19"/>
              </w:rPr>
              <w:t xml:space="preserve"> </w:t>
            </w:r>
          </w:p>
        </w:tc>
        <w:tc>
          <w:tcPr>
            <w:tcW w:w="3842" w:type="pct"/>
            <w:gridSpan w:val="2"/>
            <w:shd w:val="clear" w:color="auto" w:fill="auto"/>
            <w:tcMar>
              <w:top w:w="57" w:type="dxa"/>
              <w:bottom w:w="57" w:type="dxa"/>
            </w:tcMar>
          </w:tcPr>
          <w:p w14:paraId="27797F95" w14:textId="1E699428" w:rsidR="0006357A" w:rsidRPr="001E3901" w:rsidRDefault="0006357A" w:rsidP="0006357A">
            <w:pPr>
              <w:tabs>
                <w:tab w:val="center" w:pos="3152"/>
              </w:tabs>
              <w:rPr>
                <w:rFonts w:cs="Arial"/>
                <w:szCs w:val="19"/>
                <w:lang w:val="en-US"/>
              </w:rPr>
            </w:pPr>
            <w:r>
              <w:rPr>
                <w:rFonts w:cs="Arial"/>
                <w:szCs w:val="19"/>
                <w:lang w:val="en-US"/>
              </w:rPr>
              <w:t>D</w:t>
            </w:r>
            <w:r w:rsidRPr="008D1105">
              <w:rPr>
                <w:rFonts w:cs="Arial"/>
                <w:szCs w:val="19"/>
                <w:lang w:val="en-US"/>
              </w:rPr>
              <w:t>e-differentiated liposarcoma in adults</w:t>
            </w:r>
            <w:r>
              <w:rPr>
                <w:rFonts w:cs="Arial"/>
                <w:szCs w:val="19"/>
                <w:lang w:val="en-US"/>
              </w:rPr>
              <w:t xml:space="preserve">, </w:t>
            </w:r>
            <w:r w:rsidRPr="008D1105">
              <w:rPr>
                <w:rFonts w:cs="Arial"/>
                <w:szCs w:val="19"/>
                <w:lang w:val="en-US"/>
              </w:rPr>
              <w:t>first-line with doxorubicin</w:t>
            </w:r>
            <w:r>
              <w:rPr>
                <w:rFonts w:cs="Arial"/>
                <w:szCs w:val="19"/>
                <w:lang w:val="en-US"/>
              </w:rPr>
              <w:t xml:space="preserve"> – development discontinued (lack of efficacy)</w:t>
            </w:r>
          </w:p>
        </w:tc>
      </w:tr>
      <w:tr w:rsidR="0006357A" w14:paraId="26A75350" w14:textId="77777777" w:rsidTr="003F40E9">
        <w:tc>
          <w:tcPr>
            <w:tcW w:w="1158" w:type="pct"/>
            <w:gridSpan w:val="2"/>
            <w:shd w:val="clear" w:color="auto" w:fill="auto"/>
            <w:tcMar>
              <w:top w:w="57" w:type="dxa"/>
              <w:bottom w:w="57" w:type="dxa"/>
            </w:tcMar>
          </w:tcPr>
          <w:p w14:paraId="21364814" w14:textId="6B8A5C38" w:rsidR="0006357A" w:rsidRPr="001E3901" w:rsidRDefault="0006357A" w:rsidP="0006357A">
            <w:pPr>
              <w:rPr>
                <w:rFonts w:cs="Arial"/>
                <w:szCs w:val="19"/>
              </w:rPr>
            </w:pPr>
            <w:r>
              <w:rPr>
                <w:rFonts w:cs="Arial"/>
                <w:szCs w:val="19"/>
              </w:rPr>
              <w:t>Cabozantinib (</w:t>
            </w:r>
            <w:r>
              <w:rPr>
                <w:rFonts w:cs="Arial"/>
                <w:i/>
                <w:iCs/>
                <w:szCs w:val="19"/>
              </w:rPr>
              <w:t>Cabometyx</w:t>
            </w:r>
            <w:r>
              <w:rPr>
                <w:rFonts w:cs="Arial"/>
                <w:szCs w:val="19"/>
              </w:rPr>
              <w:t>)</w:t>
            </w:r>
          </w:p>
        </w:tc>
        <w:tc>
          <w:tcPr>
            <w:tcW w:w="3842" w:type="pct"/>
            <w:gridSpan w:val="2"/>
            <w:shd w:val="clear" w:color="auto" w:fill="auto"/>
            <w:tcMar>
              <w:top w:w="57" w:type="dxa"/>
              <w:bottom w:w="57" w:type="dxa"/>
            </w:tcMar>
          </w:tcPr>
          <w:p w14:paraId="3A77F2B8" w14:textId="5C8FD3D1" w:rsidR="0006357A" w:rsidRDefault="0006357A" w:rsidP="0006357A">
            <w:pPr>
              <w:tabs>
                <w:tab w:val="center" w:pos="3152"/>
              </w:tabs>
              <w:rPr>
                <w:rFonts w:cs="Arial"/>
                <w:szCs w:val="19"/>
                <w:lang w:val="en-US"/>
              </w:rPr>
            </w:pPr>
            <w:r w:rsidRPr="001E3901">
              <w:rPr>
                <w:rFonts w:cs="Arial"/>
                <w:szCs w:val="19"/>
                <w:lang w:val="en-US"/>
              </w:rPr>
              <w:t>Metastatic castration-resistant</w:t>
            </w:r>
            <w:r>
              <w:rPr>
                <w:rFonts w:cs="Arial"/>
                <w:szCs w:val="19"/>
                <w:lang w:val="en-US"/>
              </w:rPr>
              <w:t xml:space="preserve"> prostate cancer</w:t>
            </w:r>
            <w:r w:rsidRPr="001E3901">
              <w:rPr>
                <w:rFonts w:cs="Arial"/>
                <w:szCs w:val="19"/>
                <w:lang w:val="en-US"/>
              </w:rPr>
              <w:t xml:space="preserve"> in adults</w:t>
            </w:r>
            <w:r>
              <w:rPr>
                <w:rFonts w:cs="Arial"/>
                <w:szCs w:val="19"/>
                <w:lang w:val="en-US"/>
              </w:rPr>
              <w:t>,</w:t>
            </w:r>
            <w:r w:rsidRPr="001E3901">
              <w:rPr>
                <w:rFonts w:cs="Arial"/>
                <w:szCs w:val="19"/>
                <w:lang w:val="en-US"/>
              </w:rPr>
              <w:t xml:space="preserve"> with atezolizumab after 1 hormonal treatment</w:t>
            </w:r>
            <w:r>
              <w:rPr>
                <w:rFonts w:cs="Arial"/>
                <w:szCs w:val="19"/>
                <w:lang w:val="en-US"/>
              </w:rPr>
              <w:t xml:space="preserve"> – UK and EU development discontinued (company decision)</w:t>
            </w:r>
          </w:p>
        </w:tc>
      </w:tr>
      <w:tr w:rsidR="0006357A" w14:paraId="64FD8BE4" w14:textId="77777777" w:rsidTr="003F40E9">
        <w:tc>
          <w:tcPr>
            <w:tcW w:w="1158" w:type="pct"/>
            <w:gridSpan w:val="2"/>
            <w:shd w:val="clear" w:color="auto" w:fill="auto"/>
            <w:tcMar>
              <w:top w:w="57" w:type="dxa"/>
              <w:bottom w:w="57" w:type="dxa"/>
            </w:tcMar>
          </w:tcPr>
          <w:p w14:paraId="7C33EF10" w14:textId="5C4A6804" w:rsidR="0006357A" w:rsidRPr="00C84407" w:rsidRDefault="0006357A" w:rsidP="0006357A">
            <w:pPr>
              <w:rPr>
                <w:rFonts w:cs="Arial"/>
                <w:szCs w:val="19"/>
              </w:rPr>
            </w:pPr>
            <w:r>
              <w:rPr>
                <w:rFonts w:cs="Arial"/>
                <w:szCs w:val="19"/>
              </w:rPr>
              <w:t>Empagliflozin (</w:t>
            </w:r>
            <w:r>
              <w:rPr>
                <w:rFonts w:cs="Arial"/>
                <w:i/>
                <w:iCs/>
                <w:szCs w:val="19"/>
              </w:rPr>
              <w:t>Jardiance</w:t>
            </w:r>
            <w:r>
              <w:rPr>
                <w:rFonts w:cs="Arial"/>
                <w:szCs w:val="19"/>
              </w:rPr>
              <w:t>)</w:t>
            </w:r>
          </w:p>
        </w:tc>
        <w:tc>
          <w:tcPr>
            <w:tcW w:w="3842" w:type="pct"/>
            <w:gridSpan w:val="2"/>
            <w:shd w:val="clear" w:color="auto" w:fill="auto"/>
            <w:tcMar>
              <w:top w:w="57" w:type="dxa"/>
              <w:bottom w:w="57" w:type="dxa"/>
            </w:tcMar>
          </w:tcPr>
          <w:p w14:paraId="6F673232" w14:textId="3569B88E" w:rsidR="0006357A" w:rsidRPr="00C05FAF" w:rsidRDefault="0006357A" w:rsidP="0006357A">
            <w:pPr>
              <w:tabs>
                <w:tab w:val="center" w:pos="3152"/>
              </w:tabs>
              <w:rPr>
                <w:rFonts w:cs="Arial"/>
                <w:szCs w:val="19"/>
                <w:lang w:val="en-US"/>
              </w:rPr>
            </w:pPr>
            <w:r w:rsidRPr="00C84407">
              <w:rPr>
                <w:rFonts w:cs="Arial"/>
                <w:szCs w:val="19"/>
                <w:lang w:val="en-US"/>
              </w:rPr>
              <w:t xml:space="preserve">Reduction in risk of cardiovascular death or hospitalisation with heart failure following acute </w:t>
            </w:r>
            <w:r>
              <w:rPr>
                <w:rFonts w:cs="Arial"/>
                <w:szCs w:val="19"/>
                <w:lang w:val="en-US"/>
              </w:rPr>
              <w:t>myocardial infarction</w:t>
            </w:r>
            <w:r w:rsidRPr="00C84407">
              <w:rPr>
                <w:rFonts w:cs="Arial"/>
                <w:szCs w:val="19"/>
                <w:lang w:val="en-US"/>
              </w:rPr>
              <w:t xml:space="preserve"> in adults</w:t>
            </w:r>
            <w:r>
              <w:rPr>
                <w:rFonts w:cs="Arial"/>
                <w:szCs w:val="19"/>
                <w:lang w:val="en-US"/>
              </w:rPr>
              <w:t xml:space="preserve"> – development discontinued (lack of efficacy)</w:t>
            </w:r>
          </w:p>
        </w:tc>
      </w:tr>
      <w:tr w:rsidR="0006357A" w14:paraId="3124526D" w14:textId="77777777" w:rsidTr="003F40E9">
        <w:tc>
          <w:tcPr>
            <w:tcW w:w="1158" w:type="pct"/>
            <w:gridSpan w:val="2"/>
            <w:shd w:val="clear" w:color="auto" w:fill="auto"/>
            <w:tcMar>
              <w:top w:w="57" w:type="dxa"/>
              <w:bottom w:w="57" w:type="dxa"/>
            </w:tcMar>
          </w:tcPr>
          <w:p w14:paraId="18AA87CC" w14:textId="77777777" w:rsidR="00444C5D" w:rsidRDefault="00444C5D" w:rsidP="0006357A">
            <w:pPr>
              <w:rPr>
                <w:rFonts w:cs="Arial"/>
                <w:szCs w:val="19"/>
              </w:rPr>
            </w:pPr>
            <w:r w:rsidRPr="00444C5D">
              <w:rPr>
                <w:rFonts w:cs="Arial"/>
                <w:szCs w:val="19"/>
              </w:rPr>
              <w:t>Idecabtagene vicleucel </w:t>
            </w:r>
          </w:p>
          <w:p w14:paraId="6DECA109" w14:textId="793C4831" w:rsidR="0006357A" w:rsidRPr="00444C5D" w:rsidRDefault="00444C5D" w:rsidP="0006357A">
            <w:pPr>
              <w:rPr>
                <w:rFonts w:cs="Arial"/>
                <w:szCs w:val="19"/>
              </w:rPr>
            </w:pPr>
            <w:r>
              <w:rPr>
                <w:rFonts w:cs="Arial"/>
                <w:szCs w:val="19"/>
              </w:rPr>
              <w:t>(</w:t>
            </w:r>
            <w:r>
              <w:rPr>
                <w:rFonts w:cs="Arial"/>
                <w:i/>
                <w:iCs/>
                <w:szCs w:val="19"/>
              </w:rPr>
              <w:t>Abecma</w:t>
            </w:r>
            <w:r>
              <w:rPr>
                <w:rFonts w:cs="Arial"/>
                <w:szCs w:val="19"/>
              </w:rPr>
              <w:t>)</w:t>
            </w:r>
          </w:p>
        </w:tc>
        <w:tc>
          <w:tcPr>
            <w:tcW w:w="3842" w:type="pct"/>
            <w:gridSpan w:val="2"/>
            <w:shd w:val="clear" w:color="auto" w:fill="auto"/>
            <w:tcMar>
              <w:top w:w="57" w:type="dxa"/>
              <w:bottom w:w="57" w:type="dxa"/>
            </w:tcMar>
          </w:tcPr>
          <w:p w14:paraId="29EAD619" w14:textId="1D313565" w:rsidR="0006357A" w:rsidRDefault="00444C5D" w:rsidP="00444C5D">
            <w:pPr>
              <w:tabs>
                <w:tab w:val="center" w:pos="3152"/>
              </w:tabs>
              <w:rPr>
                <w:rFonts w:cs="Arial"/>
                <w:szCs w:val="19"/>
                <w:lang w:val="en-US"/>
              </w:rPr>
            </w:pPr>
            <w:r>
              <w:rPr>
                <w:rFonts w:cs="Arial"/>
                <w:szCs w:val="19"/>
                <w:lang w:val="en-US"/>
              </w:rPr>
              <w:t>N</w:t>
            </w:r>
            <w:r w:rsidRPr="00444C5D">
              <w:rPr>
                <w:rFonts w:cs="Arial"/>
                <w:szCs w:val="19"/>
                <w:lang w:val="en-US"/>
              </w:rPr>
              <w:t>ewly diagnosed</w:t>
            </w:r>
            <w:r>
              <w:rPr>
                <w:rFonts w:cs="Arial"/>
                <w:szCs w:val="19"/>
                <w:lang w:val="en-US"/>
              </w:rPr>
              <w:t xml:space="preserve"> m</w:t>
            </w:r>
            <w:r w:rsidRPr="00444C5D">
              <w:rPr>
                <w:rFonts w:cs="Arial"/>
                <w:szCs w:val="19"/>
                <w:lang w:val="en-US"/>
              </w:rPr>
              <w:t>ultiple myeloma in adults who have suboptimal response to transplant</w:t>
            </w:r>
            <w:r>
              <w:rPr>
                <w:rFonts w:cs="Arial"/>
                <w:szCs w:val="19"/>
                <w:lang w:val="en-US"/>
              </w:rPr>
              <w:t xml:space="preserve"> – development discontinued (company decision)</w:t>
            </w:r>
          </w:p>
        </w:tc>
      </w:tr>
      <w:tr w:rsidR="0006357A" w14:paraId="1E6C820C" w14:textId="77777777" w:rsidTr="003F40E9">
        <w:tc>
          <w:tcPr>
            <w:tcW w:w="1158" w:type="pct"/>
            <w:gridSpan w:val="2"/>
            <w:shd w:val="clear" w:color="auto" w:fill="auto"/>
            <w:tcMar>
              <w:top w:w="57" w:type="dxa"/>
              <w:bottom w:w="57" w:type="dxa"/>
            </w:tcMar>
          </w:tcPr>
          <w:p w14:paraId="597AF52A" w14:textId="1AE75C56" w:rsidR="0006357A" w:rsidRPr="009E6C94" w:rsidRDefault="0006357A" w:rsidP="0006357A">
            <w:pPr>
              <w:rPr>
                <w:rFonts w:cs="Arial"/>
                <w:szCs w:val="19"/>
              </w:rPr>
            </w:pPr>
            <w:r>
              <w:rPr>
                <w:rFonts w:cs="Arial"/>
                <w:szCs w:val="19"/>
              </w:rPr>
              <w:t>Ozanimod (</w:t>
            </w:r>
            <w:r>
              <w:rPr>
                <w:rFonts w:cs="Arial"/>
                <w:i/>
                <w:iCs/>
                <w:szCs w:val="19"/>
              </w:rPr>
              <w:t>Zeposia</w:t>
            </w:r>
            <w:r>
              <w:rPr>
                <w:rFonts w:cs="Arial"/>
                <w:szCs w:val="19"/>
              </w:rPr>
              <w:t>)</w:t>
            </w:r>
          </w:p>
        </w:tc>
        <w:tc>
          <w:tcPr>
            <w:tcW w:w="3842" w:type="pct"/>
            <w:gridSpan w:val="2"/>
            <w:shd w:val="clear" w:color="auto" w:fill="auto"/>
            <w:tcMar>
              <w:top w:w="57" w:type="dxa"/>
              <w:bottom w:w="57" w:type="dxa"/>
            </w:tcMar>
          </w:tcPr>
          <w:p w14:paraId="0E477DF5" w14:textId="77777777" w:rsidR="0006357A" w:rsidRDefault="0006357A" w:rsidP="0006357A">
            <w:pPr>
              <w:tabs>
                <w:tab w:val="center" w:pos="3152"/>
              </w:tabs>
              <w:rPr>
                <w:rFonts w:cs="Arial"/>
                <w:szCs w:val="19"/>
                <w:lang w:val="en-US"/>
              </w:rPr>
            </w:pPr>
            <w:r>
              <w:rPr>
                <w:rFonts w:cs="Arial"/>
                <w:szCs w:val="19"/>
                <w:lang w:val="en-US"/>
              </w:rPr>
              <w:t>M</w:t>
            </w:r>
            <w:r w:rsidRPr="009E6C94">
              <w:rPr>
                <w:rFonts w:cs="Arial"/>
                <w:szCs w:val="19"/>
                <w:lang w:val="en-US"/>
              </w:rPr>
              <w:t>oderate-to-severe active</w:t>
            </w:r>
            <w:r>
              <w:rPr>
                <w:rFonts w:cs="Arial"/>
                <w:szCs w:val="19"/>
                <w:lang w:val="en-US"/>
              </w:rPr>
              <w:t xml:space="preserve"> </w:t>
            </w:r>
            <w:r w:rsidRPr="009E6C94">
              <w:rPr>
                <w:rFonts w:cs="Arial"/>
                <w:szCs w:val="19"/>
                <w:lang w:val="en-US"/>
              </w:rPr>
              <w:t>Crohn's disease in adults</w:t>
            </w:r>
            <w:r>
              <w:rPr>
                <w:rFonts w:cs="Arial"/>
                <w:szCs w:val="19"/>
                <w:lang w:val="en-US"/>
              </w:rPr>
              <w:t xml:space="preserve"> – development discontinued </w:t>
            </w:r>
          </w:p>
          <w:p w14:paraId="5D1C36BB" w14:textId="67B7DE31" w:rsidR="0006357A" w:rsidRDefault="0006357A" w:rsidP="0006357A">
            <w:pPr>
              <w:tabs>
                <w:tab w:val="center" w:pos="3152"/>
              </w:tabs>
              <w:rPr>
                <w:rFonts w:cs="Arial"/>
                <w:szCs w:val="19"/>
                <w:lang w:val="en-US"/>
              </w:rPr>
            </w:pPr>
            <w:r>
              <w:rPr>
                <w:rFonts w:cs="Arial"/>
                <w:szCs w:val="19"/>
                <w:lang w:val="en-US"/>
              </w:rPr>
              <w:t>(lack of efficacy)</w:t>
            </w:r>
          </w:p>
        </w:tc>
      </w:tr>
      <w:tr w:rsidR="00B74010" w14:paraId="5EBE3C06" w14:textId="77777777" w:rsidTr="003F40E9">
        <w:tc>
          <w:tcPr>
            <w:tcW w:w="1158" w:type="pct"/>
            <w:gridSpan w:val="2"/>
            <w:shd w:val="clear" w:color="auto" w:fill="auto"/>
            <w:tcMar>
              <w:top w:w="57" w:type="dxa"/>
              <w:bottom w:w="57" w:type="dxa"/>
            </w:tcMar>
          </w:tcPr>
          <w:p w14:paraId="43C5BF3B" w14:textId="2834974F" w:rsidR="00B74010" w:rsidRPr="00672A42" w:rsidRDefault="00B74010" w:rsidP="00B74010">
            <w:pPr>
              <w:rPr>
                <w:rFonts w:cs="Arial"/>
                <w:szCs w:val="19"/>
              </w:rPr>
            </w:pPr>
            <w:r>
              <w:rPr>
                <w:rFonts w:cs="Arial"/>
                <w:szCs w:val="19"/>
              </w:rPr>
              <w:t>Pegcetacoplan (</w:t>
            </w:r>
            <w:r>
              <w:rPr>
                <w:rFonts w:cs="Arial"/>
                <w:i/>
                <w:iCs/>
                <w:szCs w:val="19"/>
              </w:rPr>
              <w:t>Syfovre</w:t>
            </w:r>
            <w:r>
              <w:rPr>
                <w:rFonts w:cs="Arial"/>
                <w:szCs w:val="19"/>
              </w:rPr>
              <w:t>)</w:t>
            </w:r>
          </w:p>
        </w:tc>
        <w:tc>
          <w:tcPr>
            <w:tcW w:w="3842" w:type="pct"/>
            <w:gridSpan w:val="2"/>
            <w:shd w:val="clear" w:color="auto" w:fill="auto"/>
            <w:tcMar>
              <w:top w:w="57" w:type="dxa"/>
              <w:bottom w:w="57" w:type="dxa"/>
            </w:tcMar>
          </w:tcPr>
          <w:p w14:paraId="14460F1B" w14:textId="51B17CAE" w:rsidR="00B74010" w:rsidRDefault="00B74010" w:rsidP="00B74010">
            <w:pPr>
              <w:tabs>
                <w:tab w:val="center" w:pos="3152"/>
              </w:tabs>
              <w:rPr>
                <w:rFonts w:cs="Arial"/>
                <w:szCs w:val="19"/>
                <w:lang w:val="en-US"/>
              </w:rPr>
            </w:pPr>
            <w:r>
              <w:rPr>
                <w:rFonts w:cs="Arial"/>
                <w:szCs w:val="19"/>
                <w:lang w:val="en-US"/>
              </w:rPr>
              <w:t>G</w:t>
            </w:r>
            <w:r w:rsidRPr="00EB0C6A">
              <w:rPr>
                <w:rFonts w:cs="Arial"/>
                <w:szCs w:val="19"/>
                <w:lang w:val="en-US"/>
              </w:rPr>
              <w:t xml:space="preserve">eographic atrophy caused by </w:t>
            </w:r>
            <w:r>
              <w:rPr>
                <w:rFonts w:cs="Arial"/>
                <w:szCs w:val="19"/>
                <w:lang w:val="en-US"/>
              </w:rPr>
              <w:t>a</w:t>
            </w:r>
            <w:r w:rsidRPr="00EB0C6A">
              <w:rPr>
                <w:rFonts w:cs="Arial"/>
                <w:szCs w:val="19"/>
                <w:lang w:val="en-US"/>
              </w:rPr>
              <w:t>ge-related macular degeneration</w:t>
            </w:r>
            <w:r>
              <w:rPr>
                <w:rFonts w:cs="Arial"/>
                <w:szCs w:val="19"/>
                <w:lang w:val="en-US"/>
              </w:rPr>
              <w:t xml:space="preserve"> in adults – not recommended for approval in EU (second negative opinion)</w:t>
            </w:r>
          </w:p>
        </w:tc>
      </w:tr>
      <w:tr w:rsidR="00B74010" w14:paraId="5218F963" w14:textId="77777777" w:rsidTr="003F40E9">
        <w:tc>
          <w:tcPr>
            <w:tcW w:w="1158" w:type="pct"/>
            <w:gridSpan w:val="2"/>
            <w:shd w:val="clear" w:color="auto" w:fill="auto"/>
            <w:tcMar>
              <w:top w:w="57" w:type="dxa"/>
              <w:bottom w:w="57" w:type="dxa"/>
            </w:tcMar>
          </w:tcPr>
          <w:p w14:paraId="43119B61" w14:textId="280BCDC9" w:rsidR="00B74010" w:rsidRPr="004F4B1A" w:rsidRDefault="00B74010" w:rsidP="00B74010">
            <w:pPr>
              <w:rPr>
                <w:rFonts w:cs="Arial"/>
                <w:szCs w:val="19"/>
              </w:rPr>
            </w:pPr>
            <w:r>
              <w:rPr>
                <w:rFonts w:cs="Arial"/>
                <w:szCs w:val="19"/>
              </w:rPr>
              <w:t>Secukinumab (</w:t>
            </w:r>
            <w:r>
              <w:rPr>
                <w:rFonts w:cs="Arial"/>
                <w:i/>
                <w:iCs/>
                <w:szCs w:val="19"/>
              </w:rPr>
              <w:t>Cosentyx</w:t>
            </w:r>
            <w:r>
              <w:rPr>
                <w:rFonts w:cs="Arial"/>
                <w:szCs w:val="19"/>
              </w:rPr>
              <w:t>)</w:t>
            </w:r>
          </w:p>
        </w:tc>
        <w:tc>
          <w:tcPr>
            <w:tcW w:w="3842" w:type="pct"/>
            <w:gridSpan w:val="2"/>
            <w:shd w:val="clear" w:color="auto" w:fill="auto"/>
            <w:tcMar>
              <w:top w:w="57" w:type="dxa"/>
              <w:bottom w:w="57" w:type="dxa"/>
            </w:tcMar>
          </w:tcPr>
          <w:p w14:paraId="1582B2FB" w14:textId="09BCFD2D" w:rsidR="00B74010" w:rsidRPr="008E641A" w:rsidRDefault="00B74010" w:rsidP="00B74010">
            <w:pPr>
              <w:tabs>
                <w:tab w:val="center" w:pos="3152"/>
              </w:tabs>
              <w:rPr>
                <w:rFonts w:cs="Arial"/>
                <w:szCs w:val="19"/>
                <w:lang w:val="en-US"/>
              </w:rPr>
            </w:pPr>
            <w:r>
              <w:rPr>
                <w:rFonts w:cs="Arial"/>
                <w:szCs w:val="19"/>
                <w:lang w:val="en-US"/>
              </w:rPr>
              <w:t>M</w:t>
            </w:r>
            <w:r w:rsidRPr="004F4B1A">
              <w:rPr>
                <w:rFonts w:cs="Arial"/>
                <w:szCs w:val="19"/>
                <w:lang w:val="en-US"/>
              </w:rPr>
              <w:t>oderate to severe rotator cuff</w:t>
            </w:r>
            <w:r>
              <w:rPr>
                <w:rFonts w:cs="Arial"/>
                <w:szCs w:val="19"/>
                <w:lang w:val="en-US"/>
              </w:rPr>
              <w:t xml:space="preserve"> t</w:t>
            </w:r>
            <w:r w:rsidRPr="004F4B1A">
              <w:rPr>
                <w:rFonts w:cs="Arial"/>
                <w:szCs w:val="19"/>
                <w:lang w:val="en-US"/>
              </w:rPr>
              <w:t>endinopathy in adults with partial/no tear and active disease, who have failed conventional therapy</w:t>
            </w:r>
            <w:r>
              <w:rPr>
                <w:rFonts w:cs="Arial"/>
                <w:szCs w:val="19"/>
                <w:lang w:val="en-US"/>
              </w:rPr>
              <w:t xml:space="preserve"> – development discontinued (company decision)</w:t>
            </w:r>
          </w:p>
        </w:tc>
      </w:tr>
      <w:tr w:rsidR="00B74010" w14:paraId="41B7D574" w14:textId="77777777" w:rsidTr="003F40E9">
        <w:tc>
          <w:tcPr>
            <w:tcW w:w="1158" w:type="pct"/>
            <w:gridSpan w:val="2"/>
            <w:shd w:val="clear" w:color="auto" w:fill="auto"/>
            <w:tcMar>
              <w:top w:w="57" w:type="dxa"/>
              <w:bottom w:w="57" w:type="dxa"/>
            </w:tcMar>
          </w:tcPr>
          <w:p w14:paraId="23241944" w14:textId="0BE697BB" w:rsidR="00B74010" w:rsidRPr="008B7245" w:rsidRDefault="00B74010" w:rsidP="00B74010">
            <w:pPr>
              <w:rPr>
                <w:rFonts w:cs="Arial"/>
                <w:szCs w:val="19"/>
              </w:rPr>
            </w:pPr>
            <w:r>
              <w:rPr>
                <w:rFonts w:cs="Arial"/>
                <w:szCs w:val="19"/>
              </w:rPr>
              <w:t>Selexipag (</w:t>
            </w:r>
            <w:r>
              <w:rPr>
                <w:rFonts w:cs="Arial"/>
                <w:i/>
                <w:iCs/>
                <w:szCs w:val="19"/>
              </w:rPr>
              <w:t>Uptravi</w:t>
            </w:r>
            <w:r>
              <w:rPr>
                <w:rFonts w:cs="Arial"/>
                <w:szCs w:val="19"/>
              </w:rPr>
              <w:t>)</w:t>
            </w:r>
          </w:p>
        </w:tc>
        <w:tc>
          <w:tcPr>
            <w:tcW w:w="3842" w:type="pct"/>
            <w:gridSpan w:val="2"/>
            <w:shd w:val="clear" w:color="auto" w:fill="auto"/>
            <w:tcMar>
              <w:top w:w="57" w:type="dxa"/>
              <w:bottom w:w="57" w:type="dxa"/>
            </w:tcMar>
          </w:tcPr>
          <w:p w14:paraId="3AEA186D" w14:textId="18034B89" w:rsidR="00B74010" w:rsidRDefault="00B74010" w:rsidP="00B74010">
            <w:pPr>
              <w:tabs>
                <w:tab w:val="center" w:pos="3152"/>
              </w:tabs>
              <w:rPr>
                <w:rFonts w:cs="Arial"/>
                <w:szCs w:val="19"/>
                <w:lang w:val="en-US"/>
              </w:rPr>
            </w:pPr>
            <w:r w:rsidRPr="008B7245">
              <w:rPr>
                <w:rFonts w:cs="Arial"/>
                <w:szCs w:val="19"/>
                <w:lang w:val="en-US"/>
              </w:rPr>
              <w:t>Pulmonary</w:t>
            </w:r>
            <w:r>
              <w:rPr>
                <w:rFonts w:cs="Arial"/>
                <w:szCs w:val="19"/>
                <w:lang w:val="en-US"/>
              </w:rPr>
              <w:t xml:space="preserve"> arterial</w:t>
            </w:r>
            <w:r w:rsidRPr="008B7245">
              <w:rPr>
                <w:rFonts w:cs="Arial"/>
                <w:szCs w:val="19"/>
                <w:lang w:val="en-US"/>
              </w:rPr>
              <w:t xml:space="preserve"> hypertension</w:t>
            </w:r>
            <w:r>
              <w:rPr>
                <w:rFonts w:cs="Arial"/>
                <w:szCs w:val="19"/>
                <w:lang w:val="en-US"/>
              </w:rPr>
              <w:t xml:space="preserve"> </w:t>
            </w:r>
            <w:r w:rsidRPr="008B7245">
              <w:rPr>
                <w:rFonts w:cs="Arial"/>
                <w:szCs w:val="19"/>
                <w:lang w:val="en-US"/>
              </w:rPr>
              <w:t xml:space="preserve">(WHO functional class II-III) in children aged 2 to 17 years </w:t>
            </w:r>
            <w:r>
              <w:rPr>
                <w:rFonts w:cs="Arial"/>
                <w:szCs w:val="19"/>
                <w:lang w:val="en-US"/>
              </w:rPr>
              <w:t>– UK development discontinued (company decision)</w:t>
            </w:r>
            <w:r w:rsidRPr="008B7245">
              <w:rPr>
                <w:rFonts w:cs="Arial"/>
                <w:szCs w:val="19"/>
                <w:lang w:val="en-US"/>
              </w:rPr>
              <w:t xml:space="preserve"> </w:t>
            </w:r>
          </w:p>
        </w:tc>
      </w:tr>
      <w:tr w:rsidR="002D7F0F" w14:paraId="430D6594" w14:textId="77777777" w:rsidTr="003F40E9">
        <w:tc>
          <w:tcPr>
            <w:tcW w:w="1158" w:type="pct"/>
            <w:gridSpan w:val="2"/>
            <w:shd w:val="clear" w:color="auto" w:fill="auto"/>
            <w:tcMar>
              <w:top w:w="57" w:type="dxa"/>
              <w:bottom w:w="57" w:type="dxa"/>
            </w:tcMar>
          </w:tcPr>
          <w:p w14:paraId="6D4FD4B1" w14:textId="1DDCCE79" w:rsidR="002D7F0F" w:rsidRDefault="002D7F0F" w:rsidP="00B74010">
            <w:pPr>
              <w:rPr>
                <w:rFonts w:cs="Arial"/>
                <w:szCs w:val="19"/>
              </w:rPr>
            </w:pPr>
            <w:r>
              <w:rPr>
                <w:rFonts w:cs="Arial"/>
                <w:szCs w:val="19"/>
              </w:rPr>
              <w:t xml:space="preserve">Soticlestat </w:t>
            </w:r>
          </w:p>
        </w:tc>
        <w:tc>
          <w:tcPr>
            <w:tcW w:w="3842" w:type="pct"/>
            <w:gridSpan w:val="2"/>
            <w:shd w:val="clear" w:color="auto" w:fill="auto"/>
            <w:tcMar>
              <w:top w:w="57" w:type="dxa"/>
              <w:bottom w:w="57" w:type="dxa"/>
            </w:tcMar>
          </w:tcPr>
          <w:p w14:paraId="2A9F79B9" w14:textId="66D75C8F" w:rsidR="002D7F0F" w:rsidRPr="008B7245" w:rsidRDefault="002D7F0F" w:rsidP="00B74010">
            <w:pPr>
              <w:tabs>
                <w:tab w:val="center" w:pos="3152"/>
              </w:tabs>
              <w:rPr>
                <w:rFonts w:cs="Arial"/>
                <w:szCs w:val="19"/>
                <w:lang w:val="en-US"/>
              </w:rPr>
            </w:pPr>
            <w:r w:rsidRPr="002D7F0F">
              <w:rPr>
                <w:rFonts w:cs="Arial"/>
                <w:szCs w:val="19"/>
                <w:lang w:val="en-US"/>
              </w:rPr>
              <w:t xml:space="preserve">Lennox-Gastaut syndrome in adults and children aged </w:t>
            </w:r>
            <w:r>
              <w:rPr>
                <w:rFonts w:cs="Arial"/>
                <w:szCs w:val="19"/>
                <w:lang w:val="en-US"/>
              </w:rPr>
              <w:t>≥</w:t>
            </w:r>
            <w:r w:rsidRPr="002D7F0F">
              <w:rPr>
                <w:rFonts w:cs="Arial"/>
                <w:szCs w:val="19"/>
                <w:lang w:val="en-US"/>
              </w:rPr>
              <w:t xml:space="preserve">2 years </w:t>
            </w:r>
            <w:r>
              <w:rPr>
                <w:rFonts w:cs="Arial"/>
                <w:szCs w:val="19"/>
                <w:lang w:val="en-US"/>
              </w:rPr>
              <w:t>– development discontinued (lack of efficacy)</w:t>
            </w:r>
          </w:p>
        </w:tc>
      </w:tr>
      <w:tr w:rsidR="006937B8" w14:paraId="04BBBA79" w14:textId="77777777" w:rsidTr="003F40E9">
        <w:tc>
          <w:tcPr>
            <w:tcW w:w="1158" w:type="pct"/>
            <w:gridSpan w:val="2"/>
            <w:shd w:val="clear" w:color="auto" w:fill="auto"/>
            <w:tcMar>
              <w:top w:w="57" w:type="dxa"/>
              <w:bottom w:w="57" w:type="dxa"/>
            </w:tcMar>
          </w:tcPr>
          <w:p w14:paraId="6474A267" w14:textId="6D50442D" w:rsidR="006937B8" w:rsidRPr="006937B8" w:rsidRDefault="006937B8" w:rsidP="006937B8">
            <w:pPr>
              <w:rPr>
                <w:rFonts w:cs="Arial"/>
                <w:szCs w:val="19"/>
              </w:rPr>
            </w:pPr>
            <w:r w:rsidRPr="006937B8">
              <w:rPr>
                <w:rFonts w:cs="Arial"/>
                <w:szCs w:val="19"/>
              </w:rPr>
              <w:t>Voxelotor</w:t>
            </w:r>
            <w:r>
              <w:rPr>
                <w:rFonts w:cs="Arial"/>
                <w:szCs w:val="19"/>
              </w:rPr>
              <w:t xml:space="preserve"> (</w:t>
            </w:r>
            <w:r>
              <w:rPr>
                <w:rFonts w:cs="Arial"/>
                <w:i/>
                <w:iCs/>
                <w:szCs w:val="19"/>
              </w:rPr>
              <w:t>Oxbryta</w:t>
            </w:r>
            <w:r>
              <w:rPr>
                <w:rFonts w:cs="Arial"/>
                <w:szCs w:val="19"/>
              </w:rPr>
              <w:t>)</w:t>
            </w:r>
          </w:p>
        </w:tc>
        <w:tc>
          <w:tcPr>
            <w:tcW w:w="3842" w:type="pct"/>
            <w:gridSpan w:val="2"/>
            <w:shd w:val="clear" w:color="auto" w:fill="auto"/>
            <w:tcMar>
              <w:top w:w="57" w:type="dxa"/>
              <w:bottom w:w="57" w:type="dxa"/>
            </w:tcMar>
          </w:tcPr>
          <w:p w14:paraId="69874054" w14:textId="24F1B725" w:rsidR="006937B8" w:rsidRPr="002D7F0F" w:rsidRDefault="006937B8" w:rsidP="006937B8">
            <w:pPr>
              <w:tabs>
                <w:tab w:val="center" w:pos="3152"/>
              </w:tabs>
              <w:rPr>
                <w:rFonts w:cs="Arial"/>
                <w:szCs w:val="19"/>
                <w:lang w:val="en-US"/>
              </w:rPr>
            </w:pPr>
            <w:r w:rsidRPr="006937B8">
              <w:rPr>
                <w:rFonts w:cs="Arial"/>
                <w:szCs w:val="19"/>
                <w:lang w:val="en-US"/>
              </w:rPr>
              <w:t xml:space="preserve">Treatment of haemolytic anaemia due to sickle cell disease in adult and paediatric patients </w:t>
            </w:r>
            <w:r>
              <w:rPr>
                <w:rFonts w:cs="Arial"/>
                <w:szCs w:val="19"/>
                <w:lang w:val="en-US"/>
              </w:rPr>
              <w:t>aged ≥</w:t>
            </w:r>
            <w:r w:rsidRPr="006937B8">
              <w:rPr>
                <w:rFonts w:cs="Arial"/>
                <w:szCs w:val="19"/>
                <w:lang w:val="en-US"/>
              </w:rPr>
              <w:t xml:space="preserve">12 years as monotherapy or in combination with hydroxycarbamide </w:t>
            </w:r>
            <w:r>
              <w:rPr>
                <w:rFonts w:cs="Arial"/>
                <w:szCs w:val="19"/>
                <w:lang w:val="en-US"/>
              </w:rPr>
              <w:t>– withdrawn from all markets (safety concern)</w:t>
            </w:r>
          </w:p>
        </w:tc>
      </w:tr>
      <w:tr w:rsidR="006937B8" w14:paraId="0A48B836" w14:textId="77777777" w:rsidTr="003F40E9">
        <w:tc>
          <w:tcPr>
            <w:tcW w:w="1158" w:type="pct"/>
            <w:gridSpan w:val="2"/>
            <w:shd w:val="clear" w:color="auto" w:fill="auto"/>
            <w:tcMar>
              <w:top w:w="57" w:type="dxa"/>
              <w:bottom w:w="57" w:type="dxa"/>
            </w:tcMar>
          </w:tcPr>
          <w:p w14:paraId="68C3EB41" w14:textId="1112B404" w:rsidR="006937B8" w:rsidRPr="006937B8" w:rsidRDefault="006937B8" w:rsidP="006937B8">
            <w:pPr>
              <w:rPr>
                <w:rFonts w:cs="Arial"/>
                <w:szCs w:val="19"/>
              </w:rPr>
            </w:pPr>
            <w:r w:rsidRPr="006937B8">
              <w:rPr>
                <w:rFonts w:cs="Arial"/>
                <w:szCs w:val="19"/>
              </w:rPr>
              <w:t>Voxelotor</w:t>
            </w:r>
            <w:r>
              <w:rPr>
                <w:rFonts w:cs="Arial"/>
                <w:szCs w:val="19"/>
              </w:rPr>
              <w:t xml:space="preserve"> (</w:t>
            </w:r>
            <w:r>
              <w:rPr>
                <w:rFonts w:cs="Arial"/>
                <w:i/>
                <w:iCs/>
                <w:szCs w:val="19"/>
              </w:rPr>
              <w:t>Oxbryta</w:t>
            </w:r>
            <w:r>
              <w:rPr>
                <w:rFonts w:cs="Arial"/>
                <w:szCs w:val="19"/>
              </w:rPr>
              <w:t>)</w:t>
            </w:r>
          </w:p>
        </w:tc>
        <w:tc>
          <w:tcPr>
            <w:tcW w:w="3842" w:type="pct"/>
            <w:gridSpan w:val="2"/>
            <w:shd w:val="clear" w:color="auto" w:fill="auto"/>
            <w:tcMar>
              <w:top w:w="57" w:type="dxa"/>
              <w:bottom w:w="57" w:type="dxa"/>
            </w:tcMar>
          </w:tcPr>
          <w:p w14:paraId="3F25054A" w14:textId="680BDAE2" w:rsidR="006937B8" w:rsidRPr="006937B8" w:rsidRDefault="006937B8" w:rsidP="006937B8">
            <w:pPr>
              <w:tabs>
                <w:tab w:val="center" w:pos="3152"/>
              </w:tabs>
              <w:rPr>
                <w:rFonts w:cs="Arial"/>
                <w:szCs w:val="19"/>
                <w:lang w:val="en-US"/>
              </w:rPr>
            </w:pPr>
            <w:r w:rsidRPr="006937B8">
              <w:rPr>
                <w:rFonts w:cs="Arial"/>
                <w:szCs w:val="19"/>
                <w:lang w:val="en-US"/>
              </w:rPr>
              <w:t xml:space="preserve">Treatment of haemolytic anaemia due to sickle cell disease in children aged 4 to 11 years </w:t>
            </w:r>
            <w:r>
              <w:rPr>
                <w:rFonts w:cs="Arial"/>
                <w:szCs w:val="19"/>
                <w:lang w:val="en-US"/>
              </w:rPr>
              <w:t>– development discontinued (safety concern)</w:t>
            </w:r>
          </w:p>
        </w:tc>
      </w:tr>
      <w:tr w:rsidR="006937B8" w14:paraId="3F9B1A19" w14:textId="77777777" w:rsidTr="003F40E9">
        <w:tc>
          <w:tcPr>
            <w:tcW w:w="1158" w:type="pct"/>
            <w:gridSpan w:val="2"/>
            <w:shd w:val="clear" w:color="auto" w:fill="auto"/>
            <w:tcMar>
              <w:top w:w="57" w:type="dxa"/>
              <w:bottom w:w="57" w:type="dxa"/>
            </w:tcMar>
          </w:tcPr>
          <w:p w14:paraId="44149CD8" w14:textId="1590C277" w:rsidR="006937B8" w:rsidRPr="006937B8" w:rsidRDefault="006937B8" w:rsidP="006937B8">
            <w:pPr>
              <w:rPr>
                <w:rFonts w:cs="Arial"/>
                <w:szCs w:val="19"/>
              </w:rPr>
            </w:pPr>
            <w:r w:rsidRPr="006937B8">
              <w:rPr>
                <w:rFonts w:cs="Arial"/>
                <w:szCs w:val="19"/>
              </w:rPr>
              <w:t>Voxelotor</w:t>
            </w:r>
            <w:r>
              <w:rPr>
                <w:rFonts w:cs="Arial"/>
                <w:szCs w:val="19"/>
              </w:rPr>
              <w:t xml:space="preserve"> (</w:t>
            </w:r>
            <w:r>
              <w:rPr>
                <w:rFonts w:cs="Arial"/>
                <w:i/>
                <w:iCs/>
                <w:szCs w:val="19"/>
              </w:rPr>
              <w:t>Oxbryta</w:t>
            </w:r>
            <w:r>
              <w:rPr>
                <w:rFonts w:cs="Arial"/>
                <w:szCs w:val="19"/>
              </w:rPr>
              <w:t>)</w:t>
            </w:r>
          </w:p>
        </w:tc>
        <w:tc>
          <w:tcPr>
            <w:tcW w:w="3842" w:type="pct"/>
            <w:gridSpan w:val="2"/>
            <w:shd w:val="clear" w:color="auto" w:fill="auto"/>
            <w:tcMar>
              <w:top w:w="57" w:type="dxa"/>
              <w:bottom w:w="57" w:type="dxa"/>
            </w:tcMar>
          </w:tcPr>
          <w:p w14:paraId="65D1E069" w14:textId="50998978" w:rsidR="006937B8" w:rsidRPr="006937B8" w:rsidRDefault="00CA0AFD" w:rsidP="00CA0AFD">
            <w:pPr>
              <w:tabs>
                <w:tab w:val="center" w:pos="3152"/>
              </w:tabs>
              <w:rPr>
                <w:rFonts w:cs="Arial"/>
                <w:szCs w:val="19"/>
                <w:lang w:val="en-US"/>
              </w:rPr>
            </w:pPr>
            <w:r>
              <w:rPr>
                <w:rFonts w:cs="Arial"/>
                <w:szCs w:val="19"/>
                <w:lang w:val="en-US"/>
              </w:rPr>
              <w:t>Treatment of si</w:t>
            </w:r>
            <w:r w:rsidRPr="00CA0AFD">
              <w:rPr>
                <w:rFonts w:cs="Arial"/>
                <w:szCs w:val="19"/>
                <w:lang w:val="en-US"/>
              </w:rPr>
              <w:t>ckle cell disease</w:t>
            </w:r>
            <w:r>
              <w:rPr>
                <w:rFonts w:cs="Arial"/>
                <w:szCs w:val="19"/>
                <w:lang w:val="en-US"/>
              </w:rPr>
              <w:t>-</w:t>
            </w:r>
            <w:r w:rsidRPr="00CA0AFD">
              <w:rPr>
                <w:rFonts w:cs="Arial"/>
                <w:szCs w:val="19"/>
                <w:lang w:val="en-US"/>
              </w:rPr>
              <w:tab/>
              <w:t xml:space="preserve">associated leg ulcers, in adults and children aged </w:t>
            </w:r>
            <w:r>
              <w:rPr>
                <w:rFonts w:cs="Arial"/>
                <w:szCs w:val="19"/>
                <w:lang w:val="en-US"/>
              </w:rPr>
              <w:t>≥</w:t>
            </w:r>
            <w:r w:rsidRPr="00CA0AFD">
              <w:rPr>
                <w:rFonts w:cs="Arial"/>
                <w:szCs w:val="19"/>
                <w:lang w:val="en-US"/>
              </w:rPr>
              <w:t>12 years</w:t>
            </w:r>
            <w:r>
              <w:rPr>
                <w:rFonts w:cs="Arial"/>
                <w:szCs w:val="19"/>
                <w:lang w:val="en-US"/>
              </w:rPr>
              <w:t xml:space="preserve"> – development discontinued (safety concern)</w:t>
            </w:r>
          </w:p>
        </w:tc>
      </w:tr>
      <w:tr w:rsidR="006937B8" w14:paraId="3B6855C5" w14:textId="77777777" w:rsidTr="003F40E9">
        <w:tc>
          <w:tcPr>
            <w:tcW w:w="1158" w:type="pct"/>
            <w:gridSpan w:val="2"/>
            <w:shd w:val="clear" w:color="auto" w:fill="auto"/>
            <w:tcMar>
              <w:top w:w="57" w:type="dxa"/>
              <w:bottom w:w="57" w:type="dxa"/>
            </w:tcMar>
          </w:tcPr>
          <w:p w14:paraId="6BDE10C0" w14:textId="30EF4614" w:rsidR="006937B8" w:rsidRDefault="006937B8" w:rsidP="006937B8">
            <w:pPr>
              <w:rPr>
                <w:rFonts w:cs="Arial"/>
                <w:szCs w:val="19"/>
              </w:rPr>
            </w:pPr>
            <w:r w:rsidRPr="006937B8">
              <w:rPr>
                <w:rFonts w:cs="Arial"/>
                <w:szCs w:val="19"/>
              </w:rPr>
              <w:t>Voxelotor</w:t>
            </w:r>
            <w:r>
              <w:rPr>
                <w:rFonts w:cs="Arial"/>
                <w:szCs w:val="19"/>
              </w:rPr>
              <w:t xml:space="preserve"> (</w:t>
            </w:r>
            <w:r>
              <w:rPr>
                <w:rFonts w:cs="Arial"/>
                <w:i/>
                <w:iCs/>
                <w:szCs w:val="19"/>
              </w:rPr>
              <w:t>Oxbryta</w:t>
            </w:r>
            <w:r>
              <w:rPr>
                <w:rFonts w:cs="Arial"/>
                <w:szCs w:val="19"/>
              </w:rPr>
              <w:t>)</w:t>
            </w:r>
          </w:p>
        </w:tc>
        <w:tc>
          <w:tcPr>
            <w:tcW w:w="3842" w:type="pct"/>
            <w:gridSpan w:val="2"/>
            <w:shd w:val="clear" w:color="auto" w:fill="auto"/>
            <w:tcMar>
              <w:top w:w="57" w:type="dxa"/>
              <w:bottom w:w="57" w:type="dxa"/>
            </w:tcMar>
          </w:tcPr>
          <w:p w14:paraId="413578CE" w14:textId="6B1EE16E" w:rsidR="006937B8" w:rsidRPr="002D7F0F" w:rsidRDefault="00CA0AFD" w:rsidP="00DE038B">
            <w:pPr>
              <w:tabs>
                <w:tab w:val="center" w:pos="3152"/>
              </w:tabs>
              <w:rPr>
                <w:rFonts w:cs="Arial"/>
                <w:szCs w:val="19"/>
                <w:lang w:val="en-US"/>
              </w:rPr>
            </w:pPr>
            <w:r>
              <w:rPr>
                <w:rFonts w:cs="Arial"/>
                <w:szCs w:val="19"/>
                <w:lang w:val="en-US"/>
              </w:rPr>
              <w:t>Treatment of s</w:t>
            </w:r>
            <w:r w:rsidRPr="006937B8">
              <w:rPr>
                <w:rFonts w:cs="Arial"/>
                <w:szCs w:val="19"/>
                <w:lang w:val="en-US"/>
              </w:rPr>
              <w:t>ickle cell disease in children aged 2 to 16 years</w:t>
            </w:r>
            <w:r>
              <w:rPr>
                <w:rFonts w:cs="Arial"/>
                <w:szCs w:val="19"/>
                <w:lang w:val="en-US"/>
              </w:rPr>
              <w:t xml:space="preserve"> – development discontinued</w:t>
            </w:r>
            <w:r w:rsidR="00DE038B">
              <w:rPr>
                <w:rFonts w:cs="Arial"/>
                <w:szCs w:val="19"/>
                <w:lang w:val="en-US"/>
              </w:rPr>
              <w:t xml:space="preserve"> </w:t>
            </w:r>
            <w:r>
              <w:rPr>
                <w:rFonts w:cs="Arial"/>
                <w:szCs w:val="19"/>
                <w:lang w:val="en-US"/>
              </w:rPr>
              <w:t>(safety concern)</w:t>
            </w:r>
          </w:p>
        </w:tc>
      </w:tr>
      <w:tr w:rsidR="006937B8" w:rsidRPr="000F19E1" w14:paraId="35591020" w14:textId="77777777" w:rsidTr="003F40E9">
        <w:tc>
          <w:tcPr>
            <w:tcW w:w="1158" w:type="pct"/>
            <w:gridSpan w:val="2"/>
            <w:shd w:val="clear" w:color="auto" w:fill="auto"/>
            <w:tcMar>
              <w:top w:w="0" w:type="dxa"/>
              <w:bottom w:w="0" w:type="dxa"/>
            </w:tcMar>
          </w:tcPr>
          <w:p w14:paraId="4484A466" w14:textId="77777777" w:rsidR="006937B8" w:rsidRPr="000F19E1" w:rsidRDefault="006937B8" w:rsidP="006937B8">
            <w:pPr>
              <w:rPr>
                <w:rFonts w:cs="Arial"/>
                <w:bCs/>
                <w:sz w:val="8"/>
                <w:szCs w:val="8"/>
              </w:rPr>
            </w:pPr>
          </w:p>
        </w:tc>
        <w:tc>
          <w:tcPr>
            <w:tcW w:w="3842" w:type="pct"/>
            <w:gridSpan w:val="2"/>
            <w:shd w:val="clear" w:color="auto" w:fill="auto"/>
            <w:tcMar>
              <w:top w:w="0" w:type="dxa"/>
              <w:bottom w:w="0" w:type="dxa"/>
            </w:tcMar>
          </w:tcPr>
          <w:p w14:paraId="2FA3AE0E" w14:textId="77777777" w:rsidR="006937B8" w:rsidRPr="000F19E1" w:rsidRDefault="006937B8" w:rsidP="006937B8">
            <w:pPr>
              <w:tabs>
                <w:tab w:val="center" w:pos="3152"/>
              </w:tabs>
              <w:rPr>
                <w:rFonts w:cs="Arial"/>
                <w:sz w:val="8"/>
                <w:szCs w:val="8"/>
                <w:lang w:val="en-US"/>
              </w:rPr>
            </w:pPr>
          </w:p>
        </w:tc>
      </w:tr>
      <w:tr w:rsidR="006937B8" w:rsidRPr="000F19E1" w14:paraId="1C8F7D1E" w14:textId="77777777" w:rsidTr="00155BD9">
        <w:tc>
          <w:tcPr>
            <w:tcW w:w="1355" w:type="pct"/>
            <w:gridSpan w:val="3"/>
            <w:shd w:val="clear" w:color="auto" w:fill="DAEEF3"/>
            <w:tcMar>
              <w:top w:w="0" w:type="dxa"/>
              <w:bottom w:w="0" w:type="dxa"/>
            </w:tcMar>
          </w:tcPr>
          <w:p w14:paraId="34CC6894" w14:textId="77777777" w:rsidR="006937B8" w:rsidRPr="000F19E1" w:rsidRDefault="006937B8" w:rsidP="006937B8">
            <w:pPr>
              <w:rPr>
                <w:rFonts w:cs="Arial"/>
                <w:bCs/>
                <w:sz w:val="8"/>
                <w:szCs w:val="8"/>
              </w:rPr>
            </w:pPr>
          </w:p>
        </w:tc>
        <w:tc>
          <w:tcPr>
            <w:tcW w:w="3645" w:type="pct"/>
            <w:shd w:val="clear" w:color="auto" w:fill="DAEEF3"/>
            <w:tcMar>
              <w:top w:w="0" w:type="dxa"/>
              <w:bottom w:w="0" w:type="dxa"/>
            </w:tcMar>
          </w:tcPr>
          <w:p w14:paraId="20D4BE26" w14:textId="77777777" w:rsidR="006937B8" w:rsidRPr="000F19E1" w:rsidRDefault="006937B8" w:rsidP="006937B8">
            <w:pPr>
              <w:tabs>
                <w:tab w:val="center" w:pos="3152"/>
              </w:tabs>
              <w:rPr>
                <w:rFonts w:cs="Arial"/>
                <w:sz w:val="8"/>
                <w:szCs w:val="8"/>
                <w:lang w:val="en-US"/>
              </w:rPr>
            </w:pPr>
          </w:p>
        </w:tc>
      </w:tr>
    </w:tbl>
    <w:p w14:paraId="47BF9C0C" w14:textId="77777777" w:rsidR="001A42CE" w:rsidRDefault="001A42CE">
      <w:pPr>
        <w:rPr>
          <w:sz w:val="18"/>
        </w:rPr>
      </w:pPr>
    </w:p>
    <w:p w14:paraId="22ED5A65" w14:textId="77777777" w:rsidR="006825BB" w:rsidRPr="008949EF" w:rsidRDefault="006825BB" w:rsidP="003D16EF">
      <w:pPr>
        <w:rPr>
          <w:sz w:val="8"/>
          <w:szCs w:val="8"/>
        </w:rPr>
      </w:pPr>
    </w:p>
    <w:sectPr w:rsidR="006825BB" w:rsidRPr="008949EF" w:rsidSect="00F566AB">
      <w:headerReference w:type="even" r:id="rId18"/>
      <w:headerReference w:type="default" r:id="rId19"/>
      <w:footerReference w:type="default" r:id="rId20"/>
      <w:headerReference w:type="first" r:id="rId21"/>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62D4" w14:textId="77777777" w:rsidR="00C96601" w:rsidRDefault="00C96601">
      <w:r>
        <w:separator/>
      </w:r>
    </w:p>
  </w:endnote>
  <w:endnote w:type="continuationSeparator" w:id="0">
    <w:p w14:paraId="29888415" w14:textId="77777777" w:rsidR="00C96601" w:rsidRDefault="00C9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2BED8D27" w14:textId="77777777">
      <w:tc>
        <w:tcPr>
          <w:tcW w:w="10980" w:type="dxa"/>
          <w:shd w:val="clear" w:color="auto" w:fill="3366FF"/>
          <w:tcMar>
            <w:top w:w="28" w:type="dxa"/>
            <w:left w:w="57" w:type="dxa"/>
            <w:bottom w:w="28" w:type="dxa"/>
            <w:right w:w="57" w:type="dxa"/>
          </w:tcMar>
        </w:tcPr>
        <w:p w14:paraId="1B9B3283"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4881A1AA" w14:textId="77777777">
      <w:tc>
        <w:tcPr>
          <w:tcW w:w="10980" w:type="dxa"/>
          <w:shd w:val="clear" w:color="auto" w:fill="auto"/>
          <w:tcMar>
            <w:left w:w="28" w:type="dxa"/>
            <w:right w:w="28" w:type="dxa"/>
          </w:tcMar>
        </w:tcPr>
        <w:p w14:paraId="534CE889"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3023E50E"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60545E18" w14:textId="77777777" w:rsidTr="001734BF">
      <w:trPr>
        <w:trHeight w:val="262"/>
      </w:trPr>
      <w:tc>
        <w:tcPr>
          <w:tcW w:w="10774" w:type="dxa"/>
          <w:shd w:val="clear" w:color="auto" w:fill="0070C0"/>
          <w:tcMar>
            <w:top w:w="28" w:type="dxa"/>
            <w:left w:w="57" w:type="dxa"/>
            <w:bottom w:w="28" w:type="dxa"/>
            <w:right w:w="57" w:type="dxa"/>
          </w:tcMar>
        </w:tcPr>
        <w:p w14:paraId="4B323627"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0C0541C3" w14:textId="77777777" w:rsidTr="001734BF">
      <w:trPr>
        <w:trHeight w:val="331"/>
      </w:trPr>
      <w:tc>
        <w:tcPr>
          <w:tcW w:w="10774" w:type="dxa"/>
          <w:shd w:val="clear" w:color="auto" w:fill="DAEEF3"/>
          <w:tcMar>
            <w:left w:w="28" w:type="dxa"/>
            <w:right w:w="28" w:type="dxa"/>
          </w:tcMar>
        </w:tcPr>
        <w:p w14:paraId="1FAA9616"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6E4C9BE3"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40B897B4"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191C3E66" w14:textId="77777777" w:rsidTr="001734BF">
      <w:trPr>
        <w:trHeight w:val="262"/>
      </w:trPr>
      <w:tc>
        <w:tcPr>
          <w:tcW w:w="10774" w:type="dxa"/>
          <w:shd w:val="clear" w:color="auto" w:fill="0070C0"/>
          <w:tcMar>
            <w:top w:w="28" w:type="dxa"/>
            <w:left w:w="57" w:type="dxa"/>
            <w:bottom w:w="28" w:type="dxa"/>
            <w:right w:w="57" w:type="dxa"/>
          </w:tcMar>
        </w:tcPr>
        <w:p w14:paraId="27CDB16C"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3A6FC1F9" w14:textId="77777777" w:rsidTr="001734BF">
      <w:trPr>
        <w:trHeight w:val="331"/>
      </w:trPr>
      <w:tc>
        <w:tcPr>
          <w:tcW w:w="10774" w:type="dxa"/>
          <w:shd w:val="clear" w:color="auto" w:fill="DAEEF3"/>
          <w:tcMar>
            <w:left w:w="28" w:type="dxa"/>
            <w:right w:w="28" w:type="dxa"/>
          </w:tcMar>
        </w:tcPr>
        <w:p w14:paraId="6B929170"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70E27357"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6C71408D"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A70B" w14:textId="77777777" w:rsidR="00C96601" w:rsidRDefault="00C96601">
      <w:r>
        <w:separator/>
      </w:r>
    </w:p>
  </w:footnote>
  <w:footnote w:type="continuationSeparator" w:id="0">
    <w:p w14:paraId="1127A098" w14:textId="77777777" w:rsidR="00C96601" w:rsidRDefault="00C9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40B" w14:textId="62D745EE"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220130C5" wp14:editId="22B8AF90">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233F16B" wp14:editId="3DC16200">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D96275" wp14:editId="34A2EEC8">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8435" w14:textId="77A2B3F1"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69AF450C" wp14:editId="03F8C7C3">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8B8A6"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743374C0" wp14:editId="7512E48E">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0A57BC20" w14:textId="77777777" w:rsidTr="002772ED">
      <w:tc>
        <w:tcPr>
          <w:tcW w:w="10774" w:type="dxa"/>
          <w:tcBorders>
            <w:top w:val="nil"/>
            <w:left w:val="nil"/>
            <w:bottom w:val="nil"/>
            <w:right w:val="nil"/>
          </w:tcBorders>
          <w:shd w:val="clear" w:color="auto" w:fill="DAEEF3"/>
        </w:tcPr>
        <w:p w14:paraId="53309883" w14:textId="307DA869" w:rsidR="000D44DB" w:rsidRPr="00CD021E" w:rsidRDefault="00C96601"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September</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31229F8F" w14:textId="77777777" w:rsidTr="002772ED">
      <w:tc>
        <w:tcPr>
          <w:tcW w:w="10774" w:type="dxa"/>
          <w:tcBorders>
            <w:top w:val="nil"/>
            <w:left w:val="nil"/>
            <w:bottom w:val="nil"/>
            <w:right w:val="nil"/>
          </w:tcBorders>
          <w:shd w:val="clear" w:color="auto" w:fill="0070C0"/>
        </w:tcPr>
        <w:p w14:paraId="62D8C5A1"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50C0A44E" w14:textId="77777777" w:rsidTr="002772ED">
      <w:tc>
        <w:tcPr>
          <w:tcW w:w="10774" w:type="dxa"/>
          <w:tcBorders>
            <w:top w:val="nil"/>
            <w:left w:val="nil"/>
            <w:bottom w:val="nil"/>
            <w:right w:val="nil"/>
          </w:tcBorders>
          <w:shd w:val="clear" w:color="auto" w:fill="DAEEF3"/>
        </w:tcPr>
        <w:p w14:paraId="18500446"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096C2AFE"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957B" w14:textId="101DD093"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87AD" w14:textId="60A7CCAF"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ED0" w14:textId="206450E9" w:rsidR="000D44DB" w:rsidRPr="00CD021E" w:rsidRDefault="00A75BCB" w:rsidP="00AC0996">
    <w:pPr>
      <w:pStyle w:val="Header"/>
      <w:tabs>
        <w:tab w:val="clear" w:pos="8306"/>
        <w:tab w:val="left" w:pos="7830"/>
      </w:tabs>
      <w:spacing w:before="120"/>
      <w:ind w:left="-17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2B41289B" wp14:editId="7DBF824B">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29038082" wp14:editId="0665C243">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6964" w14:textId="37DE27C0"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01"/>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5D"/>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817"/>
    <w:rsid w:val="00042CCD"/>
    <w:rsid w:val="00043342"/>
    <w:rsid w:val="000435DE"/>
    <w:rsid w:val="00043A2D"/>
    <w:rsid w:val="00043ED2"/>
    <w:rsid w:val="00044148"/>
    <w:rsid w:val="00044204"/>
    <w:rsid w:val="00044475"/>
    <w:rsid w:val="00044C33"/>
    <w:rsid w:val="000452E2"/>
    <w:rsid w:val="00045745"/>
    <w:rsid w:val="0004575D"/>
    <w:rsid w:val="000457B4"/>
    <w:rsid w:val="00045A7C"/>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57A"/>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DF5"/>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5D81"/>
    <w:rsid w:val="000E6471"/>
    <w:rsid w:val="000E69A5"/>
    <w:rsid w:val="000E721B"/>
    <w:rsid w:val="000E74D2"/>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427"/>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85D"/>
    <w:rsid w:val="00112FE4"/>
    <w:rsid w:val="0011301C"/>
    <w:rsid w:val="0011309C"/>
    <w:rsid w:val="00113644"/>
    <w:rsid w:val="001137C8"/>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3695"/>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A9"/>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127"/>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B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829"/>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3F9F"/>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90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C63"/>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509"/>
    <w:rsid w:val="00236831"/>
    <w:rsid w:val="002368F5"/>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37A4"/>
    <w:rsid w:val="00253A09"/>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6F61"/>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521"/>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6E"/>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6F9F"/>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D7F0F"/>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701E"/>
    <w:rsid w:val="002E7020"/>
    <w:rsid w:val="002E73C6"/>
    <w:rsid w:val="002E781C"/>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6E97"/>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1DF"/>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40F"/>
    <w:rsid w:val="0037050D"/>
    <w:rsid w:val="0037050E"/>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23E"/>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0E9"/>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657"/>
    <w:rsid w:val="00406699"/>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D2F"/>
    <w:rsid w:val="00415ED1"/>
    <w:rsid w:val="0041620C"/>
    <w:rsid w:val="00416BBD"/>
    <w:rsid w:val="00416C06"/>
    <w:rsid w:val="00416C36"/>
    <w:rsid w:val="004172A8"/>
    <w:rsid w:val="0041733C"/>
    <w:rsid w:val="0041772B"/>
    <w:rsid w:val="004179DB"/>
    <w:rsid w:val="004179EA"/>
    <w:rsid w:val="00417D4E"/>
    <w:rsid w:val="004200C3"/>
    <w:rsid w:val="00420212"/>
    <w:rsid w:val="004204DE"/>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17"/>
    <w:rsid w:val="00435AD6"/>
    <w:rsid w:val="004362B0"/>
    <w:rsid w:val="00436464"/>
    <w:rsid w:val="0043651B"/>
    <w:rsid w:val="004367C1"/>
    <w:rsid w:val="00436EBA"/>
    <w:rsid w:val="00436F1D"/>
    <w:rsid w:val="00436F32"/>
    <w:rsid w:val="00436F50"/>
    <w:rsid w:val="004373A2"/>
    <w:rsid w:val="0043740A"/>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C5D"/>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2DF3"/>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0B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716"/>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80"/>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987"/>
    <w:rsid w:val="004F0A17"/>
    <w:rsid w:val="004F115C"/>
    <w:rsid w:val="004F13A0"/>
    <w:rsid w:val="004F17D0"/>
    <w:rsid w:val="004F1BB6"/>
    <w:rsid w:val="004F2044"/>
    <w:rsid w:val="004F20DC"/>
    <w:rsid w:val="004F23BA"/>
    <w:rsid w:val="004F33A6"/>
    <w:rsid w:val="004F35B2"/>
    <w:rsid w:val="004F35D6"/>
    <w:rsid w:val="004F3645"/>
    <w:rsid w:val="004F383E"/>
    <w:rsid w:val="004F3982"/>
    <w:rsid w:val="004F3A47"/>
    <w:rsid w:val="004F3AE1"/>
    <w:rsid w:val="004F3C71"/>
    <w:rsid w:val="004F3CDC"/>
    <w:rsid w:val="004F4537"/>
    <w:rsid w:val="004F4797"/>
    <w:rsid w:val="004F4B1A"/>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C8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D0D"/>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4E1"/>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310"/>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20E"/>
    <w:rsid w:val="005D17FB"/>
    <w:rsid w:val="005D1956"/>
    <w:rsid w:val="005D1973"/>
    <w:rsid w:val="005D1E51"/>
    <w:rsid w:val="005D24BC"/>
    <w:rsid w:val="005D26BD"/>
    <w:rsid w:val="005D28C6"/>
    <w:rsid w:val="005D2D22"/>
    <w:rsid w:val="005D34C9"/>
    <w:rsid w:val="005D34D5"/>
    <w:rsid w:val="005D37C7"/>
    <w:rsid w:val="005D3CDF"/>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26F"/>
    <w:rsid w:val="005E7606"/>
    <w:rsid w:val="005E772D"/>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EEB"/>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339"/>
    <w:rsid w:val="00616442"/>
    <w:rsid w:val="006164D9"/>
    <w:rsid w:val="006164F3"/>
    <w:rsid w:val="00616661"/>
    <w:rsid w:val="00616747"/>
    <w:rsid w:val="00616BDB"/>
    <w:rsid w:val="00616C25"/>
    <w:rsid w:val="00616CE0"/>
    <w:rsid w:val="00616D73"/>
    <w:rsid w:val="00617114"/>
    <w:rsid w:val="00617728"/>
    <w:rsid w:val="006177F6"/>
    <w:rsid w:val="00617B24"/>
    <w:rsid w:val="00617D7E"/>
    <w:rsid w:val="00617F8D"/>
    <w:rsid w:val="0062124C"/>
    <w:rsid w:val="0062157E"/>
    <w:rsid w:val="006218CE"/>
    <w:rsid w:val="006219C5"/>
    <w:rsid w:val="00621AEC"/>
    <w:rsid w:val="00622144"/>
    <w:rsid w:val="00622582"/>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7B8"/>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313"/>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9F"/>
    <w:rsid w:val="006C0907"/>
    <w:rsid w:val="006C0A6C"/>
    <w:rsid w:val="006C10E5"/>
    <w:rsid w:val="006C1FD2"/>
    <w:rsid w:val="006C20D0"/>
    <w:rsid w:val="006C28F0"/>
    <w:rsid w:val="006C2E24"/>
    <w:rsid w:val="006C325C"/>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1E5"/>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02B"/>
    <w:rsid w:val="006E37D9"/>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93C"/>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27F4D"/>
    <w:rsid w:val="007300AE"/>
    <w:rsid w:val="007307F0"/>
    <w:rsid w:val="007308A7"/>
    <w:rsid w:val="00730A2B"/>
    <w:rsid w:val="007313DB"/>
    <w:rsid w:val="007314D9"/>
    <w:rsid w:val="007318B3"/>
    <w:rsid w:val="00731F81"/>
    <w:rsid w:val="00732118"/>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0DE"/>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6DB"/>
    <w:rsid w:val="00797AB1"/>
    <w:rsid w:val="00797BC8"/>
    <w:rsid w:val="00797F59"/>
    <w:rsid w:val="007A0036"/>
    <w:rsid w:val="007A0284"/>
    <w:rsid w:val="007A02BC"/>
    <w:rsid w:val="007A05D5"/>
    <w:rsid w:val="007A069F"/>
    <w:rsid w:val="007A08D1"/>
    <w:rsid w:val="007A0C74"/>
    <w:rsid w:val="007A0E8E"/>
    <w:rsid w:val="007A1271"/>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77D"/>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B3F"/>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86"/>
    <w:rsid w:val="007F45FE"/>
    <w:rsid w:val="007F4AC8"/>
    <w:rsid w:val="007F4C18"/>
    <w:rsid w:val="007F4E4C"/>
    <w:rsid w:val="007F6156"/>
    <w:rsid w:val="007F6379"/>
    <w:rsid w:val="007F648B"/>
    <w:rsid w:val="007F6657"/>
    <w:rsid w:val="007F6805"/>
    <w:rsid w:val="007F6B57"/>
    <w:rsid w:val="007F6C13"/>
    <w:rsid w:val="007F7043"/>
    <w:rsid w:val="007F7190"/>
    <w:rsid w:val="007F7209"/>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4FB"/>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28D"/>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40"/>
    <w:rsid w:val="008A4964"/>
    <w:rsid w:val="008A4C3C"/>
    <w:rsid w:val="008A4DF9"/>
    <w:rsid w:val="008A4E5C"/>
    <w:rsid w:val="008A517C"/>
    <w:rsid w:val="008A51D1"/>
    <w:rsid w:val="008A52C8"/>
    <w:rsid w:val="008A5987"/>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3DEA"/>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245"/>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A7"/>
    <w:rsid w:val="008C22F1"/>
    <w:rsid w:val="008C2379"/>
    <w:rsid w:val="008C2575"/>
    <w:rsid w:val="008C2661"/>
    <w:rsid w:val="008C2734"/>
    <w:rsid w:val="008C28F3"/>
    <w:rsid w:val="008C33C8"/>
    <w:rsid w:val="008C3519"/>
    <w:rsid w:val="008C377C"/>
    <w:rsid w:val="008C38C0"/>
    <w:rsid w:val="008C41AD"/>
    <w:rsid w:val="008C440C"/>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105"/>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0E1"/>
    <w:rsid w:val="008D78DE"/>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849"/>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900"/>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25A"/>
    <w:rsid w:val="0097545A"/>
    <w:rsid w:val="00975A9A"/>
    <w:rsid w:val="0097673A"/>
    <w:rsid w:val="00976F7F"/>
    <w:rsid w:val="009770CC"/>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9D7"/>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CCA"/>
    <w:rsid w:val="00992C96"/>
    <w:rsid w:val="00993226"/>
    <w:rsid w:val="0099322F"/>
    <w:rsid w:val="009937C7"/>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DF3"/>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BD"/>
    <w:rsid w:val="009D0ADE"/>
    <w:rsid w:val="009D0B13"/>
    <w:rsid w:val="009D20E0"/>
    <w:rsid w:val="009D315F"/>
    <w:rsid w:val="009D33C3"/>
    <w:rsid w:val="009D3A1D"/>
    <w:rsid w:val="009D3FF3"/>
    <w:rsid w:val="009D424A"/>
    <w:rsid w:val="009D471A"/>
    <w:rsid w:val="009D4D91"/>
    <w:rsid w:val="009D4EFF"/>
    <w:rsid w:val="009D5214"/>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C94"/>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0A9"/>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27AD"/>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7D"/>
    <w:rsid w:val="00A505C0"/>
    <w:rsid w:val="00A5060F"/>
    <w:rsid w:val="00A50660"/>
    <w:rsid w:val="00A50681"/>
    <w:rsid w:val="00A5082F"/>
    <w:rsid w:val="00A508DC"/>
    <w:rsid w:val="00A510DE"/>
    <w:rsid w:val="00A51B2A"/>
    <w:rsid w:val="00A51B53"/>
    <w:rsid w:val="00A521C1"/>
    <w:rsid w:val="00A522B0"/>
    <w:rsid w:val="00A5235B"/>
    <w:rsid w:val="00A528AE"/>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6BBD"/>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8E1"/>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881"/>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94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4F1F"/>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6B2D"/>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40A"/>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484"/>
    <w:rsid w:val="00B5250D"/>
    <w:rsid w:val="00B5279D"/>
    <w:rsid w:val="00B52894"/>
    <w:rsid w:val="00B5296C"/>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10"/>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6B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AB0"/>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6704"/>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07"/>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601"/>
    <w:rsid w:val="00C96D33"/>
    <w:rsid w:val="00C96DA8"/>
    <w:rsid w:val="00C96FB2"/>
    <w:rsid w:val="00C97137"/>
    <w:rsid w:val="00C972E0"/>
    <w:rsid w:val="00C972FE"/>
    <w:rsid w:val="00C976C5"/>
    <w:rsid w:val="00C97A1B"/>
    <w:rsid w:val="00CA02CE"/>
    <w:rsid w:val="00CA02CF"/>
    <w:rsid w:val="00CA03EC"/>
    <w:rsid w:val="00CA0984"/>
    <w:rsid w:val="00CA0AC9"/>
    <w:rsid w:val="00CA0AFD"/>
    <w:rsid w:val="00CA128F"/>
    <w:rsid w:val="00CA1C89"/>
    <w:rsid w:val="00CA1E33"/>
    <w:rsid w:val="00CA1ED3"/>
    <w:rsid w:val="00CA2AFD"/>
    <w:rsid w:val="00CA2C66"/>
    <w:rsid w:val="00CA2E00"/>
    <w:rsid w:val="00CA339B"/>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145"/>
    <w:rsid w:val="00CF42AF"/>
    <w:rsid w:val="00CF43BA"/>
    <w:rsid w:val="00CF44F4"/>
    <w:rsid w:val="00CF450C"/>
    <w:rsid w:val="00CF45CD"/>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6FC7"/>
    <w:rsid w:val="00D076B1"/>
    <w:rsid w:val="00D078CA"/>
    <w:rsid w:val="00D07B7A"/>
    <w:rsid w:val="00D07DF8"/>
    <w:rsid w:val="00D07EE1"/>
    <w:rsid w:val="00D10645"/>
    <w:rsid w:val="00D10E41"/>
    <w:rsid w:val="00D111FB"/>
    <w:rsid w:val="00D11B16"/>
    <w:rsid w:val="00D12872"/>
    <w:rsid w:val="00D12FF9"/>
    <w:rsid w:val="00D132B2"/>
    <w:rsid w:val="00D136E5"/>
    <w:rsid w:val="00D13A0B"/>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4AE"/>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3D6"/>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38B"/>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4DB3"/>
    <w:rsid w:val="00E35012"/>
    <w:rsid w:val="00E351EA"/>
    <w:rsid w:val="00E35607"/>
    <w:rsid w:val="00E367E4"/>
    <w:rsid w:val="00E369CC"/>
    <w:rsid w:val="00E36C0B"/>
    <w:rsid w:val="00E36CCA"/>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448"/>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3F99"/>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AE0"/>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8D9"/>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7AF"/>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25"/>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0DF"/>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2E8"/>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40B"/>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9DF"/>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2EC8"/>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275"/>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2B5"/>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31D00A0A"/>
  <w15:docId w15:val="{21C0118B-3DDF-4EA0-8836-7E772688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 w:type="character" w:styleId="UnresolvedMention">
    <w:name w:val="Unresolved Mention"/>
    <w:basedOn w:val="DefaultParagraphFont"/>
    <w:uiPriority w:val="99"/>
    <w:semiHidden/>
    <w:unhideWhenUsed/>
    <w:rsid w:val="005D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06571764">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news/fruquintinib-approved-to-treat-adult-patients-with-metastatic-colorectal-cancer" TargetMode="External"/><Relationship Id="rId2" Type="http://schemas.openxmlformats.org/officeDocument/2006/relationships/numbering" Target="numbering.xml"/><Relationship Id="rId16" Type="http://schemas.openxmlformats.org/officeDocument/2006/relationships/hyperlink" Target="https://products.mhra.gov.uk/search/?search=xolair&amp;page=1&amp;doc=Spc&amp;rerouteType=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medicines.org.uk/emc/search?q=imraldi"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17</TotalTime>
  <Pages>7</Pages>
  <Words>3276</Words>
  <Characters>21414</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24641</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5</cp:revision>
  <cp:lastPrinted>2019-12-09T12:59:00Z</cp:lastPrinted>
  <dcterms:created xsi:type="dcterms:W3CDTF">2024-10-15T17:25:00Z</dcterms:created>
  <dcterms:modified xsi:type="dcterms:W3CDTF">2024-10-16T07:27:00Z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