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Ind w:w="-176" w:type="dxa"/>
        <w:tblLayout w:type="fixed"/>
        <w:tblLook w:val="01E0" w:firstRow="1" w:lastRow="1" w:firstColumn="1" w:lastColumn="1" w:noHBand="0" w:noVBand="0"/>
      </w:tblPr>
      <w:tblGrid>
        <w:gridCol w:w="10267"/>
      </w:tblGrid>
      <w:tr w:rsidR="00D2402E" w:rsidRPr="00862949" w14:paraId="0D639616" w14:textId="77777777" w:rsidTr="009B0BCE">
        <w:trPr>
          <w:trHeight w:val="192"/>
        </w:trPr>
        <w:tc>
          <w:tcPr>
            <w:tcW w:w="5000" w:type="pct"/>
            <w:shd w:val="clear" w:color="auto" w:fill="auto"/>
            <w:tcMar>
              <w:top w:w="57" w:type="dxa"/>
              <w:bottom w:w="57" w:type="dxa"/>
            </w:tcMar>
          </w:tcPr>
          <w:p w14:paraId="2E124165" w14:textId="77777777" w:rsidR="00D2402E" w:rsidRPr="00E369CC" w:rsidRDefault="00860B89" w:rsidP="00F81A28">
            <w:pPr>
              <w:jc w:val="right"/>
              <w:rPr>
                <w:rFonts w:cs="Arial"/>
                <w:b/>
                <w:bCs/>
                <w:iCs/>
                <w:color w:val="0070C0"/>
                <w:sz w:val="15"/>
                <w:szCs w:val="15"/>
                <w:lang w:val="en-US"/>
              </w:rPr>
            </w:pPr>
            <w:r>
              <w:rPr>
                <w:rFonts w:cs="Arial"/>
                <w:b/>
                <w:bCs/>
                <w:iCs/>
                <w:color w:val="333399"/>
                <w:sz w:val="15"/>
                <w:szCs w:val="15"/>
                <w:lang w:val="en-US"/>
              </w:rPr>
              <w:t xml:space="preserve">  </w:t>
            </w:r>
            <w:r w:rsidR="00A3053B">
              <w:rPr>
                <w:rFonts w:cs="Arial"/>
                <w:b/>
                <w:bCs/>
                <w:iCs/>
                <w:color w:val="333399"/>
                <w:sz w:val="15"/>
                <w:szCs w:val="15"/>
                <w:lang w:val="en-US"/>
              </w:rPr>
              <w:t xml:space="preserve"> </w:t>
            </w:r>
            <w:r w:rsidR="00AB34E3" w:rsidRPr="00862949">
              <w:rPr>
                <w:rFonts w:cs="Arial"/>
                <w:b/>
                <w:bCs/>
                <w:iCs/>
                <w:color w:val="333399"/>
                <w:sz w:val="15"/>
                <w:szCs w:val="15"/>
                <w:lang w:val="en-US"/>
              </w:rPr>
              <w:t xml:space="preserve"> </w:t>
            </w:r>
            <w:r w:rsidR="009C539A" w:rsidRPr="00862949">
              <w:rPr>
                <w:rFonts w:cs="Arial"/>
                <w:b/>
                <w:bCs/>
                <w:iCs/>
                <w:color w:val="333399"/>
                <w:sz w:val="15"/>
                <w:szCs w:val="15"/>
                <w:lang w:val="en-US"/>
              </w:rPr>
              <w:t xml:space="preserve"> </w:t>
            </w:r>
            <w:hyperlink r:id="rId8" w:tgtFrame="_blank" w:history="1">
              <w:r w:rsidR="00F81A28" w:rsidRPr="009B0BCE">
                <w:rPr>
                  <w:rStyle w:val="Hyperlink"/>
                  <w:rFonts w:ascii="Arial" w:hAnsi="Arial" w:cs="Arial"/>
                  <w:b/>
                  <w:bCs/>
                  <w:iCs/>
                  <w:color w:val="0070C0"/>
                  <w:sz w:val="20"/>
                  <w:szCs w:val="15"/>
                  <w:lang w:val="en-US"/>
                </w:rPr>
                <w:t>SPS</w:t>
              </w:r>
              <w:r w:rsidR="00D2402E" w:rsidRPr="009B0BCE">
                <w:rPr>
                  <w:rStyle w:val="Hyperlink"/>
                  <w:rFonts w:ascii="Arial" w:hAnsi="Arial" w:cs="Arial"/>
                  <w:b/>
                  <w:bCs/>
                  <w:iCs/>
                  <w:color w:val="0070C0"/>
                  <w:sz w:val="20"/>
                  <w:szCs w:val="15"/>
                  <w:lang w:val="en-US"/>
                </w:rPr>
                <w:t xml:space="preserve"> home</w:t>
              </w:r>
            </w:hyperlink>
            <w:r w:rsidR="00D2402E" w:rsidRPr="009B0BCE">
              <w:rPr>
                <w:rFonts w:cs="Arial"/>
                <w:b/>
                <w:bCs/>
                <w:iCs/>
                <w:color w:val="0070C0"/>
                <w:sz w:val="20"/>
                <w:szCs w:val="15"/>
                <w:lang w:val="en-US"/>
              </w:rPr>
              <w:t xml:space="preserve"> | </w:t>
            </w:r>
            <w:hyperlink r:id="rId9" w:history="1">
              <w:r w:rsidR="00D2402E" w:rsidRPr="009B0BCE">
                <w:rPr>
                  <w:rStyle w:val="Hyperlink"/>
                  <w:rFonts w:ascii="Arial" w:hAnsi="Arial" w:cs="Arial"/>
                  <w:b/>
                  <w:bCs/>
                  <w:iCs/>
                  <w:color w:val="0070C0"/>
                  <w:sz w:val="20"/>
                  <w:szCs w:val="15"/>
                  <w:lang w:val="en-US"/>
                </w:rPr>
                <w:t>Contact</w:t>
              </w:r>
            </w:hyperlink>
          </w:p>
        </w:tc>
      </w:tr>
    </w:tbl>
    <w:p w14:paraId="40818E07" w14:textId="77777777" w:rsidR="00B85859" w:rsidRDefault="00B85859"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3011"/>
        <w:gridCol w:w="7540"/>
      </w:tblGrid>
      <w:tr w:rsidR="0020101A" w:rsidRPr="00862949" w14:paraId="3C7311EE" w14:textId="77777777" w:rsidTr="002772ED">
        <w:tc>
          <w:tcPr>
            <w:tcW w:w="5000" w:type="pct"/>
            <w:gridSpan w:val="2"/>
            <w:shd w:val="clear" w:color="auto" w:fill="0070C0"/>
            <w:tcMar>
              <w:top w:w="85" w:type="dxa"/>
              <w:bottom w:w="85" w:type="dxa"/>
            </w:tcMar>
            <w:vAlign w:val="bottom"/>
          </w:tcPr>
          <w:p w14:paraId="453279AF" w14:textId="77777777" w:rsidR="0020101A" w:rsidRPr="00862949" w:rsidRDefault="0020101A" w:rsidP="00720F9E">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20101A" w:rsidRPr="00862949" w14:paraId="4760F237" w14:textId="77777777" w:rsidTr="002772ED">
        <w:tc>
          <w:tcPr>
            <w:tcW w:w="5000" w:type="pct"/>
            <w:gridSpan w:val="2"/>
            <w:shd w:val="clear" w:color="auto" w:fill="DAEEF3"/>
            <w:tcMar>
              <w:top w:w="0" w:type="dxa"/>
              <w:bottom w:w="0" w:type="dxa"/>
            </w:tcMar>
          </w:tcPr>
          <w:p w14:paraId="2583ABC2" w14:textId="77777777" w:rsidR="0020101A" w:rsidRPr="00862949" w:rsidRDefault="0020101A" w:rsidP="00720F9E">
            <w:pPr>
              <w:rPr>
                <w:rFonts w:cs="Arial"/>
                <w:b/>
                <w:bCs/>
                <w:i/>
                <w:iCs/>
                <w:color w:val="000000"/>
                <w:sz w:val="8"/>
                <w:szCs w:val="8"/>
                <w:lang w:val="en-US"/>
              </w:rPr>
            </w:pPr>
          </w:p>
        </w:tc>
      </w:tr>
      <w:tr w:rsidR="0020101A" w:rsidRPr="00862949" w14:paraId="3EABAB1A" w14:textId="77777777" w:rsidTr="002772ED">
        <w:tc>
          <w:tcPr>
            <w:tcW w:w="5000" w:type="pct"/>
            <w:gridSpan w:val="2"/>
            <w:shd w:val="clear" w:color="auto" w:fill="00B050"/>
            <w:tcMar>
              <w:top w:w="57" w:type="dxa"/>
              <w:bottom w:w="57" w:type="dxa"/>
            </w:tcMar>
          </w:tcPr>
          <w:p w14:paraId="6D38FF6B" w14:textId="77777777" w:rsidR="0020101A" w:rsidRPr="00433D3E" w:rsidRDefault="0020101A" w:rsidP="00720F9E">
            <w:pPr>
              <w:rPr>
                <w:rFonts w:cs="Arial"/>
                <w:color w:val="FFFFFF"/>
                <w:sz w:val="20"/>
                <w:szCs w:val="20"/>
              </w:rPr>
            </w:pPr>
            <w:r w:rsidRPr="00433D3E">
              <w:rPr>
                <w:rFonts w:cs="Arial"/>
                <w:b/>
                <w:bCs/>
                <w:i/>
                <w:iCs/>
                <w:color w:val="FFFFFF"/>
                <w:sz w:val="22"/>
                <w:szCs w:val="20"/>
                <w:lang w:val="en-US"/>
              </w:rPr>
              <w:t>Launched in the UK (or licence change for existing products)</w:t>
            </w:r>
          </w:p>
        </w:tc>
      </w:tr>
      <w:tr w:rsidR="007B6DA4" w:rsidRPr="00131D4C" w14:paraId="4BC2D1DD" w14:textId="77777777" w:rsidTr="003D2856">
        <w:tc>
          <w:tcPr>
            <w:tcW w:w="1427" w:type="pct"/>
            <w:shd w:val="clear" w:color="auto" w:fill="auto"/>
            <w:tcMar>
              <w:top w:w="57" w:type="dxa"/>
              <w:left w:w="170" w:type="dxa"/>
              <w:bottom w:w="57" w:type="dxa"/>
              <w:right w:w="170" w:type="dxa"/>
            </w:tcMar>
          </w:tcPr>
          <w:p w14:paraId="0326C1EF" w14:textId="77777777" w:rsidR="007B6DA4" w:rsidRDefault="007B6DA4" w:rsidP="00C5222E">
            <w:pPr>
              <w:rPr>
                <w:rFonts w:cs="Arial"/>
                <w:szCs w:val="19"/>
              </w:rPr>
            </w:pPr>
            <w:proofErr w:type="spellStart"/>
            <w:r>
              <w:rPr>
                <w:rFonts w:cs="Arial"/>
                <w:szCs w:val="19"/>
              </w:rPr>
              <w:t>Amivantamab</w:t>
            </w:r>
            <w:proofErr w:type="spellEnd"/>
            <w:r>
              <w:rPr>
                <w:rFonts w:cs="Arial"/>
                <w:szCs w:val="19"/>
              </w:rPr>
              <w:t xml:space="preserve"> (</w:t>
            </w:r>
            <w:proofErr w:type="spellStart"/>
            <w:r>
              <w:rPr>
                <w:rFonts w:cs="Arial"/>
                <w:i/>
                <w:iCs/>
                <w:szCs w:val="19"/>
              </w:rPr>
              <w:t>Rybrevant</w:t>
            </w:r>
            <w:proofErr w:type="spellEnd"/>
            <w:r>
              <w:rPr>
                <w:rFonts w:cs="Arial"/>
                <w:szCs w:val="19"/>
              </w:rPr>
              <w:t>)</w:t>
            </w:r>
          </w:p>
          <w:p w14:paraId="50CCAC46" w14:textId="64D5208C" w:rsidR="007B6DA4" w:rsidRPr="007B6DA4" w:rsidRDefault="007B6DA4" w:rsidP="00C5222E">
            <w:pPr>
              <w:rPr>
                <w:rFonts w:cs="Arial"/>
                <w:szCs w:val="19"/>
              </w:rPr>
            </w:pPr>
            <w:r w:rsidRPr="007B6DA4">
              <w:rPr>
                <w:rFonts w:cs="Arial"/>
                <w:sz w:val="16"/>
                <w:szCs w:val="16"/>
              </w:rPr>
              <w:t>350mg in 7mL vial</w:t>
            </w:r>
          </w:p>
        </w:tc>
        <w:tc>
          <w:tcPr>
            <w:tcW w:w="3573" w:type="pct"/>
            <w:shd w:val="clear" w:color="auto" w:fill="auto"/>
            <w:tcMar>
              <w:top w:w="57" w:type="dxa"/>
              <w:left w:w="170" w:type="dxa"/>
              <w:bottom w:w="57" w:type="dxa"/>
              <w:right w:w="170" w:type="dxa"/>
            </w:tcMar>
          </w:tcPr>
          <w:p w14:paraId="56F9E493" w14:textId="0D9004B4" w:rsidR="007B6DA4" w:rsidRPr="007A56BA" w:rsidRDefault="007B6DA4" w:rsidP="00C5222E">
            <w:pPr>
              <w:tabs>
                <w:tab w:val="center" w:pos="3152"/>
              </w:tabs>
              <w:rPr>
                <w:rFonts w:cs="Arial"/>
                <w:szCs w:val="19"/>
                <w:lang w:val="en-US"/>
              </w:rPr>
            </w:pPr>
            <w:r w:rsidRPr="007B6DA4">
              <w:rPr>
                <w:rFonts w:cs="Arial"/>
                <w:szCs w:val="19"/>
                <w:lang w:val="en-US"/>
              </w:rPr>
              <w:t>Use in combination with carboplatin and pemetrexed for the treatment of adults with advanced non</w:t>
            </w:r>
            <w:r w:rsidRPr="007B6DA4">
              <w:rPr>
                <w:rFonts w:ascii="Cambria Math" w:hAnsi="Cambria Math" w:cs="Cambria Math"/>
                <w:szCs w:val="19"/>
                <w:lang w:val="en-US"/>
              </w:rPr>
              <w:t>‑</w:t>
            </w:r>
            <w:r w:rsidRPr="007B6DA4">
              <w:rPr>
                <w:rFonts w:cs="Arial"/>
                <w:szCs w:val="19"/>
                <w:lang w:val="en-US"/>
              </w:rPr>
              <w:t>small cell lung cance</w:t>
            </w:r>
            <w:r>
              <w:rPr>
                <w:rFonts w:cs="Arial"/>
                <w:szCs w:val="19"/>
                <w:lang w:val="en-US"/>
              </w:rPr>
              <w:t>r</w:t>
            </w:r>
            <w:r w:rsidRPr="007B6DA4">
              <w:rPr>
                <w:rFonts w:cs="Arial"/>
                <w:szCs w:val="19"/>
                <w:lang w:val="en-US"/>
              </w:rPr>
              <w:t xml:space="preserve"> with </w:t>
            </w:r>
            <w:r w:rsidR="00911466" w:rsidRPr="00911466">
              <w:rPr>
                <w:rFonts w:cs="Arial"/>
                <w:szCs w:val="19"/>
                <w:lang w:val="en-US"/>
              </w:rPr>
              <w:t>epidermal growth factor</w:t>
            </w:r>
            <w:r w:rsidR="00911466">
              <w:rPr>
                <w:rFonts w:cs="Arial"/>
                <w:szCs w:val="19"/>
                <w:lang w:val="en-US"/>
              </w:rPr>
              <w:t xml:space="preserve"> (</w:t>
            </w:r>
            <w:r w:rsidRPr="007B6DA4">
              <w:rPr>
                <w:rFonts w:cs="Arial"/>
                <w:szCs w:val="19"/>
                <w:lang w:val="en-US"/>
              </w:rPr>
              <w:t>EGFR</w:t>
            </w:r>
            <w:r w:rsidR="00911466">
              <w:rPr>
                <w:rFonts w:cs="Arial"/>
                <w:szCs w:val="19"/>
                <w:lang w:val="en-US"/>
              </w:rPr>
              <w:t>)</w:t>
            </w:r>
            <w:r w:rsidRPr="007B6DA4">
              <w:rPr>
                <w:rFonts w:cs="Arial"/>
                <w:szCs w:val="19"/>
                <w:lang w:val="en-US"/>
              </w:rPr>
              <w:t xml:space="preserve"> Exon 19 deletions or Exon 21 L858R substitution mutations after failure of prior therapy including an EGFR tyrosine kinase inhibitor</w:t>
            </w:r>
            <w:r>
              <w:rPr>
                <w:rFonts w:cs="Arial"/>
                <w:szCs w:val="19"/>
                <w:lang w:val="en-US"/>
              </w:rPr>
              <w:t xml:space="preserve"> </w:t>
            </w:r>
            <w:r w:rsidRPr="008B2624">
              <w:rPr>
                <w:rFonts w:cs="Arial"/>
                <w:sz w:val="16"/>
                <w:szCs w:val="16"/>
                <w:lang w:val="en-US"/>
              </w:rPr>
              <w:t>[new indication]</w:t>
            </w:r>
          </w:p>
        </w:tc>
      </w:tr>
      <w:tr w:rsidR="00C5222E" w:rsidRPr="00131D4C" w14:paraId="38BFC18C" w14:textId="77777777" w:rsidTr="003D2856">
        <w:tc>
          <w:tcPr>
            <w:tcW w:w="1427" w:type="pct"/>
            <w:shd w:val="clear" w:color="auto" w:fill="auto"/>
            <w:tcMar>
              <w:top w:w="57" w:type="dxa"/>
              <w:left w:w="170" w:type="dxa"/>
              <w:bottom w:w="57" w:type="dxa"/>
              <w:right w:w="170" w:type="dxa"/>
            </w:tcMar>
          </w:tcPr>
          <w:p w14:paraId="11B85903" w14:textId="77777777" w:rsidR="00C5222E" w:rsidRDefault="00C5222E" w:rsidP="00C5222E">
            <w:pPr>
              <w:rPr>
                <w:rFonts w:cs="Arial"/>
                <w:szCs w:val="19"/>
              </w:rPr>
            </w:pPr>
            <w:r>
              <w:rPr>
                <w:rFonts w:cs="Arial"/>
                <w:szCs w:val="19"/>
              </w:rPr>
              <w:t>Atezolizumab (</w:t>
            </w:r>
            <w:r>
              <w:rPr>
                <w:rFonts w:cs="Arial"/>
                <w:i/>
                <w:iCs/>
                <w:szCs w:val="19"/>
              </w:rPr>
              <w:t>Tecentriq</w:t>
            </w:r>
            <w:r>
              <w:rPr>
                <w:rFonts w:cs="Arial"/>
                <w:szCs w:val="19"/>
              </w:rPr>
              <w:t>)</w:t>
            </w:r>
          </w:p>
          <w:p w14:paraId="67CE5148" w14:textId="5F337C3E" w:rsidR="00C5222E" w:rsidRPr="00776ED4" w:rsidRDefault="00C5222E" w:rsidP="00C5222E">
            <w:pPr>
              <w:rPr>
                <w:rFonts w:cs="Arial"/>
                <w:szCs w:val="19"/>
              </w:rPr>
            </w:pPr>
            <w:r w:rsidRPr="00C5222E">
              <w:rPr>
                <w:rFonts w:cs="Arial"/>
                <w:sz w:val="16"/>
                <w:szCs w:val="16"/>
              </w:rPr>
              <w:t>840mg in 14mL, 1,200mg in 20mL and 1,875mg in 10mL vials</w:t>
            </w:r>
          </w:p>
        </w:tc>
        <w:tc>
          <w:tcPr>
            <w:tcW w:w="3573" w:type="pct"/>
            <w:shd w:val="clear" w:color="auto" w:fill="auto"/>
            <w:tcMar>
              <w:top w:w="57" w:type="dxa"/>
              <w:left w:w="170" w:type="dxa"/>
              <w:bottom w:w="57" w:type="dxa"/>
              <w:right w:w="170" w:type="dxa"/>
            </w:tcMar>
          </w:tcPr>
          <w:p w14:paraId="71111E2E" w14:textId="2C14CF94" w:rsidR="00C5222E" w:rsidRDefault="00C5222E" w:rsidP="00C5222E">
            <w:pPr>
              <w:tabs>
                <w:tab w:val="center" w:pos="3152"/>
              </w:tabs>
              <w:rPr>
                <w:rFonts w:cs="Arial"/>
                <w:szCs w:val="19"/>
                <w:lang w:val="en-US"/>
              </w:rPr>
            </w:pPr>
            <w:r w:rsidRPr="007A56BA">
              <w:rPr>
                <w:rFonts w:cs="Arial"/>
                <w:szCs w:val="19"/>
                <w:lang w:val="en-US"/>
              </w:rPr>
              <w:t>U</w:t>
            </w:r>
            <w:r>
              <w:rPr>
                <w:rFonts w:cs="Arial"/>
                <w:szCs w:val="19"/>
                <w:lang w:val="en-US"/>
              </w:rPr>
              <w:t xml:space="preserve">se </w:t>
            </w:r>
            <w:r w:rsidRPr="007A56BA">
              <w:rPr>
                <w:rFonts w:cs="Arial"/>
                <w:szCs w:val="19"/>
                <w:lang w:val="en-US"/>
              </w:rPr>
              <w:t xml:space="preserve">as monotherapy for the first-line treatment of adults with advanced </w:t>
            </w:r>
            <w:r>
              <w:rPr>
                <w:rFonts w:cs="Arial"/>
                <w:szCs w:val="19"/>
                <w:lang w:val="en-US"/>
              </w:rPr>
              <w:t>non-small cell lung cancer</w:t>
            </w:r>
            <w:r w:rsidRPr="007A56BA">
              <w:rPr>
                <w:rFonts w:cs="Arial"/>
                <w:szCs w:val="19"/>
                <w:lang w:val="en-US"/>
              </w:rPr>
              <w:t xml:space="preserve"> who are ineligible for platinum-based therapy</w:t>
            </w:r>
            <w:r>
              <w:rPr>
                <w:rFonts w:cs="Arial"/>
                <w:szCs w:val="19"/>
                <w:lang w:val="en-US"/>
              </w:rPr>
              <w:t xml:space="preserve"> </w:t>
            </w:r>
            <w:r w:rsidRPr="008B2624">
              <w:rPr>
                <w:rFonts w:cs="Arial"/>
                <w:sz w:val="16"/>
                <w:szCs w:val="16"/>
                <w:lang w:val="en-US"/>
              </w:rPr>
              <w:t>[new indication]</w:t>
            </w:r>
          </w:p>
        </w:tc>
      </w:tr>
      <w:tr w:rsidR="00C5222E" w:rsidRPr="00131D4C" w14:paraId="174C311F" w14:textId="77777777" w:rsidTr="003D2856">
        <w:tc>
          <w:tcPr>
            <w:tcW w:w="1427" w:type="pct"/>
            <w:shd w:val="clear" w:color="auto" w:fill="auto"/>
            <w:tcMar>
              <w:top w:w="57" w:type="dxa"/>
              <w:left w:w="170" w:type="dxa"/>
              <w:bottom w:w="57" w:type="dxa"/>
              <w:right w:w="170" w:type="dxa"/>
            </w:tcMar>
          </w:tcPr>
          <w:p w14:paraId="4B0AA37A" w14:textId="77777777" w:rsidR="00C5222E" w:rsidRDefault="00C5222E" w:rsidP="00C5222E">
            <w:pPr>
              <w:rPr>
                <w:rFonts w:cs="Arial"/>
                <w:szCs w:val="19"/>
              </w:rPr>
            </w:pPr>
            <w:proofErr w:type="spellStart"/>
            <w:r w:rsidRPr="00776ED4">
              <w:rPr>
                <w:rFonts w:cs="Arial"/>
                <w:szCs w:val="19"/>
              </w:rPr>
              <w:t>Danicopan</w:t>
            </w:r>
            <w:proofErr w:type="spellEnd"/>
            <w:r>
              <w:rPr>
                <w:rFonts w:cs="Arial"/>
                <w:szCs w:val="19"/>
              </w:rPr>
              <w:t xml:space="preserve"> (</w:t>
            </w:r>
            <w:proofErr w:type="spellStart"/>
            <w:r>
              <w:rPr>
                <w:rFonts w:cs="Arial"/>
                <w:i/>
                <w:iCs/>
                <w:szCs w:val="19"/>
              </w:rPr>
              <w:t>Voydeya</w:t>
            </w:r>
            <w:proofErr w:type="spellEnd"/>
            <w:r>
              <w:rPr>
                <w:rFonts w:cs="Arial"/>
                <w:szCs w:val="19"/>
              </w:rPr>
              <w:t>)</w:t>
            </w:r>
          </w:p>
          <w:p w14:paraId="5ACFC867" w14:textId="722E62F9" w:rsidR="00C5222E" w:rsidRPr="0011452F" w:rsidRDefault="00C5222E" w:rsidP="00C5222E">
            <w:pPr>
              <w:rPr>
                <w:rFonts w:cs="Arial"/>
                <w:szCs w:val="19"/>
              </w:rPr>
            </w:pPr>
            <w:r w:rsidRPr="00B72703">
              <w:rPr>
                <w:rFonts w:cs="Arial"/>
                <w:sz w:val="16"/>
                <w:szCs w:val="16"/>
              </w:rPr>
              <w:t>50mg and 100mg tablets</w:t>
            </w:r>
          </w:p>
        </w:tc>
        <w:tc>
          <w:tcPr>
            <w:tcW w:w="3573" w:type="pct"/>
            <w:shd w:val="clear" w:color="auto" w:fill="auto"/>
            <w:tcMar>
              <w:top w:w="57" w:type="dxa"/>
              <w:left w:w="170" w:type="dxa"/>
              <w:bottom w:w="57" w:type="dxa"/>
              <w:right w:w="170" w:type="dxa"/>
            </w:tcMar>
          </w:tcPr>
          <w:p w14:paraId="70480DF4" w14:textId="0CAB1250" w:rsidR="00C5222E" w:rsidRPr="009C4947" w:rsidRDefault="00C5222E" w:rsidP="00C5222E">
            <w:pPr>
              <w:tabs>
                <w:tab w:val="center" w:pos="3152"/>
              </w:tabs>
              <w:rPr>
                <w:rFonts w:cs="Arial"/>
                <w:szCs w:val="19"/>
                <w:lang w:val="en-US"/>
              </w:rPr>
            </w:pPr>
            <w:r>
              <w:rPr>
                <w:rFonts w:cs="Arial"/>
                <w:szCs w:val="19"/>
                <w:lang w:val="en-US"/>
              </w:rPr>
              <w:t xml:space="preserve">Use </w:t>
            </w:r>
            <w:r w:rsidRPr="00776ED4">
              <w:rPr>
                <w:rFonts w:cs="Arial"/>
                <w:szCs w:val="19"/>
                <w:lang w:val="en-US"/>
              </w:rPr>
              <w:t xml:space="preserve">as an add-on to </w:t>
            </w:r>
            <w:proofErr w:type="spellStart"/>
            <w:r w:rsidRPr="00776ED4">
              <w:rPr>
                <w:rFonts w:cs="Arial"/>
                <w:szCs w:val="19"/>
                <w:lang w:val="en-US"/>
              </w:rPr>
              <w:t>ravulizumab</w:t>
            </w:r>
            <w:proofErr w:type="spellEnd"/>
            <w:r w:rsidRPr="00776ED4">
              <w:rPr>
                <w:rFonts w:cs="Arial"/>
                <w:szCs w:val="19"/>
                <w:lang w:val="en-US"/>
              </w:rPr>
              <w:t xml:space="preserve"> or eculizumab for the treatment of adults with paroxysmal nocturnal </w:t>
            </w:r>
            <w:proofErr w:type="spellStart"/>
            <w:r w:rsidRPr="00776ED4">
              <w:rPr>
                <w:rFonts w:cs="Arial"/>
                <w:szCs w:val="19"/>
                <w:lang w:val="en-US"/>
              </w:rPr>
              <w:t>haemoglobinuria</w:t>
            </w:r>
            <w:proofErr w:type="spellEnd"/>
            <w:r w:rsidRPr="00776ED4">
              <w:rPr>
                <w:rFonts w:cs="Arial"/>
                <w:szCs w:val="19"/>
                <w:lang w:val="en-US"/>
              </w:rPr>
              <w:t xml:space="preserve"> who have residual </w:t>
            </w:r>
            <w:proofErr w:type="spellStart"/>
            <w:r w:rsidRPr="00776ED4">
              <w:rPr>
                <w:rFonts w:cs="Arial"/>
                <w:szCs w:val="19"/>
                <w:lang w:val="en-US"/>
              </w:rPr>
              <w:t>haemolytic</w:t>
            </w:r>
            <w:proofErr w:type="spellEnd"/>
            <w:r w:rsidRPr="00776ED4">
              <w:rPr>
                <w:rFonts w:cs="Arial"/>
                <w:szCs w:val="19"/>
                <w:lang w:val="en-US"/>
              </w:rPr>
              <w:t xml:space="preserve"> </w:t>
            </w:r>
            <w:proofErr w:type="spellStart"/>
            <w:r w:rsidRPr="00776ED4">
              <w:rPr>
                <w:rFonts w:cs="Arial"/>
                <w:szCs w:val="19"/>
                <w:lang w:val="en-US"/>
              </w:rPr>
              <w:t>anaemia</w:t>
            </w:r>
            <w:proofErr w:type="spellEnd"/>
          </w:p>
        </w:tc>
      </w:tr>
      <w:tr w:rsidR="00C5222E" w:rsidRPr="00131D4C" w14:paraId="0F4A73CD" w14:textId="77777777" w:rsidTr="003D2856">
        <w:tc>
          <w:tcPr>
            <w:tcW w:w="1427" w:type="pct"/>
            <w:shd w:val="clear" w:color="auto" w:fill="auto"/>
            <w:tcMar>
              <w:top w:w="57" w:type="dxa"/>
              <w:left w:w="170" w:type="dxa"/>
              <w:bottom w:w="57" w:type="dxa"/>
              <w:right w:w="170" w:type="dxa"/>
            </w:tcMar>
          </w:tcPr>
          <w:p w14:paraId="74AB02D0" w14:textId="77777777" w:rsidR="00C5222E" w:rsidRDefault="00C5222E" w:rsidP="00C5222E">
            <w:r w:rsidRPr="00306E97">
              <w:rPr>
                <w:rFonts w:cs="Arial"/>
                <w:szCs w:val="19"/>
              </w:rPr>
              <w:t>Daratumumab</w:t>
            </w:r>
            <w:r>
              <w:rPr>
                <w:rFonts w:cs="Arial"/>
                <w:szCs w:val="19"/>
              </w:rPr>
              <w:t xml:space="preserve"> (</w:t>
            </w:r>
            <w:proofErr w:type="spellStart"/>
            <w:r>
              <w:rPr>
                <w:rFonts w:cs="Arial"/>
                <w:i/>
                <w:iCs/>
                <w:szCs w:val="19"/>
              </w:rPr>
              <w:t>Darzalex</w:t>
            </w:r>
            <w:proofErr w:type="spellEnd"/>
            <w:r>
              <w:rPr>
                <w:rFonts w:cs="Arial"/>
                <w:szCs w:val="19"/>
              </w:rPr>
              <w:t>)</w:t>
            </w:r>
            <w:r>
              <w:t xml:space="preserve"> </w:t>
            </w:r>
          </w:p>
          <w:p w14:paraId="61051FE4" w14:textId="5F97EBE8" w:rsidR="00C5222E" w:rsidRPr="00CB7CB1" w:rsidRDefault="00C5222E" w:rsidP="00C5222E">
            <w:pPr>
              <w:rPr>
                <w:rFonts w:cs="Arial"/>
                <w:szCs w:val="19"/>
              </w:rPr>
            </w:pPr>
            <w:r w:rsidRPr="00472236">
              <w:rPr>
                <w:rFonts w:cs="Arial"/>
                <w:sz w:val="16"/>
                <w:szCs w:val="16"/>
              </w:rPr>
              <w:t>100mg in 5mL</w:t>
            </w:r>
            <w:r>
              <w:rPr>
                <w:rFonts w:cs="Arial"/>
                <w:sz w:val="16"/>
                <w:szCs w:val="16"/>
              </w:rPr>
              <w:t xml:space="preserve">, </w:t>
            </w:r>
            <w:r w:rsidRPr="00472236">
              <w:rPr>
                <w:rFonts w:cs="Arial"/>
                <w:sz w:val="16"/>
                <w:szCs w:val="16"/>
              </w:rPr>
              <w:t xml:space="preserve">400mg in 20mL </w:t>
            </w:r>
            <w:r>
              <w:rPr>
                <w:rFonts w:cs="Arial"/>
                <w:sz w:val="16"/>
                <w:szCs w:val="16"/>
              </w:rPr>
              <w:t xml:space="preserve">and 1,800mg in 15mL </w:t>
            </w:r>
            <w:r w:rsidRPr="00472236">
              <w:rPr>
                <w:rFonts w:cs="Arial"/>
                <w:sz w:val="16"/>
                <w:szCs w:val="16"/>
              </w:rPr>
              <w:t>vials</w:t>
            </w:r>
          </w:p>
        </w:tc>
        <w:tc>
          <w:tcPr>
            <w:tcW w:w="3573" w:type="pct"/>
            <w:shd w:val="clear" w:color="auto" w:fill="auto"/>
            <w:tcMar>
              <w:top w:w="57" w:type="dxa"/>
              <w:left w:w="170" w:type="dxa"/>
              <w:bottom w:w="57" w:type="dxa"/>
              <w:right w:w="170" w:type="dxa"/>
            </w:tcMar>
          </w:tcPr>
          <w:p w14:paraId="1CA55F6C" w14:textId="62421758" w:rsidR="00C5222E" w:rsidRDefault="00C5222E" w:rsidP="00C5222E">
            <w:pPr>
              <w:tabs>
                <w:tab w:val="center" w:pos="3152"/>
              </w:tabs>
              <w:rPr>
                <w:rFonts w:cs="Arial"/>
                <w:bCs/>
                <w:szCs w:val="19"/>
              </w:rPr>
            </w:pPr>
            <w:r>
              <w:rPr>
                <w:rFonts w:cs="Arial"/>
                <w:szCs w:val="19"/>
                <w:lang w:val="en-US"/>
              </w:rPr>
              <w:t xml:space="preserve">Use </w:t>
            </w:r>
            <w:r w:rsidRPr="00306E97">
              <w:rPr>
                <w:rFonts w:cs="Arial"/>
                <w:szCs w:val="19"/>
                <w:lang w:val="en-US"/>
              </w:rPr>
              <w:t>in combination with bortezomib, lenalidomide and dexamethasone for the treatment of adults with newly diagnosed multiple myeloma who are eligible for autologous stem cell transplant</w:t>
            </w:r>
            <w:r>
              <w:rPr>
                <w:rFonts w:cs="Arial"/>
                <w:szCs w:val="19"/>
                <w:lang w:val="en-US"/>
              </w:rPr>
              <w:t xml:space="preserve"> </w:t>
            </w:r>
            <w:r w:rsidRPr="00306E97">
              <w:rPr>
                <w:rFonts w:cs="Arial"/>
                <w:sz w:val="16"/>
                <w:szCs w:val="16"/>
                <w:lang w:val="en-US"/>
              </w:rPr>
              <w:t>[new indication]</w:t>
            </w:r>
          </w:p>
        </w:tc>
      </w:tr>
      <w:tr w:rsidR="00C5222E" w:rsidRPr="00131D4C" w14:paraId="0B244E47" w14:textId="77777777" w:rsidTr="003D2856">
        <w:tc>
          <w:tcPr>
            <w:tcW w:w="1427" w:type="pct"/>
            <w:shd w:val="clear" w:color="auto" w:fill="auto"/>
            <w:tcMar>
              <w:top w:w="57" w:type="dxa"/>
              <w:left w:w="170" w:type="dxa"/>
              <w:bottom w:w="57" w:type="dxa"/>
              <w:right w:w="170" w:type="dxa"/>
            </w:tcMar>
          </w:tcPr>
          <w:p w14:paraId="43DAA3F9" w14:textId="77777777" w:rsidR="00C5222E" w:rsidRDefault="00C5222E" w:rsidP="00C5222E">
            <w:pPr>
              <w:rPr>
                <w:rFonts w:cs="Arial"/>
                <w:szCs w:val="19"/>
              </w:rPr>
            </w:pPr>
            <w:r w:rsidRPr="00740F8F">
              <w:rPr>
                <w:rFonts w:cs="Arial"/>
                <w:szCs w:val="19"/>
              </w:rPr>
              <w:t>Dolutegravir + abacavir + lamivudine</w:t>
            </w:r>
            <w:r>
              <w:rPr>
                <w:rFonts w:cs="Arial"/>
                <w:szCs w:val="19"/>
              </w:rPr>
              <w:t xml:space="preserve"> (</w:t>
            </w:r>
            <w:r>
              <w:rPr>
                <w:rFonts w:cs="Arial"/>
                <w:i/>
                <w:iCs/>
                <w:szCs w:val="19"/>
              </w:rPr>
              <w:t>Triumeq</w:t>
            </w:r>
            <w:r>
              <w:rPr>
                <w:rFonts w:cs="Arial"/>
                <w:szCs w:val="19"/>
              </w:rPr>
              <w:t>)</w:t>
            </w:r>
          </w:p>
          <w:p w14:paraId="3649307A" w14:textId="07C87924" w:rsidR="00C5222E" w:rsidRPr="009B4F9E" w:rsidRDefault="00C5222E" w:rsidP="00C5222E">
            <w:pPr>
              <w:rPr>
                <w:rFonts w:cs="Arial"/>
                <w:szCs w:val="19"/>
              </w:rPr>
            </w:pPr>
            <w:r w:rsidRPr="00BD1EAB">
              <w:rPr>
                <w:rFonts w:cs="Arial"/>
                <w:sz w:val="16"/>
                <w:szCs w:val="16"/>
              </w:rPr>
              <w:t>5mg/60mg/30mg dispersible tablet</w:t>
            </w:r>
          </w:p>
        </w:tc>
        <w:tc>
          <w:tcPr>
            <w:tcW w:w="3573" w:type="pct"/>
            <w:shd w:val="clear" w:color="auto" w:fill="auto"/>
            <w:tcMar>
              <w:top w:w="57" w:type="dxa"/>
              <w:left w:w="170" w:type="dxa"/>
              <w:bottom w:w="57" w:type="dxa"/>
              <w:right w:w="170" w:type="dxa"/>
            </w:tcMar>
          </w:tcPr>
          <w:p w14:paraId="2E739D6C" w14:textId="77777777" w:rsidR="00C5222E" w:rsidRDefault="00C5222E" w:rsidP="00C5222E">
            <w:pPr>
              <w:tabs>
                <w:tab w:val="num" w:pos="720"/>
                <w:tab w:val="center" w:pos="3152"/>
              </w:tabs>
              <w:rPr>
                <w:rFonts w:cs="Arial"/>
                <w:szCs w:val="19"/>
                <w:lang w:val="en-US"/>
              </w:rPr>
            </w:pPr>
            <w:r w:rsidRPr="008034DB">
              <w:rPr>
                <w:rFonts w:cs="Arial"/>
                <w:szCs w:val="19"/>
                <w:lang w:val="en-US"/>
              </w:rPr>
              <w:t xml:space="preserve">Treatment of Human Immunodeficiency Virus type 1 infected children </w:t>
            </w:r>
            <w:r>
              <w:rPr>
                <w:rFonts w:cs="Arial"/>
                <w:szCs w:val="19"/>
                <w:lang w:val="en-US"/>
              </w:rPr>
              <w:t>aged ≥</w:t>
            </w:r>
            <w:r w:rsidRPr="008034DB">
              <w:rPr>
                <w:rFonts w:cs="Arial"/>
                <w:szCs w:val="19"/>
                <w:lang w:val="en-US"/>
              </w:rPr>
              <w:t xml:space="preserve">3 months weighing </w:t>
            </w:r>
            <w:r>
              <w:rPr>
                <w:rFonts w:cs="Arial"/>
                <w:szCs w:val="19"/>
                <w:lang w:val="en-US"/>
              </w:rPr>
              <w:t>≥</w:t>
            </w:r>
            <w:r w:rsidRPr="008034DB">
              <w:rPr>
                <w:rFonts w:cs="Arial"/>
                <w:szCs w:val="19"/>
                <w:lang w:val="en-US"/>
              </w:rPr>
              <w:t xml:space="preserve">6kg to </w:t>
            </w:r>
            <w:r>
              <w:rPr>
                <w:rFonts w:cs="Arial"/>
                <w:szCs w:val="19"/>
                <w:lang w:val="en-US"/>
              </w:rPr>
              <w:t>&lt;</w:t>
            </w:r>
            <w:proofErr w:type="gramStart"/>
            <w:r w:rsidRPr="008034DB">
              <w:rPr>
                <w:rFonts w:cs="Arial"/>
                <w:szCs w:val="19"/>
                <w:lang w:val="en-US"/>
              </w:rPr>
              <w:t>25kg</w:t>
            </w:r>
            <w:proofErr w:type="gramEnd"/>
            <w:r>
              <w:rPr>
                <w:rFonts w:cs="Arial"/>
                <w:szCs w:val="19"/>
                <w:lang w:val="en-US"/>
              </w:rPr>
              <w:t xml:space="preserve"> </w:t>
            </w:r>
          </w:p>
          <w:p w14:paraId="30D58A38" w14:textId="3B57B2D0" w:rsidR="00C5222E" w:rsidRPr="00A075A3" w:rsidRDefault="00C5222E" w:rsidP="00C5222E">
            <w:pPr>
              <w:tabs>
                <w:tab w:val="num" w:pos="720"/>
                <w:tab w:val="center" w:pos="3152"/>
              </w:tabs>
              <w:rPr>
                <w:rFonts w:cs="Arial"/>
                <w:szCs w:val="19"/>
                <w:lang w:val="en-US"/>
              </w:rPr>
            </w:pPr>
            <w:r w:rsidRPr="008034DB">
              <w:rPr>
                <w:rFonts w:cs="Arial"/>
                <w:sz w:val="16"/>
                <w:szCs w:val="16"/>
                <w:lang w:val="en-US"/>
              </w:rPr>
              <w:t xml:space="preserve">[licence change </w:t>
            </w:r>
            <w:r>
              <w:rPr>
                <w:rFonts w:cs="Arial"/>
                <w:sz w:val="16"/>
                <w:szCs w:val="16"/>
                <w:lang w:val="en-US"/>
              </w:rPr>
              <w:t xml:space="preserve">for dispersible tablets </w:t>
            </w:r>
            <w:r w:rsidRPr="008034DB">
              <w:rPr>
                <w:rFonts w:cs="Arial"/>
                <w:sz w:val="16"/>
                <w:szCs w:val="16"/>
                <w:lang w:val="en-US"/>
              </w:rPr>
              <w:t>from use only in children weighing ≥14kg to &lt;25kg]</w:t>
            </w:r>
          </w:p>
        </w:tc>
      </w:tr>
      <w:tr w:rsidR="00C5222E" w:rsidRPr="00131D4C" w14:paraId="5F85F40E" w14:textId="77777777" w:rsidTr="003D2856">
        <w:tc>
          <w:tcPr>
            <w:tcW w:w="1427" w:type="pct"/>
            <w:shd w:val="clear" w:color="auto" w:fill="auto"/>
            <w:tcMar>
              <w:top w:w="57" w:type="dxa"/>
              <w:left w:w="170" w:type="dxa"/>
              <w:bottom w:w="57" w:type="dxa"/>
              <w:right w:w="170" w:type="dxa"/>
            </w:tcMar>
          </w:tcPr>
          <w:p w14:paraId="18216635" w14:textId="77777777" w:rsidR="00C5222E" w:rsidRDefault="00C5222E" w:rsidP="00C5222E">
            <w:pPr>
              <w:rPr>
                <w:rFonts w:cs="Arial"/>
                <w:szCs w:val="19"/>
              </w:rPr>
            </w:pPr>
            <w:r>
              <w:rPr>
                <w:rFonts w:cs="Arial"/>
                <w:szCs w:val="19"/>
              </w:rPr>
              <w:t>Donanemab (</w:t>
            </w:r>
            <w:proofErr w:type="spellStart"/>
            <w:r>
              <w:rPr>
                <w:rFonts w:cs="Arial"/>
                <w:i/>
                <w:iCs/>
                <w:szCs w:val="19"/>
              </w:rPr>
              <w:t>Kisunla</w:t>
            </w:r>
            <w:proofErr w:type="spellEnd"/>
            <w:r>
              <w:rPr>
                <w:rFonts w:cs="Arial"/>
                <w:szCs w:val="19"/>
              </w:rPr>
              <w:t>)</w:t>
            </w:r>
          </w:p>
          <w:p w14:paraId="0ADBBBA9" w14:textId="545ACCBB" w:rsidR="00C5222E" w:rsidRPr="00A075A3" w:rsidRDefault="00C5222E" w:rsidP="00C5222E">
            <w:pPr>
              <w:rPr>
                <w:rFonts w:cs="Arial"/>
                <w:szCs w:val="19"/>
              </w:rPr>
            </w:pPr>
            <w:r w:rsidRPr="00B203F9">
              <w:rPr>
                <w:rFonts w:cs="Arial"/>
                <w:sz w:val="16"/>
                <w:szCs w:val="16"/>
              </w:rPr>
              <w:t>350mg in 20mL vial</w:t>
            </w:r>
          </w:p>
        </w:tc>
        <w:tc>
          <w:tcPr>
            <w:tcW w:w="3573" w:type="pct"/>
            <w:shd w:val="clear" w:color="auto" w:fill="auto"/>
            <w:tcMar>
              <w:top w:w="57" w:type="dxa"/>
              <w:left w:w="170" w:type="dxa"/>
              <w:bottom w:w="57" w:type="dxa"/>
              <w:right w:w="170" w:type="dxa"/>
            </w:tcMar>
          </w:tcPr>
          <w:p w14:paraId="2ABAE8E9" w14:textId="3A6CF4BB" w:rsidR="00C5222E" w:rsidRPr="009B0BCE" w:rsidRDefault="00C5222E" w:rsidP="00C5222E">
            <w:pPr>
              <w:tabs>
                <w:tab w:val="center" w:pos="3152"/>
              </w:tabs>
              <w:rPr>
                <w:rFonts w:cs="Arial"/>
                <w:color w:val="000000"/>
                <w:sz w:val="20"/>
                <w:szCs w:val="18"/>
                <w:lang w:val="en-US"/>
              </w:rPr>
            </w:pPr>
            <w:r w:rsidRPr="00B203F9">
              <w:rPr>
                <w:rFonts w:cs="Arial"/>
                <w:szCs w:val="19"/>
                <w:lang w:val="en-US"/>
              </w:rPr>
              <w:t>Treatment of mild cognitive impairment and mild dementia due to Alzheimer’s disease in adults that are apolipoprotein E ε4 heterozygotes or non-carriers</w:t>
            </w:r>
          </w:p>
        </w:tc>
      </w:tr>
      <w:tr w:rsidR="00C5222E" w:rsidRPr="00131D4C" w14:paraId="549237EB" w14:textId="77777777" w:rsidTr="003D2856">
        <w:tc>
          <w:tcPr>
            <w:tcW w:w="1427" w:type="pct"/>
            <w:shd w:val="clear" w:color="auto" w:fill="auto"/>
            <w:tcMar>
              <w:top w:w="57" w:type="dxa"/>
              <w:left w:w="170" w:type="dxa"/>
              <w:bottom w:w="57" w:type="dxa"/>
              <w:right w:w="170" w:type="dxa"/>
            </w:tcMar>
          </w:tcPr>
          <w:p w14:paraId="172F36B8" w14:textId="77777777" w:rsidR="00C5222E" w:rsidRDefault="00C5222E" w:rsidP="00C5222E">
            <w:pPr>
              <w:rPr>
                <w:rFonts w:cs="Arial"/>
                <w:szCs w:val="19"/>
              </w:rPr>
            </w:pPr>
            <w:r>
              <w:rPr>
                <w:rFonts w:cs="Arial"/>
                <w:szCs w:val="19"/>
              </w:rPr>
              <w:t>Encorafenib (</w:t>
            </w:r>
            <w:r>
              <w:rPr>
                <w:rFonts w:cs="Arial"/>
                <w:i/>
                <w:iCs/>
                <w:szCs w:val="19"/>
              </w:rPr>
              <w:t>Braftovi</w:t>
            </w:r>
            <w:r>
              <w:rPr>
                <w:rFonts w:cs="Arial"/>
                <w:szCs w:val="19"/>
              </w:rPr>
              <w:t>)</w:t>
            </w:r>
          </w:p>
          <w:p w14:paraId="30F0ACE1" w14:textId="4D3E92F7" w:rsidR="00C5222E" w:rsidRPr="00E73A7D" w:rsidRDefault="00C5222E" w:rsidP="00C5222E">
            <w:pPr>
              <w:rPr>
                <w:rFonts w:cs="Arial"/>
                <w:szCs w:val="19"/>
              </w:rPr>
            </w:pPr>
            <w:r w:rsidRPr="00E73A7D">
              <w:rPr>
                <w:rFonts w:cs="Arial"/>
                <w:sz w:val="16"/>
                <w:szCs w:val="16"/>
              </w:rPr>
              <w:t>50mg and 75mg capsules</w:t>
            </w:r>
          </w:p>
        </w:tc>
        <w:tc>
          <w:tcPr>
            <w:tcW w:w="3573" w:type="pct"/>
            <w:shd w:val="clear" w:color="auto" w:fill="auto"/>
            <w:tcMar>
              <w:top w:w="57" w:type="dxa"/>
              <w:left w:w="170" w:type="dxa"/>
              <w:bottom w:w="57" w:type="dxa"/>
              <w:right w:w="170" w:type="dxa"/>
            </w:tcMar>
          </w:tcPr>
          <w:p w14:paraId="1C250DE1" w14:textId="4C6165D1" w:rsidR="00C5222E" w:rsidRPr="00B64A1C" w:rsidRDefault="00C5222E" w:rsidP="00C5222E">
            <w:pPr>
              <w:tabs>
                <w:tab w:val="center" w:pos="3152"/>
              </w:tabs>
              <w:rPr>
                <w:rFonts w:cs="Arial"/>
                <w:sz w:val="18"/>
                <w:szCs w:val="18"/>
              </w:rPr>
            </w:pPr>
            <w:r w:rsidRPr="00E73A7D">
              <w:rPr>
                <w:rFonts w:cs="Arial"/>
                <w:szCs w:val="19"/>
              </w:rPr>
              <w:t>Use in combination with binimetinib for the treatment of adults with advanced non-small cell lung cancer with a BRAF V600E mutation</w:t>
            </w:r>
            <w:r>
              <w:rPr>
                <w:rFonts w:cs="Arial"/>
                <w:sz w:val="18"/>
                <w:szCs w:val="18"/>
              </w:rPr>
              <w:t xml:space="preserve"> </w:t>
            </w:r>
            <w:r w:rsidRPr="00E73A7D">
              <w:rPr>
                <w:rFonts w:cs="Arial"/>
                <w:sz w:val="16"/>
                <w:szCs w:val="16"/>
              </w:rPr>
              <w:t>[new indication]</w:t>
            </w:r>
          </w:p>
        </w:tc>
      </w:tr>
      <w:tr w:rsidR="0087170D" w:rsidRPr="00131D4C" w14:paraId="7A0E4E00" w14:textId="77777777" w:rsidTr="003D2856">
        <w:tc>
          <w:tcPr>
            <w:tcW w:w="1427" w:type="pct"/>
            <w:shd w:val="clear" w:color="auto" w:fill="auto"/>
            <w:tcMar>
              <w:top w:w="57" w:type="dxa"/>
              <w:left w:w="170" w:type="dxa"/>
              <w:bottom w:w="57" w:type="dxa"/>
              <w:right w:w="170" w:type="dxa"/>
            </w:tcMar>
          </w:tcPr>
          <w:p w14:paraId="77060454" w14:textId="77777777" w:rsidR="0087170D" w:rsidRDefault="0087170D" w:rsidP="0087170D">
            <w:pPr>
              <w:rPr>
                <w:rFonts w:cs="Arial"/>
                <w:szCs w:val="19"/>
              </w:rPr>
            </w:pPr>
            <w:proofErr w:type="spellStart"/>
            <w:r w:rsidRPr="000F0F10">
              <w:rPr>
                <w:rFonts w:cs="Arial"/>
                <w:szCs w:val="19"/>
                <w:u w:color="000080"/>
              </w:rPr>
              <w:t>Fosdenopterin</w:t>
            </w:r>
            <w:proofErr w:type="spellEnd"/>
            <w:r>
              <w:rPr>
                <w:rFonts w:cs="Arial"/>
                <w:szCs w:val="19"/>
              </w:rPr>
              <w:t xml:space="preserve"> (</w:t>
            </w:r>
            <w:proofErr w:type="spellStart"/>
            <w:r>
              <w:rPr>
                <w:rFonts w:cs="Arial"/>
                <w:i/>
                <w:iCs/>
                <w:szCs w:val="19"/>
              </w:rPr>
              <w:t>Nulibry</w:t>
            </w:r>
            <w:proofErr w:type="spellEnd"/>
            <w:r>
              <w:rPr>
                <w:rFonts w:cs="Arial"/>
                <w:szCs w:val="19"/>
              </w:rPr>
              <w:t xml:space="preserve">) </w:t>
            </w:r>
          </w:p>
          <w:p w14:paraId="087821A5" w14:textId="4F2C715E" w:rsidR="0087170D" w:rsidRPr="00723718" w:rsidRDefault="0087170D" w:rsidP="0087170D">
            <w:pPr>
              <w:rPr>
                <w:rFonts w:cs="Arial"/>
                <w:szCs w:val="19"/>
              </w:rPr>
            </w:pPr>
            <w:r w:rsidRPr="000F0F10">
              <w:rPr>
                <w:rFonts w:cs="Arial"/>
                <w:sz w:val="16"/>
                <w:szCs w:val="16"/>
              </w:rPr>
              <w:t>9.5mg vial</w:t>
            </w:r>
          </w:p>
        </w:tc>
        <w:tc>
          <w:tcPr>
            <w:tcW w:w="3573" w:type="pct"/>
            <w:shd w:val="clear" w:color="auto" w:fill="auto"/>
            <w:tcMar>
              <w:top w:w="57" w:type="dxa"/>
              <w:left w:w="170" w:type="dxa"/>
              <w:bottom w:w="57" w:type="dxa"/>
              <w:right w:w="170" w:type="dxa"/>
            </w:tcMar>
          </w:tcPr>
          <w:p w14:paraId="03AF604E" w14:textId="1923BA18" w:rsidR="0087170D" w:rsidRPr="001D7849" w:rsidRDefault="0087170D" w:rsidP="0087170D">
            <w:pPr>
              <w:tabs>
                <w:tab w:val="center" w:pos="3152"/>
              </w:tabs>
              <w:rPr>
                <w:rFonts w:cs="Arial"/>
                <w:szCs w:val="19"/>
              </w:rPr>
            </w:pPr>
            <w:r>
              <w:rPr>
                <w:rFonts w:cs="Arial"/>
                <w:szCs w:val="19"/>
                <w:lang w:val="en-US"/>
              </w:rPr>
              <w:t>T</w:t>
            </w:r>
            <w:r w:rsidRPr="00AA7FB0">
              <w:rPr>
                <w:rFonts w:cs="Arial"/>
                <w:szCs w:val="19"/>
                <w:lang w:val="en-US"/>
              </w:rPr>
              <w:t>reatment of patients with molybdenum cofactor deficiency Type A</w:t>
            </w:r>
          </w:p>
        </w:tc>
      </w:tr>
      <w:tr w:rsidR="0087170D" w:rsidRPr="00131D4C" w14:paraId="426F69FB" w14:textId="77777777" w:rsidTr="003D2856">
        <w:tc>
          <w:tcPr>
            <w:tcW w:w="1427" w:type="pct"/>
            <w:shd w:val="clear" w:color="auto" w:fill="auto"/>
            <w:tcMar>
              <w:top w:w="57" w:type="dxa"/>
              <w:left w:w="170" w:type="dxa"/>
              <w:bottom w:w="57" w:type="dxa"/>
              <w:right w:w="170" w:type="dxa"/>
            </w:tcMar>
          </w:tcPr>
          <w:p w14:paraId="7F21800D" w14:textId="77777777" w:rsidR="0087170D" w:rsidRDefault="0087170D" w:rsidP="0087170D">
            <w:pPr>
              <w:rPr>
                <w:rFonts w:cs="Arial"/>
                <w:szCs w:val="19"/>
              </w:rPr>
            </w:pPr>
            <w:r w:rsidRPr="00E44D0D">
              <w:rPr>
                <w:rFonts w:cs="Arial"/>
                <w:szCs w:val="19"/>
              </w:rPr>
              <w:t>Liraglutide biosimilar </w:t>
            </w:r>
          </w:p>
          <w:p w14:paraId="433A77B8" w14:textId="77777777" w:rsidR="0087170D" w:rsidRDefault="0087170D" w:rsidP="0087170D">
            <w:pPr>
              <w:rPr>
                <w:rFonts w:cs="Arial"/>
                <w:szCs w:val="19"/>
              </w:rPr>
            </w:pPr>
            <w:r>
              <w:rPr>
                <w:rFonts w:cs="Arial"/>
                <w:szCs w:val="19"/>
              </w:rPr>
              <w:t>(</w:t>
            </w:r>
            <w:proofErr w:type="spellStart"/>
            <w:r w:rsidRPr="00E44D0D">
              <w:rPr>
                <w:rFonts w:cs="Arial"/>
                <w:i/>
                <w:iCs/>
                <w:szCs w:val="19"/>
              </w:rPr>
              <w:t>Diavic</w:t>
            </w:r>
            <w:proofErr w:type="spellEnd"/>
            <w:r w:rsidRPr="00E44D0D">
              <w:rPr>
                <w:rFonts w:cs="Arial"/>
                <w:i/>
                <w:iCs/>
                <w:szCs w:val="19"/>
              </w:rPr>
              <w:t>/Liraglutide SUN</w:t>
            </w:r>
            <w:r>
              <w:rPr>
                <w:rFonts w:cs="Arial"/>
                <w:szCs w:val="19"/>
              </w:rPr>
              <w:t>)</w:t>
            </w:r>
          </w:p>
          <w:p w14:paraId="11D342A6" w14:textId="350FB792" w:rsidR="0087170D" w:rsidRPr="00E07B89" w:rsidRDefault="0087170D" w:rsidP="0087170D">
            <w:pPr>
              <w:rPr>
                <w:rFonts w:cs="Arial"/>
                <w:szCs w:val="19"/>
              </w:rPr>
            </w:pPr>
            <w:r w:rsidRPr="00E44D0D">
              <w:rPr>
                <w:rFonts w:cs="Arial"/>
                <w:sz w:val="16"/>
                <w:szCs w:val="16"/>
              </w:rPr>
              <w:t>18mg in 3mL prefilled pen</w:t>
            </w:r>
          </w:p>
        </w:tc>
        <w:tc>
          <w:tcPr>
            <w:tcW w:w="3573" w:type="pct"/>
            <w:shd w:val="clear" w:color="auto" w:fill="auto"/>
            <w:tcMar>
              <w:top w:w="57" w:type="dxa"/>
              <w:left w:w="170" w:type="dxa"/>
              <w:bottom w:w="57" w:type="dxa"/>
              <w:right w:w="170" w:type="dxa"/>
            </w:tcMar>
          </w:tcPr>
          <w:p w14:paraId="70B09C77" w14:textId="37021AD4" w:rsidR="0087170D" w:rsidRPr="00A075A3" w:rsidRDefault="0087170D" w:rsidP="0087170D">
            <w:pPr>
              <w:tabs>
                <w:tab w:val="num" w:pos="720"/>
                <w:tab w:val="center" w:pos="3152"/>
              </w:tabs>
              <w:rPr>
                <w:rFonts w:cs="Arial"/>
                <w:szCs w:val="19"/>
                <w:lang w:val="en-US"/>
              </w:rPr>
            </w:pPr>
            <w:r w:rsidRPr="00E44D0D">
              <w:rPr>
                <w:rFonts w:cs="Arial"/>
                <w:szCs w:val="19"/>
                <w:lang w:val="en-US"/>
              </w:rPr>
              <w:t xml:space="preserve">Treatment of adults, adolescents and children aged </w:t>
            </w:r>
            <w:r>
              <w:rPr>
                <w:rFonts w:cs="Arial"/>
                <w:szCs w:val="19"/>
                <w:lang w:val="en-US"/>
              </w:rPr>
              <w:t>≥</w:t>
            </w:r>
            <w:r w:rsidRPr="00E44D0D">
              <w:rPr>
                <w:rFonts w:cs="Arial"/>
                <w:szCs w:val="19"/>
                <w:lang w:val="en-US"/>
              </w:rPr>
              <w:t>10 years</w:t>
            </w:r>
            <w:r>
              <w:rPr>
                <w:rFonts w:cs="Arial"/>
                <w:szCs w:val="19"/>
                <w:lang w:val="en-US"/>
              </w:rPr>
              <w:t xml:space="preserve"> </w:t>
            </w:r>
            <w:r w:rsidRPr="00E44D0D">
              <w:rPr>
                <w:rFonts w:cs="Arial"/>
                <w:szCs w:val="19"/>
                <w:lang w:val="en-US"/>
              </w:rPr>
              <w:t>with insufficiently controlled type 2 diabetes mellitus as an adjunct to diet and exercise as monotherapy when metformin is considered inappropriate due to intolerance or contraindications and in addition to other medicinal products for the treatment of diabetes</w:t>
            </w:r>
          </w:p>
        </w:tc>
      </w:tr>
      <w:tr w:rsidR="0087170D" w14:paraId="76353F15" w14:textId="77777777" w:rsidTr="003D2856">
        <w:tc>
          <w:tcPr>
            <w:tcW w:w="1427" w:type="pct"/>
            <w:shd w:val="clear" w:color="auto" w:fill="auto"/>
            <w:tcMar>
              <w:top w:w="57" w:type="dxa"/>
              <w:left w:w="170" w:type="dxa"/>
              <w:bottom w:w="57" w:type="dxa"/>
              <w:right w:w="170" w:type="dxa"/>
            </w:tcMar>
          </w:tcPr>
          <w:p w14:paraId="6FFB4CCF" w14:textId="77777777" w:rsidR="0087170D" w:rsidRDefault="0087170D" w:rsidP="0087170D">
            <w:pPr>
              <w:rPr>
                <w:rFonts w:cs="Arial"/>
                <w:szCs w:val="19"/>
              </w:rPr>
            </w:pPr>
            <w:r>
              <w:rPr>
                <w:rFonts w:cs="Arial"/>
                <w:szCs w:val="19"/>
              </w:rPr>
              <w:t>M</w:t>
            </w:r>
            <w:r w:rsidRPr="0092103B">
              <w:rPr>
                <w:rFonts w:cs="Arial"/>
                <w:szCs w:val="19"/>
              </w:rPr>
              <w:t>elatonin </w:t>
            </w:r>
            <w:r>
              <w:rPr>
                <w:rFonts w:cs="Arial"/>
                <w:szCs w:val="19"/>
              </w:rPr>
              <w:t>(</w:t>
            </w:r>
            <w:proofErr w:type="spellStart"/>
            <w:r>
              <w:rPr>
                <w:rFonts w:cs="Arial"/>
                <w:i/>
                <w:iCs/>
                <w:szCs w:val="19"/>
              </w:rPr>
              <w:t>Slenyto</w:t>
            </w:r>
            <w:proofErr w:type="spellEnd"/>
            <w:r>
              <w:rPr>
                <w:rFonts w:cs="Arial"/>
                <w:szCs w:val="19"/>
              </w:rPr>
              <w:t>)</w:t>
            </w:r>
          </w:p>
          <w:p w14:paraId="474199A0" w14:textId="03062477" w:rsidR="0087170D" w:rsidRPr="00CA0AC9" w:rsidRDefault="0087170D" w:rsidP="0087170D">
            <w:pPr>
              <w:rPr>
                <w:rFonts w:cs="Arial"/>
                <w:szCs w:val="19"/>
              </w:rPr>
            </w:pPr>
            <w:r w:rsidRPr="00A329C9">
              <w:rPr>
                <w:rFonts w:cs="Arial"/>
                <w:sz w:val="16"/>
                <w:szCs w:val="16"/>
              </w:rPr>
              <w:t>1mg and 5mg tablets</w:t>
            </w:r>
          </w:p>
        </w:tc>
        <w:tc>
          <w:tcPr>
            <w:tcW w:w="3573" w:type="pct"/>
            <w:shd w:val="clear" w:color="auto" w:fill="auto"/>
            <w:tcMar>
              <w:top w:w="57" w:type="dxa"/>
              <w:left w:w="170" w:type="dxa"/>
              <w:bottom w:w="57" w:type="dxa"/>
              <w:right w:w="170" w:type="dxa"/>
            </w:tcMar>
          </w:tcPr>
          <w:p w14:paraId="3AAF67FE" w14:textId="23222857" w:rsidR="0087170D" w:rsidRPr="00A075A3" w:rsidRDefault="0087170D" w:rsidP="0087170D">
            <w:pPr>
              <w:tabs>
                <w:tab w:val="center" w:pos="3152"/>
              </w:tabs>
              <w:rPr>
                <w:rFonts w:cs="Arial"/>
                <w:bCs/>
                <w:szCs w:val="19"/>
              </w:rPr>
            </w:pPr>
            <w:r w:rsidRPr="0092103B">
              <w:rPr>
                <w:rFonts w:cs="Arial"/>
                <w:szCs w:val="19"/>
                <w:lang w:val="en-US"/>
              </w:rPr>
              <w:t xml:space="preserve">Treatment of insomnia in children and adolescents aged 2-18 </w:t>
            </w:r>
            <w:r>
              <w:rPr>
                <w:rFonts w:cs="Arial"/>
                <w:szCs w:val="19"/>
                <w:lang w:val="en-US"/>
              </w:rPr>
              <w:t xml:space="preserve">years </w:t>
            </w:r>
            <w:r w:rsidRPr="0092103B">
              <w:rPr>
                <w:rFonts w:cs="Arial"/>
                <w:szCs w:val="19"/>
                <w:lang w:val="en-US"/>
              </w:rPr>
              <w:t xml:space="preserve">with </w:t>
            </w:r>
            <w:r>
              <w:rPr>
                <w:rFonts w:cs="Arial"/>
                <w:szCs w:val="19"/>
                <w:lang w:val="en-US"/>
              </w:rPr>
              <w:t>a</w:t>
            </w:r>
            <w:r w:rsidRPr="0092103B">
              <w:rPr>
                <w:rFonts w:cs="Arial"/>
                <w:szCs w:val="19"/>
                <w:lang w:val="en-US"/>
              </w:rPr>
              <w:t xml:space="preserve">utism </w:t>
            </w:r>
            <w:r>
              <w:rPr>
                <w:rFonts w:cs="Arial"/>
                <w:szCs w:val="19"/>
                <w:lang w:val="en-US"/>
              </w:rPr>
              <w:t>s</w:t>
            </w:r>
            <w:r w:rsidRPr="0092103B">
              <w:rPr>
                <w:rFonts w:cs="Arial"/>
                <w:szCs w:val="19"/>
                <w:lang w:val="en-US"/>
              </w:rPr>
              <w:t xml:space="preserve">pectrum </w:t>
            </w:r>
            <w:r>
              <w:rPr>
                <w:rFonts w:cs="Arial"/>
                <w:szCs w:val="19"/>
                <w:lang w:val="en-US"/>
              </w:rPr>
              <w:t>d</w:t>
            </w:r>
            <w:r w:rsidRPr="0092103B">
              <w:rPr>
                <w:rFonts w:cs="Arial"/>
                <w:szCs w:val="19"/>
                <w:lang w:val="en-US"/>
              </w:rPr>
              <w:t>isorder (ASD) and/or neurogenetic disorders with aberrant diurnal melatonin secretion and/or nocturnal awakenings, where sleep hygiene measures have been insufficient</w:t>
            </w:r>
            <w:r>
              <w:rPr>
                <w:rFonts w:cs="Arial"/>
                <w:szCs w:val="19"/>
                <w:lang w:val="en-US"/>
              </w:rPr>
              <w:t xml:space="preserve"> </w:t>
            </w:r>
            <w:r w:rsidRPr="0092103B">
              <w:rPr>
                <w:rFonts w:cs="Arial"/>
                <w:sz w:val="16"/>
                <w:szCs w:val="16"/>
                <w:lang w:val="en-US"/>
              </w:rPr>
              <w:t xml:space="preserve">[licence change from use in ASD and/or Smith </w:t>
            </w:r>
            <w:proofErr w:type="spellStart"/>
            <w:r w:rsidRPr="0092103B">
              <w:rPr>
                <w:rFonts w:cs="Arial"/>
                <w:sz w:val="16"/>
                <w:szCs w:val="16"/>
                <w:lang w:val="en-US"/>
              </w:rPr>
              <w:t>Magenis</w:t>
            </w:r>
            <w:proofErr w:type="spellEnd"/>
            <w:r w:rsidRPr="0092103B">
              <w:rPr>
                <w:rFonts w:cs="Arial"/>
                <w:sz w:val="16"/>
                <w:szCs w:val="16"/>
                <w:lang w:val="en-US"/>
              </w:rPr>
              <w:t xml:space="preserve"> syndrome]</w:t>
            </w:r>
          </w:p>
        </w:tc>
      </w:tr>
      <w:tr w:rsidR="0087170D" w14:paraId="08F971A2" w14:textId="77777777" w:rsidTr="003D2856">
        <w:tc>
          <w:tcPr>
            <w:tcW w:w="1427" w:type="pct"/>
            <w:shd w:val="clear" w:color="auto" w:fill="auto"/>
            <w:tcMar>
              <w:top w:w="57" w:type="dxa"/>
              <w:left w:w="170" w:type="dxa"/>
              <w:bottom w:w="57" w:type="dxa"/>
              <w:right w:w="170" w:type="dxa"/>
            </w:tcMar>
          </w:tcPr>
          <w:p w14:paraId="0CB33BAC" w14:textId="77777777" w:rsidR="0087170D" w:rsidRDefault="0087170D" w:rsidP="0087170D">
            <w:pPr>
              <w:rPr>
                <w:rFonts w:cs="Arial"/>
                <w:szCs w:val="19"/>
              </w:rPr>
            </w:pPr>
            <w:r>
              <w:rPr>
                <w:rFonts w:cs="Arial"/>
                <w:szCs w:val="19"/>
              </w:rPr>
              <w:t>Remimazolam (</w:t>
            </w:r>
            <w:r>
              <w:rPr>
                <w:rFonts w:cs="Arial"/>
                <w:i/>
                <w:iCs/>
                <w:szCs w:val="19"/>
              </w:rPr>
              <w:t>Byfavo</w:t>
            </w:r>
            <w:r>
              <w:rPr>
                <w:rFonts w:cs="Arial"/>
                <w:szCs w:val="19"/>
              </w:rPr>
              <w:t>)</w:t>
            </w:r>
          </w:p>
          <w:p w14:paraId="73C1F13A" w14:textId="196F8C1D" w:rsidR="0087170D" w:rsidRPr="00085243" w:rsidRDefault="0087170D" w:rsidP="0087170D">
            <w:pPr>
              <w:rPr>
                <w:rFonts w:cs="Arial"/>
                <w:szCs w:val="19"/>
              </w:rPr>
            </w:pPr>
            <w:r w:rsidRPr="00085243">
              <w:rPr>
                <w:rFonts w:cs="Arial"/>
                <w:sz w:val="16"/>
                <w:szCs w:val="16"/>
              </w:rPr>
              <w:t>50mg vial</w:t>
            </w:r>
          </w:p>
        </w:tc>
        <w:tc>
          <w:tcPr>
            <w:tcW w:w="3573" w:type="pct"/>
            <w:shd w:val="clear" w:color="auto" w:fill="auto"/>
            <w:tcMar>
              <w:top w:w="57" w:type="dxa"/>
              <w:left w:w="170" w:type="dxa"/>
              <w:bottom w:w="57" w:type="dxa"/>
              <w:right w:w="170" w:type="dxa"/>
            </w:tcMar>
          </w:tcPr>
          <w:p w14:paraId="72502DC9" w14:textId="102CCF27" w:rsidR="0087170D" w:rsidRPr="00A075A3" w:rsidRDefault="0087170D" w:rsidP="0087170D">
            <w:pPr>
              <w:tabs>
                <w:tab w:val="center" w:pos="3152"/>
              </w:tabs>
              <w:rPr>
                <w:rFonts w:cs="Arial"/>
                <w:szCs w:val="19"/>
                <w:lang w:val="en-US"/>
              </w:rPr>
            </w:pPr>
            <w:r>
              <w:rPr>
                <w:rFonts w:cs="Arial"/>
                <w:szCs w:val="19"/>
                <w:lang w:val="en-US"/>
              </w:rPr>
              <w:t xml:space="preserve">Use </w:t>
            </w:r>
            <w:r w:rsidRPr="00085243">
              <w:rPr>
                <w:rFonts w:cs="Arial"/>
                <w:szCs w:val="19"/>
                <w:lang w:val="en-US"/>
              </w:rPr>
              <w:t xml:space="preserve">in adults for intravenous induction and maintenance of general </w:t>
            </w:r>
            <w:proofErr w:type="spellStart"/>
            <w:r w:rsidRPr="00085243">
              <w:rPr>
                <w:rFonts w:cs="Arial"/>
                <w:szCs w:val="19"/>
                <w:lang w:val="en-US"/>
              </w:rPr>
              <w:t>anaesthesia</w:t>
            </w:r>
            <w:proofErr w:type="spellEnd"/>
            <w:r>
              <w:rPr>
                <w:rFonts w:cs="Arial"/>
                <w:szCs w:val="19"/>
                <w:lang w:val="en-US"/>
              </w:rPr>
              <w:t xml:space="preserve"> </w:t>
            </w:r>
            <w:r w:rsidRPr="00085243">
              <w:rPr>
                <w:rFonts w:cs="Arial"/>
                <w:sz w:val="16"/>
                <w:szCs w:val="16"/>
                <w:lang w:val="en-US"/>
              </w:rPr>
              <w:t>[new higher strength formulation with new indication]</w:t>
            </w:r>
          </w:p>
        </w:tc>
      </w:tr>
      <w:tr w:rsidR="0087170D" w14:paraId="77FEF4C2" w14:textId="77777777" w:rsidTr="003D2856">
        <w:tc>
          <w:tcPr>
            <w:tcW w:w="1427" w:type="pct"/>
            <w:shd w:val="clear" w:color="auto" w:fill="auto"/>
            <w:tcMar>
              <w:top w:w="57" w:type="dxa"/>
              <w:left w:w="170" w:type="dxa"/>
              <w:bottom w:w="57" w:type="dxa"/>
              <w:right w:w="170" w:type="dxa"/>
            </w:tcMar>
          </w:tcPr>
          <w:p w14:paraId="73826EEC" w14:textId="77777777" w:rsidR="0087170D" w:rsidRDefault="0087170D" w:rsidP="0087170D">
            <w:pPr>
              <w:rPr>
                <w:rFonts w:cs="Arial"/>
                <w:szCs w:val="19"/>
              </w:rPr>
            </w:pPr>
            <w:r w:rsidRPr="001A7324">
              <w:rPr>
                <w:rFonts w:cs="Arial"/>
                <w:szCs w:val="19"/>
              </w:rPr>
              <w:t>Thiamine hydrochloride (</w:t>
            </w:r>
            <w:r w:rsidRPr="001A7324">
              <w:rPr>
                <w:rFonts w:cs="Arial"/>
                <w:i/>
                <w:iCs/>
                <w:szCs w:val="19"/>
              </w:rPr>
              <w:t>Thiamine Hydrochloride</w:t>
            </w:r>
            <w:r w:rsidRPr="001A7324">
              <w:rPr>
                <w:rFonts w:cs="Arial"/>
                <w:szCs w:val="19"/>
              </w:rPr>
              <w:t>)</w:t>
            </w:r>
          </w:p>
          <w:p w14:paraId="6DE64181" w14:textId="77777777" w:rsidR="0087170D" w:rsidRPr="001A7324" w:rsidRDefault="0087170D" w:rsidP="0087170D">
            <w:pPr>
              <w:rPr>
                <w:rFonts w:cs="Arial"/>
                <w:sz w:val="16"/>
                <w:szCs w:val="16"/>
              </w:rPr>
            </w:pPr>
            <w:r w:rsidRPr="001A7324">
              <w:rPr>
                <w:rFonts w:cs="Arial"/>
                <w:sz w:val="16"/>
                <w:szCs w:val="16"/>
              </w:rPr>
              <w:t>250mg in 5mL ampoules</w:t>
            </w:r>
          </w:p>
          <w:p w14:paraId="6488FFD5" w14:textId="586719C2" w:rsidR="0087170D" w:rsidRPr="00FF5ADC" w:rsidRDefault="0087170D" w:rsidP="0087170D">
            <w:pPr>
              <w:rPr>
                <w:rFonts w:cs="Arial"/>
                <w:szCs w:val="19"/>
              </w:rPr>
            </w:pPr>
          </w:p>
        </w:tc>
        <w:tc>
          <w:tcPr>
            <w:tcW w:w="3573" w:type="pct"/>
            <w:shd w:val="clear" w:color="auto" w:fill="auto"/>
            <w:tcMar>
              <w:top w:w="57" w:type="dxa"/>
              <w:left w:w="170" w:type="dxa"/>
              <w:bottom w:w="57" w:type="dxa"/>
              <w:right w:w="170" w:type="dxa"/>
            </w:tcMar>
          </w:tcPr>
          <w:p w14:paraId="356BE6AD" w14:textId="4F8BD20D" w:rsidR="0087170D" w:rsidRDefault="0087170D" w:rsidP="0087170D">
            <w:pPr>
              <w:tabs>
                <w:tab w:val="center" w:pos="3152"/>
              </w:tabs>
              <w:rPr>
                <w:rFonts w:cs="Arial"/>
                <w:color w:val="000000"/>
                <w:szCs w:val="19"/>
                <w:lang w:val="en-US"/>
              </w:rPr>
            </w:pPr>
            <w:r w:rsidRPr="001A7324">
              <w:rPr>
                <w:rFonts w:cs="Arial"/>
                <w:color w:val="000000"/>
                <w:szCs w:val="19"/>
                <w:lang w:val="en-US"/>
              </w:rPr>
              <w:t xml:space="preserve">Thiamine deficiency conditions where oral therapy is not possible; treatment of Wernicke´s encephalopathy associated with alcohol addiction and/or alcohol withdrawal syndrome and prevention of Wernicke-Korsakoff syndrome; treatment of peripheral neuropathy (dry beriberi) and heart failure (wet beriberi) due to thiamine malabsorption; treatment of anorexia – refeeding </w:t>
            </w:r>
            <w:proofErr w:type="gramStart"/>
            <w:r w:rsidRPr="001A7324">
              <w:rPr>
                <w:rFonts w:cs="Arial"/>
                <w:color w:val="000000"/>
                <w:szCs w:val="19"/>
                <w:lang w:val="en-US"/>
              </w:rPr>
              <w:t>syndrome</w:t>
            </w:r>
            <w:proofErr w:type="gramEnd"/>
            <w:r>
              <w:rPr>
                <w:rFonts w:cs="Arial"/>
                <w:color w:val="000000"/>
                <w:szCs w:val="19"/>
                <w:lang w:val="en-US"/>
              </w:rPr>
              <w:t xml:space="preserve"> </w:t>
            </w:r>
          </w:p>
          <w:p w14:paraId="76CB801E" w14:textId="077D5B95" w:rsidR="0087170D" w:rsidRPr="001A7324" w:rsidRDefault="0087170D" w:rsidP="0087170D">
            <w:pPr>
              <w:tabs>
                <w:tab w:val="center" w:pos="3152"/>
              </w:tabs>
              <w:rPr>
                <w:rFonts w:cs="Arial"/>
                <w:color w:val="000000"/>
                <w:szCs w:val="19"/>
                <w:lang w:val="en-US"/>
              </w:rPr>
            </w:pPr>
            <w:r w:rsidRPr="001A7324">
              <w:rPr>
                <w:rFonts w:cs="Arial"/>
                <w:color w:val="000000"/>
                <w:sz w:val="16"/>
                <w:szCs w:val="16"/>
                <w:lang w:val="en-US"/>
              </w:rPr>
              <w:t xml:space="preserve">[new </w:t>
            </w:r>
            <w:r>
              <w:rPr>
                <w:rFonts w:cs="Arial"/>
                <w:color w:val="000000"/>
                <w:sz w:val="16"/>
                <w:szCs w:val="16"/>
                <w:lang w:val="en-US"/>
              </w:rPr>
              <w:t xml:space="preserve">intramuscular injection/intravenous infusion </w:t>
            </w:r>
            <w:r w:rsidRPr="001A7324">
              <w:rPr>
                <w:rFonts w:cs="Arial"/>
                <w:color w:val="000000"/>
                <w:sz w:val="16"/>
                <w:szCs w:val="16"/>
                <w:lang w:val="en-US"/>
              </w:rPr>
              <w:t>formulation]</w:t>
            </w:r>
          </w:p>
        </w:tc>
      </w:tr>
      <w:tr w:rsidR="0087170D" w:rsidRPr="00862949" w14:paraId="33D4D553" w14:textId="77777777" w:rsidTr="002772ED">
        <w:tc>
          <w:tcPr>
            <w:tcW w:w="5000" w:type="pct"/>
            <w:gridSpan w:val="2"/>
            <w:shd w:val="clear" w:color="auto" w:fill="auto"/>
            <w:tcMar>
              <w:top w:w="0" w:type="dxa"/>
              <w:bottom w:w="0" w:type="dxa"/>
            </w:tcMar>
          </w:tcPr>
          <w:p w14:paraId="0B00AC0B" w14:textId="77777777" w:rsidR="0087170D" w:rsidRPr="00862949" w:rsidRDefault="0087170D" w:rsidP="0087170D">
            <w:pPr>
              <w:rPr>
                <w:rFonts w:cs="Arial"/>
                <w:b/>
                <w:noProof/>
                <w:sz w:val="8"/>
                <w:szCs w:val="8"/>
              </w:rPr>
            </w:pPr>
          </w:p>
        </w:tc>
      </w:tr>
      <w:tr w:rsidR="0087170D" w:rsidRPr="00862949" w14:paraId="6F44AA18" w14:textId="77777777" w:rsidTr="002772ED">
        <w:tc>
          <w:tcPr>
            <w:tcW w:w="5000" w:type="pct"/>
            <w:gridSpan w:val="2"/>
            <w:shd w:val="clear" w:color="auto" w:fill="DAEEF3"/>
            <w:tcMar>
              <w:top w:w="0" w:type="dxa"/>
              <w:bottom w:w="0" w:type="dxa"/>
            </w:tcMar>
          </w:tcPr>
          <w:p w14:paraId="070894E4" w14:textId="77777777" w:rsidR="0087170D" w:rsidRPr="00862949" w:rsidRDefault="0087170D" w:rsidP="0087170D">
            <w:pPr>
              <w:rPr>
                <w:rFonts w:cs="Arial"/>
                <w:b/>
                <w:i/>
                <w:noProof/>
                <w:sz w:val="8"/>
                <w:szCs w:val="8"/>
              </w:rPr>
            </w:pPr>
          </w:p>
        </w:tc>
      </w:tr>
    </w:tbl>
    <w:p w14:paraId="383E4E8F" w14:textId="77777777" w:rsidR="00797F59" w:rsidRDefault="00797F59" w:rsidP="00727945">
      <w:pPr>
        <w:rPr>
          <w:rFonts w:ascii="Latha" w:hAnsi="Latha" w:cs="Latha"/>
          <w:sz w:val="8"/>
          <w:szCs w:val="8"/>
        </w:rPr>
      </w:pPr>
    </w:p>
    <w:p w14:paraId="495896E5" w14:textId="77777777" w:rsidR="0022269C" w:rsidRDefault="0022269C" w:rsidP="00727945">
      <w:pPr>
        <w:rPr>
          <w:rFonts w:ascii="Latha" w:hAnsi="Latha" w:cs="Latha"/>
          <w:sz w:val="8"/>
          <w:szCs w:val="8"/>
        </w:rPr>
      </w:pPr>
    </w:p>
    <w:p w14:paraId="66A1ABF3" w14:textId="77777777" w:rsidR="0022269C" w:rsidRDefault="0022269C" w:rsidP="00727945">
      <w:pPr>
        <w:rPr>
          <w:rFonts w:ascii="Latha" w:hAnsi="Latha" w:cs="Latha"/>
          <w:sz w:val="8"/>
          <w:szCs w:val="8"/>
        </w:rPr>
      </w:pPr>
    </w:p>
    <w:p w14:paraId="634E8488" w14:textId="77777777" w:rsidR="0022269C" w:rsidRDefault="0022269C" w:rsidP="00727945">
      <w:pPr>
        <w:rPr>
          <w:rFonts w:ascii="Latha" w:hAnsi="Latha" w:cs="Latha"/>
          <w:sz w:val="8"/>
          <w:szCs w:val="8"/>
        </w:rPr>
      </w:pPr>
    </w:p>
    <w:p w14:paraId="563F4DE4" w14:textId="77777777" w:rsidR="001A42CE" w:rsidRPr="00727945" w:rsidRDefault="001A42CE" w:rsidP="00727945">
      <w:pPr>
        <w:rPr>
          <w:rFonts w:ascii="Latha" w:hAnsi="Latha" w:cs="Latha"/>
          <w:sz w:val="8"/>
          <w:szCs w:val="8"/>
        </w:rPr>
        <w:sectPr w:rsidR="001A42CE" w:rsidRPr="00727945" w:rsidSect="002772ED">
          <w:headerReference w:type="even" r:id="rId10"/>
          <w:headerReference w:type="default" r:id="rId11"/>
          <w:footerReference w:type="even" r:id="rId12"/>
          <w:footerReference w:type="default" r:id="rId13"/>
          <w:headerReference w:type="first" r:id="rId14"/>
          <w:pgSz w:w="11906" w:h="16838" w:code="9"/>
          <w:pgMar w:top="680" w:right="851" w:bottom="680" w:left="851" w:header="567" w:footer="227" w:gutter="0"/>
          <w:cols w:space="708"/>
          <w:docGrid w:linePitch="360"/>
        </w:sectPr>
      </w:pPr>
    </w:p>
    <w:p w14:paraId="559C00AA" w14:textId="77777777" w:rsidR="006825BB" w:rsidRDefault="006825BB">
      <w:pPr>
        <w:rPr>
          <w:sz w:val="8"/>
          <w:szCs w:val="16"/>
        </w:rPr>
      </w:pPr>
    </w:p>
    <w:p w14:paraId="7C44500C" w14:textId="5F4E97EA" w:rsidR="00A81694" w:rsidRDefault="00A81694" w:rsidP="00EB3E6F">
      <w:pPr>
        <w:tabs>
          <w:tab w:val="left" w:pos="2087"/>
        </w:tabs>
      </w:pPr>
    </w:p>
    <w:tbl>
      <w:tblPr>
        <w:tblW w:w="5170" w:type="pct"/>
        <w:tblInd w:w="-176" w:type="dxa"/>
        <w:tblLayout w:type="fixed"/>
        <w:tblLook w:val="01E0" w:firstRow="1" w:lastRow="1" w:firstColumn="1" w:lastColumn="1" w:noHBand="0" w:noVBand="0"/>
      </w:tblPr>
      <w:tblGrid>
        <w:gridCol w:w="3193"/>
        <w:gridCol w:w="7358"/>
      </w:tblGrid>
      <w:tr w:rsidR="00903EE6" w:rsidRPr="00862949" w14:paraId="7184E0EC" w14:textId="77777777" w:rsidTr="0016265D">
        <w:tc>
          <w:tcPr>
            <w:tcW w:w="5000" w:type="pct"/>
            <w:gridSpan w:val="2"/>
            <w:shd w:val="clear" w:color="auto" w:fill="0070C0"/>
            <w:tcMar>
              <w:top w:w="85" w:type="dxa"/>
              <w:bottom w:w="85" w:type="dxa"/>
            </w:tcMar>
            <w:vAlign w:val="bottom"/>
          </w:tcPr>
          <w:p w14:paraId="045CA725" w14:textId="77777777" w:rsidR="00903EE6" w:rsidRPr="00862949" w:rsidRDefault="00903EE6" w:rsidP="0016265D">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903EE6" w:rsidRPr="00862949" w14:paraId="043612A9" w14:textId="77777777" w:rsidTr="0016265D">
        <w:tc>
          <w:tcPr>
            <w:tcW w:w="5000" w:type="pct"/>
            <w:gridSpan w:val="2"/>
            <w:shd w:val="clear" w:color="auto" w:fill="DAEEF3"/>
            <w:tcMar>
              <w:top w:w="0" w:type="dxa"/>
              <w:bottom w:w="0" w:type="dxa"/>
            </w:tcMar>
          </w:tcPr>
          <w:p w14:paraId="11B5BD91" w14:textId="77777777" w:rsidR="00903EE6" w:rsidRPr="00862949" w:rsidRDefault="00903EE6" w:rsidP="0016265D">
            <w:pPr>
              <w:rPr>
                <w:rFonts w:cs="Arial"/>
                <w:b/>
                <w:bCs/>
                <w:i/>
                <w:iCs/>
                <w:color w:val="000000"/>
                <w:sz w:val="8"/>
                <w:szCs w:val="8"/>
                <w:lang w:val="en-US"/>
              </w:rPr>
            </w:pPr>
          </w:p>
        </w:tc>
      </w:tr>
      <w:tr w:rsidR="00903EE6" w:rsidRPr="00862949" w14:paraId="43FCB40E" w14:textId="77777777" w:rsidTr="0016265D">
        <w:tc>
          <w:tcPr>
            <w:tcW w:w="5000" w:type="pct"/>
            <w:gridSpan w:val="2"/>
            <w:shd w:val="clear" w:color="auto" w:fill="00B050"/>
            <w:tcMar>
              <w:top w:w="57" w:type="dxa"/>
              <w:bottom w:w="57" w:type="dxa"/>
            </w:tcMar>
          </w:tcPr>
          <w:p w14:paraId="29768C9A" w14:textId="43E34B32" w:rsidR="00903EE6" w:rsidRPr="00433D3E" w:rsidRDefault="00903EE6" w:rsidP="0016265D">
            <w:pPr>
              <w:rPr>
                <w:rFonts w:cs="Arial"/>
                <w:color w:val="FFFFFF"/>
                <w:sz w:val="20"/>
                <w:szCs w:val="20"/>
              </w:rPr>
            </w:pPr>
            <w:r w:rsidRPr="00433D3E">
              <w:rPr>
                <w:rFonts w:cs="Arial"/>
                <w:b/>
                <w:bCs/>
                <w:i/>
                <w:iCs/>
                <w:color w:val="FFFFFF"/>
                <w:sz w:val="22"/>
                <w:szCs w:val="20"/>
                <w:lang w:val="en-US"/>
              </w:rPr>
              <w:t>Launched in the UK (or licence change for existing products)</w:t>
            </w:r>
            <w:r>
              <w:rPr>
                <w:rFonts w:cs="Arial"/>
                <w:b/>
                <w:bCs/>
                <w:i/>
                <w:iCs/>
                <w:color w:val="FFFFFF"/>
                <w:sz w:val="22"/>
                <w:szCs w:val="20"/>
                <w:lang w:val="en-US"/>
              </w:rPr>
              <w:t xml:space="preserve"> </w:t>
            </w:r>
            <w:r w:rsidRPr="00903EE6">
              <w:rPr>
                <w:rFonts w:cs="Arial"/>
                <w:b/>
                <w:bCs/>
                <w:color w:val="FFFFFF"/>
                <w:sz w:val="16"/>
                <w:szCs w:val="14"/>
                <w:lang w:val="en-US"/>
              </w:rPr>
              <w:t>(continued)</w:t>
            </w:r>
          </w:p>
        </w:tc>
      </w:tr>
      <w:tr w:rsidR="00903EE6" w14:paraId="4C304BCD" w14:textId="77777777" w:rsidTr="0016265D">
        <w:tc>
          <w:tcPr>
            <w:tcW w:w="1513" w:type="pct"/>
            <w:shd w:val="clear" w:color="auto" w:fill="auto"/>
            <w:tcMar>
              <w:top w:w="57" w:type="dxa"/>
              <w:left w:w="170" w:type="dxa"/>
              <w:bottom w:w="57" w:type="dxa"/>
              <w:right w:w="170" w:type="dxa"/>
            </w:tcMar>
          </w:tcPr>
          <w:p w14:paraId="2DF90436" w14:textId="77777777" w:rsidR="00903EE6" w:rsidRDefault="00903EE6" w:rsidP="0016265D">
            <w:pPr>
              <w:rPr>
                <w:rFonts w:cs="Arial"/>
                <w:szCs w:val="19"/>
              </w:rPr>
            </w:pPr>
            <w:r>
              <w:rPr>
                <w:rFonts w:cs="Arial"/>
                <w:szCs w:val="19"/>
              </w:rPr>
              <w:t>Ublituximab (</w:t>
            </w:r>
            <w:r>
              <w:rPr>
                <w:rFonts w:cs="Arial"/>
                <w:i/>
                <w:iCs/>
                <w:szCs w:val="19"/>
              </w:rPr>
              <w:t>Briumvi</w:t>
            </w:r>
            <w:r>
              <w:rPr>
                <w:rFonts w:cs="Arial"/>
                <w:szCs w:val="19"/>
              </w:rPr>
              <w:t>)</w:t>
            </w:r>
          </w:p>
          <w:p w14:paraId="45234CC4" w14:textId="77777777" w:rsidR="00903EE6" w:rsidRPr="00903EE6" w:rsidRDefault="00903EE6" w:rsidP="0016265D">
            <w:pPr>
              <w:rPr>
                <w:rFonts w:cs="Arial"/>
                <w:szCs w:val="19"/>
              </w:rPr>
            </w:pPr>
            <w:r w:rsidRPr="00903EE6">
              <w:rPr>
                <w:rFonts w:cs="Arial"/>
                <w:sz w:val="16"/>
                <w:szCs w:val="16"/>
              </w:rPr>
              <w:t>150mg in 6mL vial</w:t>
            </w:r>
          </w:p>
        </w:tc>
        <w:tc>
          <w:tcPr>
            <w:tcW w:w="3487" w:type="pct"/>
            <w:shd w:val="clear" w:color="auto" w:fill="auto"/>
            <w:tcMar>
              <w:top w:w="57" w:type="dxa"/>
              <w:left w:w="170" w:type="dxa"/>
              <w:bottom w:w="57" w:type="dxa"/>
              <w:right w:w="170" w:type="dxa"/>
            </w:tcMar>
          </w:tcPr>
          <w:p w14:paraId="7644E5C9" w14:textId="77777777" w:rsidR="00903EE6" w:rsidRPr="001A7324" w:rsidRDefault="00903EE6" w:rsidP="0016265D">
            <w:pPr>
              <w:tabs>
                <w:tab w:val="center" w:pos="3152"/>
              </w:tabs>
              <w:rPr>
                <w:rFonts w:cs="Arial"/>
                <w:color w:val="000000"/>
                <w:szCs w:val="19"/>
                <w:lang w:val="en-US"/>
              </w:rPr>
            </w:pPr>
            <w:r w:rsidRPr="00903EE6">
              <w:rPr>
                <w:rFonts w:cs="Arial"/>
                <w:color w:val="000000"/>
                <w:szCs w:val="19"/>
                <w:lang w:val="en-US"/>
              </w:rPr>
              <w:t>Treatment of adults with relapsing forms of multiple sclerosis with active disease defined by clinical or imaging features</w:t>
            </w:r>
          </w:p>
        </w:tc>
      </w:tr>
      <w:tr w:rsidR="00903EE6" w:rsidRPr="00862949" w14:paraId="604A3714" w14:textId="77777777" w:rsidTr="0016265D">
        <w:tc>
          <w:tcPr>
            <w:tcW w:w="5000" w:type="pct"/>
            <w:gridSpan w:val="2"/>
            <w:shd w:val="clear" w:color="auto" w:fill="auto"/>
            <w:tcMar>
              <w:top w:w="0" w:type="dxa"/>
              <w:bottom w:w="0" w:type="dxa"/>
            </w:tcMar>
          </w:tcPr>
          <w:p w14:paraId="73D8D402" w14:textId="77777777" w:rsidR="00903EE6" w:rsidRPr="00862949" w:rsidRDefault="00903EE6" w:rsidP="0016265D">
            <w:pPr>
              <w:rPr>
                <w:rFonts w:cs="Arial"/>
                <w:b/>
                <w:noProof/>
                <w:sz w:val="8"/>
                <w:szCs w:val="8"/>
              </w:rPr>
            </w:pPr>
          </w:p>
        </w:tc>
      </w:tr>
      <w:tr w:rsidR="00903EE6" w:rsidRPr="00862949" w14:paraId="38A0D934" w14:textId="77777777" w:rsidTr="0016265D">
        <w:tc>
          <w:tcPr>
            <w:tcW w:w="5000" w:type="pct"/>
            <w:gridSpan w:val="2"/>
            <w:shd w:val="clear" w:color="auto" w:fill="DAEEF3"/>
            <w:tcMar>
              <w:top w:w="0" w:type="dxa"/>
              <w:bottom w:w="0" w:type="dxa"/>
            </w:tcMar>
          </w:tcPr>
          <w:p w14:paraId="1A2FD8E7" w14:textId="77777777" w:rsidR="00903EE6" w:rsidRPr="00862949" w:rsidRDefault="00903EE6" w:rsidP="0016265D">
            <w:pPr>
              <w:rPr>
                <w:rFonts w:cs="Arial"/>
                <w:b/>
                <w:i/>
                <w:noProof/>
                <w:sz w:val="8"/>
                <w:szCs w:val="8"/>
              </w:rPr>
            </w:pPr>
          </w:p>
        </w:tc>
      </w:tr>
    </w:tbl>
    <w:p w14:paraId="239981A6" w14:textId="77777777" w:rsidR="00903EE6" w:rsidRDefault="00903EE6" w:rsidP="00EB3E6F">
      <w:pPr>
        <w:tabs>
          <w:tab w:val="left" w:pos="2087"/>
        </w:tabs>
      </w:pPr>
    </w:p>
    <w:p w14:paraId="127A996D" w14:textId="77777777" w:rsidR="00903EE6" w:rsidRDefault="00903EE6" w:rsidP="00EB3E6F">
      <w:pPr>
        <w:tabs>
          <w:tab w:val="left" w:pos="2087"/>
        </w:tabs>
      </w:pPr>
    </w:p>
    <w:p w14:paraId="7DCD1923" w14:textId="77777777" w:rsidR="003D2856" w:rsidRDefault="003D2856" w:rsidP="00EB3E6F">
      <w:pPr>
        <w:tabs>
          <w:tab w:val="left" w:pos="2087"/>
        </w:tabs>
      </w:pPr>
    </w:p>
    <w:tbl>
      <w:tblPr>
        <w:tblW w:w="5170" w:type="pct"/>
        <w:tblInd w:w="-176" w:type="dxa"/>
        <w:tblLayout w:type="fixed"/>
        <w:tblLook w:val="01E0" w:firstRow="1" w:lastRow="1" w:firstColumn="1" w:lastColumn="1" w:noHBand="0" w:noVBand="0"/>
      </w:tblPr>
      <w:tblGrid>
        <w:gridCol w:w="2431"/>
        <w:gridCol w:w="1148"/>
        <w:gridCol w:w="6972"/>
      </w:tblGrid>
      <w:tr w:rsidR="005A7E09" w:rsidRPr="00862949" w14:paraId="5243D4A5" w14:textId="77777777" w:rsidTr="005A7E09">
        <w:tc>
          <w:tcPr>
            <w:tcW w:w="5000" w:type="pct"/>
            <w:gridSpan w:val="3"/>
            <w:shd w:val="clear" w:color="auto" w:fill="0070C0"/>
            <w:tcMar>
              <w:top w:w="85" w:type="dxa"/>
              <w:bottom w:w="85" w:type="dxa"/>
            </w:tcMar>
            <w:vAlign w:val="bottom"/>
          </w:tcPr>
          <w:p w14:paraId="63BFDB10" w14:textId="77777777" w:rsidR="005A7E09" w:rsidRPr="00862949" w:rsidRDefault="005A7E09" w:rsidP="005A7E09">
            <w:pPr>
              <w:rPr>
                <w:rFonts w:cs="Arial"/>
                <w:color w:val="FFFFFF"/>
                <w:sz w:val="15"/>
                <w:szCs w:val="15"/>
              </w:rPr>
            </w:pPr>
            <w:r w:rsidRPr="00862949">
              <w:rPr>
                <w:rFonts w:cs="Arial"/>
                <w:b/>
                <w:bCs/>
                <w:iCs/>
                <w:color w:val="FFFFFF"/>
                <w:sz w:val="28"/>
                <w:szCs w:val="28"/>
                <w:lang w:val="en-US"/>
              </w:rPr>
              <w:t xml:space="preserve">Regulatory changes in the </w:t>
            </w:r>
            <w:r w:rsidR="00AA1F49">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5A7E09" w:rsidRPr="00862949" w14:paraId="643D303F" w14:textId="77777777" w:rsidTr="005A7E09">
        <w:tc>
          <w:tcPr>
            <w:tcW w:w="5000" w:type="pct"/>
            <w:gridSpan w:val="3"/>
            <w:shd w:val="clear" w:color="auto" w:fill="DAEEF3"/>
            <w:tcMar>
              <w:top w:w="0" w:type="dxa"/>
              <w:bottom w:w="0" w:type="dxa"/>
            </w:tcMar>
          </w:tcPr>
          <w:p w14:paraId="0F41A3FF" w14:textId="77777777" w:rsidR="005A7E09" w:rsidRPr="00862949" w:rsidRDefault="005A7E09" w:rsidP="005A7E09">
            <w:pPr>
              <w:rPr>
                <w:rFonts w:cs="Arial"/>
                <w:b/>
                <w:bCs/>
                <w:i/>
                <w:iCs/>
                <w:color w:val="000000"/>
                <w:sz w:val="8"/>
                <w:szCs w:val="8"/>
                <w:lang w:val="en-US"/>
              </w:rPr>
            </w:pPr>
          </w:p>
        </w:tc>
      </w:tr>
      <w:tr w:rsidR="005A7E09" w:rsidRPr="00862949" w14:paraId="7478838E" w14:textId="77777777" w:rsidTr="005A7E09">
        <w:tc>
          <w:tcPr>
            <w:tcW w:w="5000" w:type="pct"/>
            <w:gridSpan w:val="3"/>
            <w:shd w:val="clear" w:color="auto" w:fill="00B050"/>
            <w:tcMar>
              <w:top w:w="57" w:type="dxa"/>
              <w:bottom w:w="57" w:type="dxa"/>
            </w:tcMar>
          </w:tcPr>
          <w:p w14:paraId="1A70CD16" w14:textId="77777777" w:rsidR="005A7E09" w:rsidRPr="00433D3E" w:rsidRDefault="005A7E09" w:rsidP="00EB3E6F">
            <w:pPr>
              <w:rPr>
                <w:rFonts w:cs="Arial"/>
                <w:color w:val="FFFFFF"/>
                <w:sz w:val="20"/>
                <w:szCs w:val="20"/>
              </w:rPr>
            </w:pPr>
            <w:r w:rsidRPr="00433D3E">
              <w:rPr>
                <w:rFonts w:cs="Arial"/>
                <w:b/>
                <w:bCs/>
                <w:i/>
                <w:iCs/>
                <w:color w:val="FFFFFF"/>
                <w:sz w:val="22"/>
                <w:szCs w:val="20"/>
                <w:lang w:val="en-US"/>
              </w:rPr>
              <w:t xml:space="preserve">Approved in the </w:t>
            </w:r>
            <w:r w:rsidR="0048777D">
              <w:rPr>
                <w:rFonts w:cs="Arial"/>
                <w:b/>
                <w:bCs/>
                <w:i/>
                <w:iCs/>
                <w:color w:val="FFFFFF"/>
                <w:sz w:val="22"/>
                <w:szCs w:val="20"/>
                <w:lang w:val="en-US"/>
              </w:rPr>
              <w:t>UK</w:t>
            </w:r>
          </w:p>
        </w:tc>
      </w:tr>
      <w:tr w:rsidR="00247547" w14:paraId="0DB173B3" w14:textId="77777777" w:rsidTr="008626BD">
        <w:tc>
          <w:tcPr>
            <w:tcW w:w="1696" w:type="pct"/>
            <w:gridSpan w:val="2"/>
            <w:shd w:val="clear" w:color="auto" w:fill="auto"/>
            <w:tcMar>
              <w:top w:w="57" w:type="dxa"/>
              <w:bottom w:w="57" w:type="dxa"/>
            </w:tcMar>
          </w:tcPr>
          <w:p w14:paraId="4DC63716" w14:textId="77777777" w:rsidR="00DB6BA1" w:rsidRDefault="00996008" w:rsidP="007D01FD">
            <w:pPr>
              <w:rPr>
                <w:rFonts w:cs="Arial"/>
                <w:szCs w:val="19"/>
              </w:rPr>
            </w:pPr>
            <w:r w:rsidRPr="00996008">
              <w:rPr>
                <w:rFonts w:cs="Arial"/>
                <w:szCs w:val="19"/>
              </w:rPr>
              <w:t>Bimatoprost + timolol (</w:t>
            </w:r>
            <w:proofErr w:type="spellStart"/>
            <w:r w:rsidRPr="00996008">
              <w:rPr>
                <w:rFonts w:cs="Arial"/>
                <w:i/>
                <w:iCs/>
                <w:szCs w:val="19"/>
              </w:rPr>
              <w:t>Bimiduo</w:t>
            </w:r>
            <w:proofErr w:type="spellEnd"/>
            <w:r w:rsidRPr="00996008">
              <w:rPr>
                <w:rFonts w:cs="Arial"/>
                <w:szCs w:val="19"/>
              </w:rPr>
              <w:t>)</w:t>
            </w:r>
          </w:p>
          <w:p w14:paraId="4E5BD220" w14:textId="531C07F8" w:rsidR="00996008" w:rsidRPr="00DB6BA1" w:rsidRDefault="00996008" w:rsidP="007D01FD">
            <w:pPr>
              <w:rPr>
                <w:rFonts w:cs="Arial"/>
                <w:szCs w:val="19"/>
              </w:rPr>
            </w:pPr>
            <w:r w:rsidRPr="00996008">
              <w:rPr>
                <w:rFonts w:cs="Arial"/>
                <w:sz w:val="16"/>
                <w:szCs w:val="16"/>
              </w:rPr>
              <w:t>0.3mg/5mg in 1mL eye drops in 3mL and 9mL multi-dose bottles</w:t>
            </w:r>
          </w:p>
        </w:tc>
        <w:tc>
          <w:tcPr>
            <w:tcW w:w="3304" w:type="pct"/>
            <w:shd w:val="clear" w:color="auto" w:fill="auto"/>
            <w:tcMar>
              <w:top w:w="57" w:type="dxa"/>
              <w:bottom w:w="57" w:type="dxa"/>
            </w:tcMar>
          </w:tcPr>
          <w:p w14:paraId="3398F310" w14:textId="77890C27" w:rsidR="00247547" w:rsidRPr="002B10C1" w:rsidRDefault="00996008" w:rsidP="007D01FD">
            <w:pPr>
              <w:tabs>
                <w:tab w:val="center" w:pos="3152"/>
              </w:tabs>
              <w:rPr>
                <w:rFonts w:cs="Arial"/>
                <w:szCs w:val="19"/>
                <w:lang w:val="en-US"/>
              </w:rPr>
            </w:pPr>
            <w:r w:rsidRPr="00996008">
              <w:rPr>
                <w:rFonts w:cs="Arial"/>
                <w:szCs w:val="19"/>
                <w:lang w:val="en-US"/>
              </w:rPr>
              <w:t>Reduction of intraocular pressure in adults with open-angle glaucoma or ocular hypertension who are insufficiently responsive to topical beta-blockers or prostaglandin analogues</w:t>
            </w:r>
            <w:r>
              <w:rPr>
                <w:rFonts w:cs="Arial"/>
                <w:szCs w:val="19"/>
                <w:lang w:val="en-US"/>
              </w:rPr>
              <w:t xml:space="preserve"> </w:t>
            </w:r>
            <w:r w:rsidRPr="00996008">
              <w:rPr>
                <w:rFonts w:cs="Arial"/>
                <w:sz w:val="16"/>
                <w:szCs w:val="16"/>
                <w:lang w:val="en-US"/>
              </w:rPr>
              <w:t>[new formulation]</w:t>
            </w:r>
          </w:p>
        </w:tc>
      </w:tr>
      <w:tr w:rsidR="00996008" w14:paraId="59111190" w14:textId="77777777" w:rsidTr="008626BD">
        <w:tc>
          <w:tcPr>
            <w:tcW w:w="1696" w:type="pct"/>
            <w:gridSpan w:val="2"/>
            <w:shd w:val="clear" w:color="auto" w:fill="auto"/>
            <w:tcMar>
              <w:top w:w="57" w:type="dxa"/>
              <w:bottom w:w="57" w:type="dxa"/>
            </w:tcMar>
          </w:tcPr>
          <w:p w14:paraId="53A57321" w14:textId="77777777" w:rsidR="00996008" w:rsidRDefault="00996008" w:rsidP="00996008">
            <w:pPr>
              <w:rPr>
                <w:rFonts w:cs="Arial"/>
                <w:szCs w:val="19"/>
              </w:rPr>
            </w:pPr>
            <w:r w:rsidRPr="00DB6BA1">
              <w:rPr>
                <w:rFonts w:cs="Arial"/>
                <w:szCs w:val="19"/>
              </w:rPr>
              <w:t>COVID-19 vaccine (recombinant, adjuvanted)</w:t>
            </w:r>
            <w:r>
              <w:rPr>
                <w:rFonts w:cs="Arial"/>
                <w:szCs w:val="19"/>
              </w:rPr>
              <w:t xml:space="preserve"> (</w:t>
            </w:r>
            <w:r w:rsidRPr="00DB6BA1">
              <w:rPr>
                <w:rFonts w:cs="Arial"/>
                <w:i/>
                <w:iCs/>
                <w:szCs w:val="19"/>
              </w:rPr>
              <w:t>Nuvaxovid JN.1</w:t>
            </w:r>
            <w:r>
              <w:rPr>
                <w:rFonts w:cs="Arial"/>
                <w:szCs w:val="19"/>
              </w:rPr>
              <w:t>)</w:t>
            </w:r>
          </w:p>
          <w:p w14:paraId="6BB0470F" w14:textId="0D3E8E7C" w:rsidR="00996008" w:rsidRPr="002B10C1" w:rsidRDefault="00996008" w:rsidP="00996008">
            <w:pPr>
              <w:rPr>
                <w:rFonts w:cs="Arial"/>
                <w:szCs w:val="19"/>
              </w:rPr>
            </w:pPr>
            <w:r w:rsidRPr="00DB6BA1">
              <w:rPr>
                <w:rFonts w:cs="Arial"/>
                <w:sz w:val="16"/>
                <w:szCs w:val="16"/>
              </w:rPr>
              <w:t>Single-dose vial</w:t>
            </w:r>
          </w:p>
        </w:tc>
        <w:tc>
          <w:tcPr>
            <w:tcW w:w="3304" w:type="pct"/>
            <w:shd w:val="clear" w:color="auto" w:fill="auto"/>
            <w:tcMar>
              <w:top w:w="57" w:type="dxa"/>
              <w:bottom w:w="57" w:type="dxa"/>
            </w:tcMar>
          </w:tcPr>
          <w:p w14:paraId="64A2EAA8" w14:textId="33ECE830" w:rsidR="00996008" w:rsidRDefault="00996008" w:rsidP="00996008">
            <w:pPr>
              <w:tabs>
                <w:tab w:val="center" w:pos="3152"/>
              </w:tabs>
              <w:rPr>
                <w:rFonts w:cs="Arial"/>
                <w:sz w:val="18"/>
                <w:szCs w:val="18"/>
                <w:lang w:val="en-US"/>
              </w:rPr>
            </w:pPr>
            <w:r w:rsidRPr="00DB6BA1">
              <w:rPr>
                <w:rFonts w:cs="Arial"/>
                <w:szCs w:val="19"/>
                <w:lang w:val="en-US"/>
              </w:rPr>
              <w:t xml:space="preserve">Active </w:t>
            </w:r>
            <w:proofErr w:type="spellStart"/>
            <w:r w:rsidRPr="00DB6BA1">
              <w:rPr>
                <w:rFonts w:cs="Arial"/>
                <w:szCs w:val="19"/>
                <w:lang w:val="en-US"/>
              </w:rPr>
              <w:t>immunisation</w:t>
            </w:r>
            <w:proofErr w:type="spellEnd"/>
            <w:r w:rsidRPr="00DB6BA1">
              <w:rPr>
                <w:rFonts w:cs="Arial"/>
                <w:szCs w:val="19"/>
                <w:lang w:val="en-US"/>
              </w:rPr>
              <w:t xml:space="preserve"> to prevent COVID-19 caused by SARS-CoV-2 in individuals </w:t>
            </w:r>
            <w:r>
              <w:rPr>
                <w:rFonts w:cs="Arial"/>
                <w:szCs w:val="19"/>
                <w:lang w:val="en-US"/>
              </w:rPr>
              <w:t>aged ≥</w:t>
            </w:r>
            <w:r w:rsidRPr="00DB6BA1">
              <w:rPr>
                <w:rFonts w:cs="Arial"/>
                <w:szCs w:val="19"/>
                <w:lang w:val="en-US"/>
              </w:rPr>
              <w:t>12 years</w:t>
            </w:r>
          </w:p>
        </w:tc>
      </w:tr>
      <w:tr w:rsidR="00FB3FD9" w14:paraId="16CE73BD" w14:textId="77777777" w:rsidTr="008626BD">
        <w:tc>
          <w:tcPr>
            <w:tcW w:w="1696" w:type="pct"/>
            <w:gridSpan w:val="2"/>
            <w:shd w:val="clear" w:color="auto" w:fill="auto"/>
            <w:tcMar>
              <w:top w:w="57" w:type="dxa"/>
              <w:bottom w:w="57" w:type="dxa"/>
            </w:tcMar>
          </w:tcPr>
          <w:p w14:paraId="41043915" w14:textId="77777777" w:rsidR="00FB3FD9" w:rsidRDefault="00FB3FD9" w:rsidP="00FB3FD9">
            <w:pPr>
              <w:rPr>
                <w:rFonts w:cs="Arial"/>
                <w:szCs w:val="19"/>
              </w:rPr>
            </w:pPr>
            <w:r w:rsidRPr="003368D5">
              <w:rPr>
                <w:rFonts w:cs="Arial"/>
                <w:szCs w:val="19"/>
              </w:rPr>
              <w:t>Denosumab biosimilar (</w:t>
            </w:r>
            <w:proofErr w:type="spellStart"/>
            <w:r w:rsidRPr="003368D5">
              <w:rPr>
                <w:rFonts w:cs="Arial"/>
                <w:i/>
                <w:iCs/>
                <w:szCs w:val="19"/>
              </w:rPr>
              <w:t>Jubbonti</w:t>
            </w:r>
            <w:proofErr w:type="spellEnd"/>
            <w:r w:rsidRPr="003368D5">
              <w:rPr>
                <w:rFonts w:cs="Arial"/>
                <w:szCs w:val="19"/>
              </w:rPr>
              <w:t>) </w:t>
            </w:r>
          </w:p>
          <w:p w14:paraId="4CAB92C6" w14:textId="6FF98E29" w:rsidR="00FB3FD9" w:rsidRPr="00503D73" w:rsidRDefault="00FB3FD9" w:rsidP="00FB3FD9">
            <w:pPr>
              <w:rPr>
                <w:rFonts w:cs="Arial"/>
                <w:szCs w:val="19"/>
              </w:rPr>
            </w:pPr>
            <w:r w:rsidRPr="00FB3FD9">
              <w:rPr>
                <w:rFonts w:cs="Arial"/>
                <w:sz w:val="16"/>
                <w:szCs w:val="16"/>
              </w:rPr>
              <w:t>60mg in 1mL prefilled syringe</w:t>
            </w:r>
          </w:p>
        </w:tc>
        <w:tc>
          <w:tcPr>
            <w:tcW w:w="3304" w:type="pct"/>
            <w:shd w:val="clear" w:color="auto" w:fill="auto"/>
            <w:tcMar>
              <w:top w:w="57" w:type="dxa"/>
              <w:bottom w:w="57" w:type="dxa"/>
            </w:tcMar>
          </w:tcPr>
          <w:p w14:paraId="6D2A9CCE" w14:textId="148CE21F" w:rsidR="00FB3FD9" w:rsidRPr="00503D73" w:rsidRDefault="00FB3FD9" w:rsidP="00FB3FD9">
            <w:pPr>
              <w:tabs>
                <w:tab w:val="center" w:pos="3152"/>
              </w:tabs>
              <w:rPr>
                <w:rFonts w:cs="Arial"/>
                <w:szCs w:val="19"/>
                <w:lang w:val="en-US"/>
              </w:rPr>
            </w:pPr>
            <w:r w:rsidRPr="003368D5">
              <w:rPr>
                <w:rFonts w:cs="Arial"/>
                <w:szCs w:val="19"/>
                <w:lang w:val="en-US"/>
              </w:rPr>
              <w:t>Treatment of osteoporosis in postmenopausal women and in men at increased risk of fractures. In postmenopausal women denosumab significantly reduces the risk of vertebral, non-vertebral and hip fractures. Treatment of bone loss associated with hormone ablation in men with prostate cancer at increased risk of fractures. In men with prostate cancer receiving hormone ablation, denosumab significantly reduces the risk of vertebral fractures. Treatment of bone loss associated with long-term systemic glucocorticoid therapy in adult patients at increased risk of fracture</w:t>
            </w:r>
            <w:r>
              <w:rPr>
                <w:rFonts w:cs="Arial"/>
                <w:szCs w:val="19"/>
                <w:lang w:val="en-US"/>
              </w:rPr>
              <w:t>.</w:t>
            </w:r>
          </w:p>
        </w:tc>
      </w:tr>
      <w:tr w:rsidR="00FB3FD9" w14:paraId="1751BDB8" w14:textId="77777777" w:rsidTr="008626BD">
        <w:tc>
          <w:tcPr>
            <w:tcW w:w="1696" w:type="pct"/>
            <w:gridSpan w:val="2"/>
            <w:shd w:val="clear" w:color="auto" w:fill="auto"/>
            <w:tcMar>
              <w:top w:w="57" w:type="dxa"/>
              <w:bottom w:w="57" w:type="dxa"/>
            </w:tcMar>
          </w:tcPr>
          <w:p w14:paraId="63AE1B60" w14:textId="77777777" w:rsidR="00FB3FD9" w:rsidRDefault="00FB3FD9" w:rsidP="00FB3FD9">
            <w:pPr>
              <w:rPr>
                <w:rFonts w:cs="Arial"/>
                <w:szCs w:val="19"/>
              </w:rPr>
            </w:pPr>
            <w:r w:rsidRPr="003368D5">
              <w:rPr>
                <w:rFonts w:cs="Arial"/>
                <w:szCs w:val="19"/>
              </w:rPr>
              <w:t>Denosumab biosimilar</w:t>
            </w:r>
            <w:r>
              <w:rPr>
                <w:rFonts w:cs="Arial"/>
                <w:szCs w:val="19"/>
              </w:rPr>
              <w:t xml:space="preserve"> (</w:t>
            </w:r>
            <w:proofErr w:type="spellStart"/>
            <w:r>
              <w:rPr>
                <w:rFonts w:cs="Arial"/>
                <w:i/>
                <w:iCs/>
                <w:szCs w:val="19"/>
              </w:rPr>
              <w:t>Wyost</w:t>
            </w:r>
            <w:proofErr w:type="spellEnd"/>
            <w:r>
              <w:rPr>
                <w:rFonts w:cs="Arial"/>
                <w:szCs w:val="19"/>
              </w:rPr>
              <w:t>)</w:t>
            </w:r>
          </w:p>
          <w:p w14:paraId="76DDCFD2" w14:textId="2E1CEED6" w:rsidR="00FB3FD9" w:rsidRPr="003368D5" w:rsidRDefault="00FB3FD9" w:rsidP="00FB3FD9">
            <w:pPr>
              <w:rPr>
                <w:rFonts w:cs="Arial"/>
                <w:szCs w:val="19"/>
              </w:rPr>
            </w:pPr>
            <w:r w:rsidRPr="00FB3FD9">
              <w:rPr>
                <w:rFonts w:cs="Arial"/>
                <w:sz w:val="16"/>
                <w:szCs w:val="16"/>
              </w:rPr>
              <w:t>120mg in 1.7mL vial</w:t>
            </w:r>
          </w:p>
        </w:tc>
        <w:tc>
          <w:tcPr>
            <w:tcW w:w="3304" w:type="pct"/>
            <w:shd w:val="clear" w:color="auto" w:fill="auto"/>
            <w:tcMar>
              <w:top w:w="57" w:type="dxa"/>
              <w:bottom w:w="57" w:type="dxa"/>
            </w:tcMar>
          </w:tcPr>
          <w:p w14:paraId="367A9277" w14:textId="556328ED" w:rsidR="00FB3FD9" w:rsidRPr="003368D5" w:rsidRDefault="00FB3FD9" w:rsidP="00FB3FD9">
            <w:pPr>
              <w:tabs>
                <w:tab w:val="center" w:pos="3152"/>
              </w:tabs>
              <w:rPr>
                <w:rFonts w:cs="Arial"/>
                <w:szCs w:val="19"/>
                <w:lang w:val="en-US"/>
              </w:rPr>
            </w:pPr>
            <w:r w:rsidRPr="005C2B03">
              <w:rPr>
                <w:rFonts w:cs="Arial"/>
                <w:szCs w:val="19"/>
                <w:lang w:val="en-US"/>
              </w:rPr>
              <w:t xml:space="preserve">Prevention of skeletal related events (pathological fracture, radiation to bone, spinal cord compression or surgery to bone) in adults with advanced malignancies involving bone. </w:t>
            </w:r>
            <w:proofErr w:type="gramStart"/>
            <w:r>
              <w:rPr>
                <w:rFonts w:cs="Arial"/>
                <w:szCs w:val="19"/>
                <w:lang w:val="en-US"/>
              </w:rPr>
              <w:t>Also</w:t>
            </w:r>
            <w:proofErr w:type="gramEnd"/>
            <w:r>
              <w:rPr>
                <w:rFonts w:cs="Arial"/>
                <w:szCs w:val="19"/>
                <w:lang w:val="en-US"/>
              </w:rPr>
              <w:t xml:space="preserve"> t</w:t>
            </w:r>
            <w:r w:rsidRPr="005C2B03">
              <w:rPr>
                <w:rFonts w:cs="Arial"/>
                <w:szCs w:val="19"/>
                <w:lang w:val="en-US"/>
              </w:rPr>
              <w:t>reatment of adults and skeletally mature adolescents with giant cell tumour of bone that is unresectable or where surgical resection is likely to result in severe morbidity</w:t>
            </w:r>
            <w:r>
              <w:rPr>
                <w:rFonts w:cs="Arial"/>
                <w:szCs w:val="19"/>
                <w:lang w:val="en-US"/>
              </w:rPr>
              <w:t>.</w:t>
            </w:r>
          </w:p>
        </w:tc>
      </w:tr>
      <w:tr w:rsidR="00FB3FD9" w14:paraId="24D1F78E" w14:textId="77777777" w:rsidTr="008626BD">
        <w:tc>
          <w:tcPr>
            <w:tcW w:w="1696" w:type="pct"/>
            <w:gridSpan w:val="2"/>
            <w:shd w:val="clear" w:color="auto" w:fill="auto"/>
            <w:tcMar>
              <w:top w:w="57" w:type="dxa"/>
              <w:bottom w:w="57" w:type="dxa"/>
            </w:tcMar>
          </w:tcPr>
          <w:p w14:paraId="4A137A72" w14:textId="77777777" w:rsidR="00FB3FD9" w:rsidRDefault="00FB3FD9" w:rsidP="00FB3FD9">
            <w:pPr>
              <w:rPr>
                <w:rFonts w:cs="Arial"/>
                <w:szCs w:val="19"/>
              </w:rPr>
            </w:pPr>
            <w:proofErr w:type="spellStart"/>
            <w:r w:rsidRPr="00503D73">
              <w:rPr>
                <w:rFonts w:cs="Arial"/>
                <w:szCs w:val="19"/>
              </w:rPr>
              <w:t>Inebilizumab</w:t>
            </w:r>
            <w:proofErr w:type="spellEnd"/>
            <w:r>
              <w:rPr>
                <w:rFonts w:cs="Arial"/>
                <w:szCs w:val="19"/>
              </w:rPr>
              <w:t xml:space="preserve"> (</w:t>
            </w:r>
            <w:proofErr w:type="spellStart"/>
            <w:r>
              <w:rPr>
                <w:rFonts w:cs="Arial"/>
                <w:i/>
                <w:iCs/>
                <w:szCs w:val="19"/>
              </w:rPr>
              <w:t>Uplizna</w:t>
            </w:r>
            <w:proofErr w:type="spellEnd"/>
            <w:r>
              <w:rPr>
                <w:rFonts w:cs="Arial"/>
                <w:szCs w:val="19"/>
              </w:rPr>
              <w:t>)</w:t>
            </w:r>
          </w:p>
          <w:p w14:paraId="7EDB95AE" w14:textId="277668E7" w:rsidR="00FB3FD9" w:rsidRPr="00503D73" w:rsidRDefault="00FB3FD9" w:rsidP="00FB3FD9">
            <w:pPr>
              <w:rPr>
                <w:rFonts w:cs="Arial"/>
                <w:szCs w:val="19"/>
              </w:rPr>
            </w:pPr>
            <w:r w:rsidRPr="00503D73">
              <w:rPr>
                <w:rFonts w:cs="Arial"/>
                <w:sz w:val="16"/>
                <w:szCs w:val="16"/>
              </w:rPr>
              <w:t>100mg in 10mL vial</w:t>
            </w:r>
          </w:p>
        </w:tc>
        <w:tc>
          <w:tcPr>
            <w:tcW w:w="3304" w:type="pct"/>
            <w:shd w:val="clear" w:color="auto" w:fill="auto"/>
            <w:tcMar>
              <w:top w:w="57" w:type="dxa"/>
              <w:bottom w:w="57" w:type="dxa"/>
            </w:tcMar>
          </w:tcPr>
          <w:p w14:paraId="490A2248" w14:textId="19F85419" w:rsidR="00FB3FD9" w:rsidRPr="00A075A3" w:rsidRDefault="00FB3FD9" w:rsidP="00FB3FD9">
            <w:pPr>
              <w:tabs>
                <w:tab w:val="center" w:pos="3152"/>
              </w:tabs>
              <w:rPr>
                <w:rFonts w:cs="Arial"/>
                <w:szCs w:val="19"/>
                <w:lang w:val="en-US"/>
              </w:rPr>
            </w:pPr>
            <w:r w:rsidRPr="00503D73">
              <w:rPr>
                <w:rFonts w:cs="Arial"/>
                <w:szCs w:val="19"/>
                <w:lang w:val="en-US"/>
              </w:rPr>
              <w:t>Use as monotherapy for the treatment of adults with neuromyelitis optica spectrum disorders who are anti-aquaporin-4 immunoglobulin G seropositive</w:t>
            </w:r>
          </w:p>
        </w:tc>
      </w:tr>
      <w:tr w:rsidR="00FB3FD9" w14:paraId="4E407824" w14:textId="77777777" w:rsidTr="008626BD">
        <w:tc>
          <w:tcPr>
            <w:tcW w:w="1696" w:type="pct"/>
            <w:gridSpan w:val="2"/>
            <w:shd w:val="clear" w:color="auto" w:fill="auto"/>
            <w:tcMar>
              <w:top w:w="57" w:type="dxa"/>
              <w:bottom w:w="57" w:type="dxa"/>
            </w:tcMar>
          </w:tcPr>
          <w:p w14:paraId="2CDDEA38" w14:textId="77777777" w:rsidR="00FB3FD9" w:rsidRDefault="00FB3FD9" w:rsidP="00FB3FD9">
            <w:pPr>
              <w:rPr>
                <w:rFonts w:cs="Arial"/>
                <w:szCs w:val="19"/>
              </w:rPr>
            </w:pPr>
            <w:r>
              <w:rPr>
                <w:rFonts w:cs="Arial"/>
                <w:szCs w:val="19"/>
              </w:rPr>
              <w:t>Liothyronin</w:t>
            </w:r>
            <w:r w:rsidRPr="007A24A6">
              <w:rPr>
                <w:rFonts w:cs="Arial"/>
                <w:szCs w:val="19"/>
              </w:rPr>
              <w:t xml:space="preserve">e </w:t>
            </w:r>
          </w:p>
          <w:p w14:paraId="7DEB46D6" w14:textId="525F4B70" w:rsidR="00FB3FD9" w:rsidRDefault="00FB3FD9" w:rsidP="00FB3FD9">
            <w:pPr>
              <w:rPr>
                <w:rFonts w:cs="Arial"/>
                <w:szCs w:val="19"/>
              </w:rPr>
            </w:pPr>
            <w:r w:rsidRPr="007A24A6">
              <w:rPr>
                <w:rFonts w:cs="Arial"/>
                <w:szCs w:val="19"/>
              </w:rPr>
              <w:t>(</w:t>
            </w:r>
            <w:r w:rsidRPr="007A24A6">
              <w:rPr>
                <w:rFonts w:cs="Arial"/>
                <w:i/>
                <w:iCs/>
                <w:szCs w:val="19"/>
              </w:rPr>
              <w:t>Enolio/Liothyronine Sodium Alturix</w:t>
            </w:r>
            <w:r w:rsidRPr="007A24A6">
              <w:rPr>
                <w:rFonts w:cs="Arial"/>
                <w:szCs w:val="19"/>
              </w:rPr>
              <w:t>)</w:t>
            </w:r>
            <w:r>
              <w:rPr>
                <w:rFonts w:cs="Arial"/>
                <w:szCs w:val="19"/>
              </w:rPr>
              <w:t xml:space="preserve"> </w:t>
            </w:r>
          </w:p>
          <w:p w14:paraId="2612BC6F" w14:textId="5802C924" w:rsidR="00FB3FD9" w:rsidRPr="009B4F9E" w:rsidRDefault="00FB3FD9" w:rsidP="00FB3FD9">
            <w:pPr>
              <w:rPr>
                <w:rFonts w:cs="Arial"/>
                <w:szCs w:val="19"/>
              </w:rPr>
            </w:pPr>
            <w:r w:rsidRPr="007A24A6">
              <w:rPr>
                <w:rFonts w:cs="Arial"/>
                <w:sz w:val="16"/>
                <w:szCs w:val="16"/>
              </w:rPr>
              <w:t>10micrograms/m</w:t>
            </w:r>
            <w:r>
              <w:rPr>
                <w:rFonts w:cs="Arial"/>
                <w:sz w:val="16"/>
                <w:szCs w:val="16"/>
              </w:rPr>
              <w:t>L</w:t>
            </w:r>
            <w:r w:rsidRPr="007A24A6">
              <w:rPr>
                <w:rFonts w:cs="Arial"/>
                <w:sz w:val="16"/>
                <w:szCs w:val="16"/>
              </w:rPr>
              <w:t xml:space="preserve"> oral solution</w:t>
            </w:r>
          </w:p>
        </w:tc>
        <w:tc>
          <w:tcPr>
            <w:tcW w:w="3304" w:type="pct"/>
            <w:shd w:val="clear" w:color="auto" w:fill="auto"/>
            <w:tcMar>
              <w:top w:w="57" w:type="dxa"/>
              <w:bottom w:w="57" w:type="dxa"/>
            </w:tcMar>
          </w:tcPr>
          <w:p w14:paraId="37D3AA7E" w14:textId="45B443FA" w:rsidR="00FB3FD9" w:rsidRPr="00A075A3" w:rsidRDefault="00FB3FD9" w:rsidP="00FB3FD9">
            <w:pPr>
              <w:tabs>
                <w:tab w:val="num" w:pos="720"/>
                <w:tab w:val="center" w:pos="3152"/>
              </w:tabs>
              <w:rPr>
                <w:rFonts w:cs="Arial"/>
                <w:szCs w:val="19"/>
                <w:lang w:val="en-US"/>
              </w:rPr>
            </w:pPr>
            <w:r w:rsidRPr="007A24A6">
              <w:rPr>
                <w:rFonts w:cs="Arial"/>
                <w:szCs w:val="19"/>
                <w:lang w:val="en-US"/>
              </w:rPr>
              <w:t xml:space="preserve">Use in adults and children for the treatment of coma of </w:t>
            </w:r>
            <w:proofErr w:type="spellStart"/>
            <w:r w:rsidRPr="007A24A6">
              <w:rPr>
                <w:rFonts w:cs="Arial"/>
                <w:szCs w:val="19"/>
                <w:lang w:val="en-US"/>
              </w:rPr>
              <w:t>myxoedema</w:t>
            </w:r>
            <w:proofErr w:type="spellEnd"/>
            <w:r w:rsidRPr="007A24A6">
              <w:rPr>
                <w:rFonts w:cs="Arial"/>
                <w:szCs w:val="19"/>
                <w:lang w:val="en-US"/>
              </w:rPr>
              <w:t>, the management of severe chronic thyroid deficiency and hypothyroid states occurring in the treatment of thyrotoxicosis, and for the treatment of thyrotoxicosis as an adjunct to carbimazole to prevent sub-clinical hypothyroidism developing during treatment</w:t>
            </w:r>
            <w:r>
              <w:rPr>
                <w:rFonts w:cs="Arial"/>
                <w:szCs w:val="19"/>
                <w:lang w:val="en-US"/>
              </w:rPr>
              <w:t xml:space="preserve"> </w:t>
            </w:r>
            <w:r w:rsidRPr="007A24A6">
              <w:rPr>
                <w:rFonts w:cs="Arial"/>
                <w:sz w:val="16"/>
                <w:szCs w:val="16"/>
                <w:lang w:val="en-US"/>
              </w:rPr>
              <w:t>[new oral solution formulation]</w:t>
            </w:r>
          </w:p>
        </w:tc>
      </w:tr>
      <w:tr w:rsidR="00FB3FD9" w14:paraId="47A84A8B" w14:textId="77777777" w:rsidTr="008626BD">
        <w:tc>
          <w:tcPr>
            <w:tcW w:w="1696" w:type="pct"/>
            <w:gridSpan w:val="2"/>
            <w:shd w:val="clear" w:color="auto" w:fill="auto"/>
            <w:tcMar>
              <w:top w:w="57" w:type="dxa"/>
              <w:bottom w:w="57" w:type="dxa"/>
            </w:tcMar>
          </w:tcPr>
          <w:p w14:paraId="2D9792F3" w14:textId="77777777" w:rsidR="00FB3FD9" w:rsidRDefault="00FB3FD9" w:rsidP="00FB3FD9">
            <w:pPr>
              <w:rPr>
                <w:rFonts w:cs="Arial"/>
                <w:szCs w:val="19"/>
              </w:rPr>
            </w:pPr>
            <w:r>
              <w:rPr>
                <w:rFonts w:cs="Arial"/>
                <w:szCs w:val="19"/>
              </w:rPr>
              <w:t>Liraglutide biosimilar (</w:t>
            </w:r>
            <w:proofErr w:type="spellStart"/>
            <w:r>
              <w:rPr>
                <w:rFonts w:cs="Arial"/>
                <w:i/>
                <w:iCs/>
                <w:szCs w:val="19"/>
              </w:rPr>
              <w:t>Biolide</w:t>
            </w:r>
            <w:proofErr w:type="spellEnd"/>
            <w:r>
              <w:rPr>
                <w:rFonts w:cs="Arial"/>
                <w:szCs w:val="19"/>
              </w:rPr>
              <w:t>)</w:t>
            </w:r>
          </w:p>
          <w:p w14:paraId="073D7696" w14:textId="2AED4461" w:rsidR="00FB3FD9" w:rsidRPr="00855C46" w:rsidRDefault="00FB3FD9" w:rsidP="00FB3FD9">
            <w:pPr>
              <w:rPr>
                <w:rFonts w:cs="Arial"/>
                <w:szCs w:val="19"/>
              </w:rPr>
            </w:pPr>
            <w:r w:rsidRPr="001F58A0">
              <w:rPr>
                <w:rFonts w:cs="Arial"/>
                <w:sz w:val="16"/>
                <w:szCs w:val="16"/>
              </w:rPr>
              <w:t>18mg in 3mL prefilled pen</w:t>
            </w:r>
          </w:p>
        </w:tc>
        <w:tc>
          <w:tcPr>
            <w:tcW w:w="3304" w:type="pct"/>
            <w:shd w:val="clear" w:color="auto" w:fill="auto"/>
            <w:tcMar>
              <w:top w:w="57" w:type="dxa"/>
              <w:bottom w:w="57" w:type="dxa"/>
            </w:tcMar>
          </w:tcPr>
          <w:p w14:paraId="5BFB02D3" w14:textId="1CA2F44B" w:rsidR="00FB3FD9" w:rsidRPr="001F58A0" w:rsidRDefault="00FB3FD9" w:rsidP="00FB3FD9">
            <w:pPr>
              <w:tabs>
                <w:tab w:val="center" w:pos="3152"/>
              </w:tabs>
              <w:rPr>
                <w:rFonts w:cs="Arial"/>
                <w:color w:val="000000"/>
                <w:szCs w:val="19"/>
                <w:lang w:val="en-US"/>
              </w:rPr>
            </w:pPr>
            <w:r>
              <w:rPr>
                <w:rFonts w:cs="Arial"/>
                <w:color w:val="000000"/>
                <w:szCs w:val="19"/>
                <w:lang w:val="en-US"/>
              </w:rPr>
              <w:t xml:space="preserve">Use </w:t>
            </w:r>
            <w:r w:rsidRPr="00855C46">
              <w:rPr>
                <w:rFonts w:cs="Arial"/>
                <w:color w:val="000000"/>
                <w:szCs w:val="19"/>
                <w:lang w:val="en-US"/>
              </w:rPr>
              <w:t xml:space="preserve">as an adjunct to a reduced-calorie diet and increased physical activity for weight management in adults with an initial </w:t>
            </w:r>
            <w:r>
              <w:rPr>
                <w:rFonts w:cs="Arial"/>
                <w:color w:val="000000"/>
                <w:szCs w:val="19"/>
                <w:lang w:val="en-US"/>
              </w:rPr>
              <w:t>b</w:t>
            </w:r>
            <w:r w:rsidRPr="00855C46">
              <w:rPr>
                <w:rFonts w:cs="Arial"/>
                <w:color w:val="000000"/>
                <w:szCs w:val="19"/>
                <w:lang w:val="en-US"/>
              </w:rPr>
              <w:t xml:space="preserve">ody </w:t>
            </w:r>
            <w:r>
              <w:rPr>
                <w:rFonts w:cs="Arial"/>
                <w:color w:val="000000"/>
                <w:szCs w:val="19"/>
                <w:lang w:val="en-US"/>
              </w:rPr>
              <w:t>m</w:t>
            </w:r>
            <w:r w:rsidRPr="00855C46">
              <w:rPr>
                <w:rFonts w:cs="Arial"/>
                <w:color w:val="000000"/>
                <w:szCs w:val="19"/>
                <w:lang w:val="en-US"/>
              </w:rPr>
              <w:t xml:space="preserve">ass </w:t>
            </w:r>
            <w:r>
              <w:rPr>
                <w:rFonts w:cs="Arial"/>
                <w:color w:val="000000"/>
                <w:szCs w:val="19"/>
                <w:lang w:val="en-US"/>
              </w:rPr>
              <w:t>i</w:t>
            </w:r>
            <w:r w:rsidRPr="00855C46">
              <w:rPr>
                <w:rFonts w:cs="Arial"/>
                <w:color w:val="000000"/>
                <w:szCs w:val="19"/>
                <w:lang w:val="en-US"/>
              </w:rPr>
              <w:t xml:space="preserve">ndex (BMI) of ≥30kg/m² (obesity), or ≥27kg/m² to &lt;30kg/m² (overweight) in the presence of at least one weight-related comorbidity such as </w:t>
            </w:r>
            <w:proofErr w:type="spellStart"/>
            <w:r w:rsidRPr="00855C46">
              <w:rPr>
                <w:rFonts w:cs="Arial"/>
                <w:color w:val="000000"/>
                <w:szCs w:val="19"/>
                <w:lang w:val="en-US"/>
              </w:rPr>
              <w:t>dysglycaemia</w:t>
            </w:r>
            <w:proofErr w:type="spellEnd"/>
            <w:r w:rsidRPr="00855C46">
              <w:rPr>
                <w:rFonts w:cs="Arial"/>
                <w:color w:val="000000"/>
                <w:szCs w:val="19"/>
                <w:lang w:val="en-US"/>
              </w:rPr>
              <w:t xml:space="preserve"> (pre-diabetes or type 2 diabetes mellitus), hypertension, </w:t>
            </w:r>
            <w:proofErr w:type="gramStart"/>
            <w:r w:rsidRPr="00855C46">
              <w:rPr>
                <w:rFonts w:cs="Arial"/>
                <w:color w:val="000000"/>
                <w:szCs w:val="19"/>
                <w:lang w:val="en-US"/>
              </w:rPr>
              <w:t>dyslipidaemia</w:t>
            </w:r>
            <w:proofErr w:type="gramEnd"/>
            <w:r w:rsidRPr="00855C46">
              <w:rPr>
                <w:rFonts w:cs="Arial"/>
                <w:color w:val="000000"/>
                <w:szCs w:val="19"/>
                <w:lang w:val="en-US"/>
              </w:rPr>
              <w:t xml:space="preserve"> or obstructive sleep apnoea. And, use as an adjunct to a healthy nutrition and increased physical activity for weight management in adolescent patients age</w:t>
            </w:r>
            <w:r>
              <w:rPr>
                <w:rFonts w:cs="Arial"/>
                <w:color w:val="000000"/>
                <w:szCs w:val="19"/>
                <w:lang w:val="en-US"/>
              </w:rPr>
              <w:t>d</w:t>
            </w:r>
            <w:r w:rsidRPr="00855C46">
              <w:rPr>
                <w:rFonts w:cs="Arial"/>
                <w:color w:val="000000"/>
                <w:szCs w:val="19"/>
                <w:lang w:val="en-US"/>
              </w:rPr>
              <w:t xml:space="preserve"> </w:t>
            </w:r>
            <w:r>
              <w:rPr>
                <w:rFonts w:cs="Arial"/>
                <w:color w:val="000000"/>
                <w:szCs w:val="19"/>
                <w:lang w:val="en-US"/>
              </w:rPr>
              <w:t>≥</w:t>
            </w:r>
            <w:r w:rsidRPr="00855C46">
              <w:rPr>
                <w:rFonts w:cs="Arial"/>
                <w:color w:val="000000"/>
                <w:szCs w:val="19"/>
                <w:lang w:val="en-US"/>
              </w:rPr>
              <w:t>12 years with obesity (BMI corresponding to ≥30kg/m</w:t>
            </w:r>
            <w:r w:rsidRPr="00855C46">
              <w:rPr>
                <w:rFonts w:cs="Arial"/>
                <w:color w:val="000000"/>
                <w:szCs w:val="19"/>
                <w:vertAlign w:val="superscript"/>
                <w:lang w:val="en-US"/>
              </w:rPr>
              <w:t>2</w:t>
            </w:r>
            <w:r w:rsidRPr="00855C46">
              <w:rPr>
                <w:rFonts w:cs="Arial"/>
                <w:color w:val="000000"/>
                <w:szCs w:val="19"/>
                <w:lang w:val="en-US"/>
              </w:rPr>
              <w:t xml:space="preserve"> for adults by international cut-off </w:t>
            </w:r>
            <w:proofErr w:type="gramStart"/>
            <w:r w:rsidRPr="00855C46">
              <w:rPr>
                <w:rFonts w:cs="Arial"/>
                <w:color w:val="000000"/>
                <w:szCs w:val="19"/>
                <w:lang w:val="en-US"/>
              </w:rPr>
              <w:t>points)*</w:t>
            </w:r>
            <w:proofErr w:type="gramEnd"/>
            <w:r w:rsidRPr="00855C46">
              <w:rPr>
                <w:rFonts w:cs="Arial"/>
                <w:color w:val="000000"/>
                <w:szCs w:val="19"/>
                <w:lang w:val="en-US"/>
              </w:rPr>
              <w:t xml:space="preserve"> and body weight </w:t>
            </w:r>
            <w:r>
              <w:rPr>
                <w:rFonts w:cs="Arial"/>
                <w:color w:val="000000"/>
                <w:szCs w:val="19"/>
                <w:lang w:val="en-US"/>
              </w:rPr>
              <w:t>&gt;</w:t>
            </w:r>
            <w:r w:rsidRPr="00855C46">
              <w:rPr>
                <w:rFonts w:cs="Arial"/>
                <w:color w:val="000000"/>
                <w:szCs w:val="19"/>
                <w:lang w:val="en-US"/>
              </w:rPr>
              <w:t>60kg</w:t>
            </w:r>
          </w:p>
        </w:tc>
      </w:tr>
      <w:tr w:rsidR="00FB3FD9" w14:paraId="333678DE" w14:textId="77777777" w:rsidTr="008626BD">
        <w:tc>
          <w:tcPr>
            <w:tcW w:w="1696" w:type="pct"/>
            <w:gridSpan w:val="2"/>
            <w:shd w:val="clear" w:color="auto" w:fill="auto"/>
            <w:tcMar>
              <w:top w:w="57" w:type="dxa"/>
              <w:bottom w:w="57" w:type="dxa"/>
            </w:tcMar>
          </w:tcPr>
          <w:p w14:paraId="52553832" w14:textId="77777777" w:rsidR="00FB3FD9" w:rsidRDefault="00FB3FD9" w:rsidP="00FB3FD9">
            <w:pPr>
              <w:rPr>
                <w:rFonts w:cs="Arial"/>
                <w:szCs w:val="19"/>
              </w:rPr>
            </w:pPr>
            <w:r w:rsidRPr="001F58A0">
              <w:rPr>
                <w:rFonts w:cs="Arial"/>
                <w:szCs w:val="19"/>
              </w:rPr>
              <w:t xml:space="preserve">Liraglutide biosimilar </w:t>
            </w:r>
          </w:p>
          <w:p w14:paraId="3B85EA8E" w14:textId="77777777" w:rsidR="00FB3FD9" w:rsidRDefault="00FB3FD9" w:rsidP="00FB3FD9">
            <w:pPr>
              <w:rPr>
                <w:rFonts w:cs="Arial"/>
                <w:szCs w:val="19"/>
              </w:rPr>
            </w:pPr>
            <w:r w:rsidRPr="001F58A0">
              <w:rPr>
                <w:rFonts w:cs="Arial"/>
                <w:szCs w:val="19"/>
              </w:rPr>
              <w:t>(</w:t>
            </w:r>
            <w:r w:rsidRPr="001F58A0">
              <w:rPr>
                <w:rFonts w:cs="Arial"/>
                <w:i/>
                <w:iCs/>
                <w:szCs w:val="19"/>
              </w:rPr>
              <w:t>Liraglutide Biocon</w:t>
            </w:r>
            <w:r w:rsidRPr="001F58A0">
              <w:rPr>
                <w:rFonts w:cs="Arial"/>
                <w:szCs w:val="19"/>
              </w:rPr>
              <w:t>)</w:t>
            </w:r>
          </w:p>
          <w:p w14:paraId="1A4DEB27" w14:textId="56C0CEA4" w:rsidR="00FB3FD9" w:rsidRPr="00847590" w:rsidRDefault="00FB3FD9" w:rsidP="00FB3FD9">
            <w:pPr>
              <w:rPr>
                <w:rFonts w:cs="Arial"/>
                <w:szCs w:val="19"/>
              </w:rPr>
            </w:pPr>
            <w:r w:rsidRPr="001F58A0">
              <w:rPr>
                <w:rFonts w:cs="Arial"/>
                <w:sz w:val="16"/>
                <w:szCs w:val="16"/>
              </w:rPr>
              <w:t>18mg in 3mL prefilled pen</w:t>
            </w:r>
          </w:p>
        </w:tc>
        <w:tc>
          <w:tcPr>
            <w:tcW w:w="3304" w:type="pct"/>
            <w:shd w:val="clear" w:color="auto" w:fill="auto"/>
            <w:tcMar>
              <w:top w:w="57" w:type="dxa"/>
              <w:bottom w:w="57" w:type="dxa"/>
            </w:tcMar>
          </w:tcPr>
          <w:p w14:paraId="3A42E420" w14:textId="1CF9BB22" w:rsidR="00FB3FD9" w:rsidRPr="001F58A0" w:rsidRDefault="00FB3FD9" w:rsidP="00FB3FD9">
            <w:pPr>
              <w:tabs>
                <w:tab w:val="center" w:pos="3152"/>
              </w:tabs>
              <w:rPr>
                <w:rFonts w:cs="Arial"/>
                <w:color w:val="000000"/>
                <w:szCs w:val="19"/>
                <w:lang w:val="en-US"/>
              </w:rPr>
            </w:pPr>
            <w:r w:rsidRPr="001F58A0">
              <w:rPr>
                <w:rFonts w:cs="Arial"/>
                <w:color w:val="000000"/>
                <w:szCs w:val="19"/>
                <w:lang w:val="en-US"/>
              </w:rPr>
              <w:t xml:space="preserve">Treatment of adults, adolescents and children aged </w:t>
            </w:r>
            <w:r>
              <w:rPr>
                <w:rFonts w:cs="Arial"/>
                <w:color w:val="000000"/>
                <w:szCs w:val="19"/>
                <w:lang w:val="en-US"/>
              </w:rPr>
              <w:t>≥</w:t>
            </w:r>
            <w:r w:rsidRPr="001F58A0">
              <w:rPr>
                <w:rFonts w:cs="Arial"/>
                <w:color w:val="000000"/>
                <w:szCs w:val="19"/>
                <w:lang w:val="en-US"/>
              </w:rPr>
              <w:t>10 years with insufficiently controlled type 2 diabetes mellitus as an adjunct to diet and exercise as monotherapy when metformin is considered inappropriate due to intolerance or contraindications, and in addition to other medicinal products for the treatment of diabetes</w:t>
            </w:r>
          </w:p>
        </w:tc>
      </w:tr>
      <w:tr w:rsidR="008626BD" w:rsidRPr="00862949" w14:paraId="7D8DB215" w14:textId="77777777" w:rsidTr="005A7E09">
        <w:tc>
          <w:tcPr>
            <w:tcW w:w="5000" w:type="pct"/>
            <w:gridSpan w:val="3"/>
            <w:shd w:val="clear" w:color="auto" w:fill="auto"/>
            <w:tcMar>
              <w:top w:w="0" w:type="dxa"/>
              <w:bottom w:w="0" w:type="dxa"/>
            </w:tcMar>
          </w:tcPr>
          <w:p w14:paraId="3D2CDFAD" w14:textId="77777777" w:rsidR="008626BD" w:rsidRPr="00862949" w:rsidRDefault="008626BD" w:rsidP="008626BD">
            <w:pPr>
              <w:jc w:val="center"/>
              <w:rPr>
                <w:rFonts w:cs="Arial"/>
                <w:noProof/>
                <w:sz w:val="8"/>
                <w:szCs w:val="8"/>
              </w:rPr>
            </w:pPr>
          </w:p>
        </w:tc>
      </w:tr>
      <w:tr w:rsidR="008626BD" w:rsidRPr="000F19E1" w14:paraId="7CAFDC09" w14:textId="77777777" w:rsidTr="00155BD9">
        <w:tc>
          <w:tcPr>
            <w:tcW w:w="1152" w:type="pct"/>
            <w:shd w:val="clear" w:color="auto" w:fill="DAEEF3"/>
            <w:tcMar>
              <w:top w:w="0" w:type="dxa"/>
              <w:bottom w:w="0" w:type="dxa"/>
            </w:tcMar>
          </w:tcPr>
          <w:p w14:paraId="3FF5BF59" w14:textId="77777777" w:rsidR="008626BD" w:rsidRPr="000F19E1" w:rsidRDefault="008626BD" w:rsidP="008626BD">
            <w:pPr>
              <w:rPr>
                <w:rFonts w:cs="Arial"/>
                <w:bCs/>
                <w:sz w:val="8"/>
                <w:szCs w:val="8"/>
              </w:rPr>
            </w:pPr>
          </w:p>
        </w:tc>
        <w:tc>
          <w:tcPr>
            <w:tcW w:w="3848" w:type="pct"/>
            <w:gridSpan w:val="2"/>
            <w:shd w:val="clear" w:color="auto" w:fill="DAEEF3"/>
            <w:tcMar>
              <w:top w:w="0" w:type="dxa"/>
              <w:bottom w:w="0" w:type="dxa"/>
            </w:tcMar>
          </w:tcPr>
          <w:p w14:paraId="51BA8C94" w14:textId="77777777" w:rsidR="008626BD" w:rsidRPr="000F19E1" w:rsidRDefault="008626BD" w:rsidP="008626BD">
            <w:pPr>
              <w:tabs>
                <w:tab w:val="center" w:pos="3152"/>
              </w:tabs>
              <w:rPr>
                <w:rFonts w:cs="Arial"/>
                <w:sz w:val="8"/>
                <w:szCs w:val="8"/>
                <w:lang w:val="en-US"/>
              </w:rPr>
            </w:pPr>
          </w:p>
        </w:tc>
      </w:tr>
    </w:tbl>
    <w:p w14:paraId="3671F17F" w14:textId="4C4A648F" w:rsidR="009E775B" w:rsidRDefault="009E775B"/>
    <w:p w14:paraId="7E14F507" w14:textId="77777777" w:rsidR="003D2856" w:rsidRDefault="003D2856"/>
    <w:p w14:paraId="73F9227C" w14:textId="77777777" w:rsidR="003D2856" w:rsidRDefault="003D2856"/>
    <w:tbl>
      <w:tblPr>
        <w:tblW w:w="5170" w:type="pct"/>
        <w:tblInd w:w="-176" w:type="dxa"/>
        <w:tblLayout w:type="fixed"/>
        <w:tblLook w:val="01E0" w:firstRow="1" w:lastRow="1" w:firstColumn="1" w:lastColumn="1" w:noHBand="0" w:noVBand="0"/>
      </w:tblPr>
      <w:tblGrid>
        <w:gridCol w:w="2431"/>
        <w:gridCol w:w="298"/>
        <w:gridCol w:w="850"/>
        <w:gridCol w:w="6972"/>
      </w:tblGrid>
      <w:tr w:rsidR="0087170D" w:rsidRPr="00862949" w14:paraId="6838BEDC" w14:textId="77777777" w:rsidTr="0016265D">
        <w:tc>
          <w:tcPr>
            <w:tcW w:w="5000" w:type="pct"/>
            <w:gridSpan w:val="4"/>
            <w:shd w:val="clear" w:color="auto" w:fill="0070C0"/>
            <w:tcMar>
              <w:top w:w="85" w:type="dxa"/>
              <w:bottom w:w="85" w:type="dxa"/>
            </w:tcMar>
            <w:vAlign w:val="bottom"/>
          </w:tcPr>
          <w:p w14:paraId="6860E4DC" w14:textId="77777777" w:rsidR="0087170D" w:rsidRPr="00862949" w:rsidRDefault="0087170D" w:rsidP="0016265D">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87170D" w:rsidRPr="00862949" w14:paraId="46513B5A" w14:textId="77777777" w:rsidTr="0016265D">
        <w:tc>
          <w:tcPr>
            <w:tcW w:w="5000" w:type="pct"/>
            <w:gridSpan w:val="4"/>
            <w:shd w:val="clear" w:color="auto" w:fill="DAEEF3"/>
            <w:tcMar>
              <w:top w:w="0" w:type="dxa"/>
              <w:bottom w:w="0" w:type="dxa"/>
            </w:tcMar>
          </w:tcPr>
          <w:p w14:paraId="63FEF030" w14:textId="77777777" w:rsidR="0087170D" w:rsidRPr="00862949" w:rsidRDefault="0087170D" w:rsidP="0016265D">
            <w:pPr>
              <w:rPr>
                <w:rFonts w:cs="Arial"/>
                <w:b/>
                <w:bCs/>
                <w:i/>
                <w:iCs/>
                <w:color w:val="000000"/>
                <w:sz w:val="8"/>
                <w:szCs w:val="8"/>
                <w:lang w:val="en-US"/>
              </w:rPr>
            </w:pPr>
          </w:p>
        </w:tc>
      </w:tr>
      <w:tr w:rsidR="0087170D" w:rsidRPr="00862949" w14:paraId="0F9EEC84" w14:textId="77777777" w:rsidTr="0016265D">
        <w:tc>
          <w:tcPr>
            <w:tcW w:w="5000" w:type="pct"/>
            <w:gridSpan w:val="4"/>
            <w:shd w:val="clear" w:color="auto" w:fill="00B050"/>
            <w:tcMar>
              <w:top w:w="57" w:type="dxa"/>
              <w:bottom w:w="57" w:type="dxa"/>
            </w:tcMar>
          </w:tcPr>
          <w:p w14:paraId="355EC456" w14:textId="1ABB7364" w:rsidR="0087170D" w:rsidRPr="00433D3E" w:rsidRDefault="0087170D" w:rsidP="0016265D">
            <w:pPr>
              <w:rPr>
                <w:rFonts w:cs="Arial"/>
                <w:color w:val="FFFFFF"/>
                <w:sz w:val="20"/>
                <w:szCs w:val="20"/>
              </w:rPr>
            </w:pPr>
            <w:r w:rsidRPr="00433D3E">
              <w:rPr>
                <w:rFonts w:cs="Arial"/>
                <w:b/>
                <w:bCs/>
                <w:i/>
                <w:iCs/>
                <w:color w:val="FFFFFF"/>
                <w:sz w:val="22"/>
                <w:szCs w:val="20"/>
                <w:lang w:val="en-US"/>
              </w:rPr>
              <w:t xml:space="preserve">Approved in the </w:t>
            </w:r>
            <w:r>
              <w:rPr>
                <w:rFonts w:cs="Arial"/>
                <w:b/>
                <w:bCs/>
                <w:i/>
                <w:iCs/>
                <w:color w:val="FFFFFF"/>
                <w:sz w:val="22"/>
                <w:szCs w:val="20"/>
                <w:lang w:val="en-US"/>
              </w:rPr>
              <w:t xml:space="preserve">UK </w:t>
            </w:r>
            <w:r w:rsidRPr="0087170D">
              <w:rPr>
                <w:rFonts w:cs="Arial"/>
                <w:b/>
                <w:bCs/>
                <w:color w:val="FFFFFF"/>
                <w:sz w:val="16"/>
                <w:szCs w:val="14"/>
                <w:lang w:val="en-US"/>
              </w:rPr>
              <w:t>(continued)</w:t>
            </w:r>
          </w:p>
        </w:tc>
      </w:tr>
      <w:tr w:rsidR="0087170D" w14:paraId="7F3C26DF" w14:textId="77777777" w:rsidTr="0016265D">
        <w:tc>
          <w:tcPr>
            <w:tcW w:w="1696" w:type="pct"/>
            <w:gridSpan w:val="3"/>
            <w:shd w:val="clear" w:color="auto" w:fill="auto"/>
            <w:tcMar>
              <w:top w:w="57" w:type="dxa"/>
              <w:bottom w:w="57" w:type="dxa"/>
            </w:tcMar>
          </w:tcPr>
          <w:p w14:paraId="241E9FB0" w14:textId="77777777" w:rsidR="0087170D" w:rsidRDefault="0087170D" w:rsidP="0016265D">
            <w:pPr>
              <w:rPr>
                <w:rFonts w:cs="Arial"/>
                <w:szCs w:val="19"/>
              </w:rPr>
            </w:pPr>
            <w:r w:rsidRPr="001F58A0">
              <w:rPr>
                <w:rFonts w:cs="Arial"/>
                <w:szCs w:val="19"/>
              </w:rPr>
              <w:t>Liraglutide biosimilar (</w:t>
            </w:r>
            <w:proofErr w:type="spellStart"/>
            <w:r>
              <w:rPr>
                <w:rFonts w:cs="Arial"/>
                <w:i/>
                <w:iCs/>
                <w:szCs w:val="19"/>
              </w:rPr>
              <w:t>Pinsubet</w:t>
            </w:r>
            <w:proofErr w:type="spellEnd"/>
            <w:r w:rsidRPr="001F58A0">
              <w:rPr>
                <w:rFonts w:cs="Arial"/>
                <w:szCs w:val="19"/>
              </w:rPr>
              <w:t>)</w:t>
            </w:r>
          </w:p>
          <w:p w14:paraId="45E0E912" w14:textId="77777777" w:rsidR="0087170D" w:rsidRPr="001F58A0" w:rsidRDefault="0087170D" w:rsidP="0016265D">
            <w:pPr>
              <w:rPr>
                <w:rFonts w:cs="Arial"/>
                <w:szCs w:val="19"/>
              </w:rPr>
            </w:pPr>
            <w:r w:rsidRPr="001F58A0">
              <w:rPr>
                <w:rFonts w:cs="Arial"/>
                <w:sz w:val="16"/>
                <w:szCs w:val="16"/>
              </w:rPr>
              <w:t>18mg in 3mL prefilled pen</w:t>
            </w:r>
          </w:p>
        </w:tc>
        <w:tc>
          <w:tcPr>
            <w:tcW w:w="3304" w:type="pct"/>
            <w:shd w:val="clear" w:color="auto" w:fill="auto"/>
            <w:tcMar>
              <w:top w:w="57" w:type="dxa"/>
              <w:bottom w:w="57" w:type="dxa"/>
            </w:tcMar>
          </w:tcPr>
          <w:p w14:paraId="605A31FA" w14:textId="77777777" w:rsidR="0087170D" w:rsidRPr="001F58A0" w:rsidRDefault="0087170D" w:rsidP="0016265D">
            <w:pPr>
              <w:tabs>
                <w:tab w:val="center" w:pos="3152"/>
              </w:tabs>
              <w:rPr>
                <w:rFonts w:cs="Arial"/>
                <w:color w:val="000000"/>
                <w:szCs w:val="19"/>
                <w:lang w:val="en-US"/>
              </w:rPr>
            </w:pPr>
            <w:r w:rsidRPr="001F58A0">
              <w:rPr>
                <w:rFonts w:cs="Arial"/>
                <w:color w:val="000000"/>
                <w:szCs w:val="19"/>
                <w:lang w:val="en-US"/>
              </w:rPr>
              <w:t xml:space="preserve">Treatment of adults, adolescents and children aged </w:t>
            </w:r>
            <w:r>
              <w:rPr>
                <w:rFonts w:cs="Arial"/>
                <w:color w:val="000000"/>
                <w:szCs w:val="19"/>
                <w:lang w:val="en-US"/>
              </w:rPr>
              <w:t>≥</w:t>
            </w:r>
            <w:r w:rsidRPr="001F58A0">
              <w:rPr>
                <w:rFonts w:cs="Arial"/>
                <w:color w:val="000000"/>
                <w:szCs w:val="19"/>
                <w:lang w:val="en-US"/>
              </w:rPr>
              <w:t>10 years with insufficiently controlled type 2 diabetes mellitus as an adjunct to diet and exercise as monotherapy when metformin is considered inappropriate due to intolerance or contraindications, and in addition to other medicinal products for the treatment of diabetes</w:t>
            </w:r>
          </w:p>
        </w:tc>
      </w:tr>
      <w:tr w:rsidR="0087170D" w14:paraId="2C17FC28" w14:textId="77777777" w:rsidTr="0016265D">
        <w:tc>
          <w:tcPr>
            <w:tcW w:w="1696" w:type="pct"/>
            <w:gridSpan w:val="3"/>
            <w:shd w:val="clear" w:color="auto" w:fill="auto"/>
            <w:tcMar>
              <w:top w:w="57" w:type="dxa"/>
              <w:bottom w:w="57" w:type="dxa"/>
            </w:tcMar>
          </w:tcPr>
          <w:p w14:paraId="41AC3E29" w14:textId="77777777" w:rsidR="0087170D" w:rsidRDefault="0087170D" w:rsidP="0016265D">
            <w:pPr>
              <w:rPr>
                <w:rFonts w:cs="Arial"/>
                <w:szCs w:val="19"/>
              </w:rPr>
            </w:pPr>
            <w:r>
              <w:rPr>
                <w:rFonts w:cs="Arial"/>
                <w:szCs w:val="19"/>
              </w:rPr>
              <w:t xml:space="preserve">KP.2 </w:t>
            </w:r>
          </w:p>
          <w:p w14:paraId="07D97C32" w14:textId="77777777" w:rsidR="0087170D" w:rsidRDefault="0087170D" w:rsidP="0016265D">
            <w:pPr>
              <w:rPr>
                <w:rFonts w:cs="Arial"/>
                <w:szCs w:val="19"/>
              </w:rPr>
            </w:pPr>
            <w:r>
              <w:rPr>
                <w:rFonts w:cs="Arial"/>
                <w:szCs w:val="19"/>
              </w:rPr>
              <w:t>(</w:t>
            </w:r>
            <w:r w:rsidRPr="00CA4932">
              <w:rPr>
                <w:rFonts w:cs="Arial"/>
                <w:i/>
                <w:iCs/>
                <w:szCs w:val="19"/>
              </w:rPr>
              <w:t>Comirnaty KP.2 3 micrograms/dose</w:t>
            </w:r>
            <w:r w:rsidRPr="00CA4932">
              <w:rPr>
                <w:rFonts w:cs="Arial"/>
                <w:szCs w:val="19"/>
              </w:rPr>
              <w:t>)</w:t>
            </w:r>
          </w:p>
          <w:p w14:paraId="3D7E40B6" w14:textId="77777777" w:rsidR="0087170D" w:rsidRDefault="0087170D" w:rsidP="0016265D">
            <w:pPr>
              <w:rPr>
                <w:rFonts w:cs="Arial"/>
                <w:szCs w:val="19"/>
              </w:rPr>
            </w:pPr>
            <w:r>
              <w:rPr>
                <w:rFonts w:cs="Arial"/>
                <w:sz w:val="16"/>
                <w:szCs w:val="16"/>
              </w:rPr>
              <w:t>3</w:t>
            </w:r>
            <w:r w:rsidRPr="00CA4932">
              <w:rPr>
                <w:rFonts w:cs="Arial"/>
                <w:sz w:val="16"/>
                <w:szCs w:val="16"/>
              </w:rPr>
              <w:t>-dose multi-dose vial</w:t>
            </w:r>
          </w:p>
        </w:tc>
        <w:tc>
          <w:tcPr>
            <w:tcW w:w="3304" w:type="pct"/>
            <w:shd w:val="clear" w:color="auto" w:fill="auto"/>
            <w:tcMar>
              <w:top w:w="57" w:type="dxa"/>
              <w:bottom w:w="57" w:type="dxa"/>
            </w:tcMar>
          </w:tcPr>
          <w:p w14:paraId="2F8568F3" w14:textId="77777777" w:rsidR="0087170D" w:rsidRPr="00144A8C" w:rsidRDefault="0087170D" w:rsidP="0016265D">
            <w:pPr>
              <w:tabs>
                <w:tab w:val="center" w:pos="3152"/>
              </w:tabs>
              <w:rPr>
                <w:rFonts w:cs="Arial"/>
                <w:szCs w:val="19"/>
                <w:lang w:val="en-US"/>
              </w:rPr>
            </w:pPr>
            <w:r>
              <w:rPr>
                <w:rFonts w:cs="Arial"/>
                <w:color w:val="000000"/>
                <w:szCs w:val="19"/>
                <w:lang w:val="en-US"/>
              </w:rPr>
              <w:t>Activ</w:t>
            </w:r>
            <w:r w:rsidRPr="008626BD">
              <w:rPr>
                <w:rFonts w:cs="Arial"/>
                <w:color w:val="000000"/>
                <w:szCs w:val="19"/>
                <w:lang w:val="en-US"/>
              </w:rPr>
              <w:t xml:space="preserve">e </w:t>
            </w:r>
            <w:proofErr w:type="spellStart"/>
            <w:r w:rsidRPr="008626BD">
              <w:rPr>
                <w:rFonts w:cs="Arial"/>
                <w:color w:val="000000"/>
                <w:szCs w:val="19"/>
                <w:lang w:val="en-US"/>
              </w:rPr>
              <w:t>immunisation</w:t>
            </w:r>
            <w:proofErr w:type="spellEnd"/>
            <w:r w:rsidRPr="008626BD">
              <w:rPr>
                <w:rFonts w:cs="Arial"/>
                <w:color w:val="000000"/>
                <w:szCs w:val="19"/>
                <w:lang w:val="en-US"/>
              </w:rPr>
              <w:t xml:space="preserve"> to prevent COVID-19 caused by SARSCoV-2, in infants and children aged 6 months to 4 years</w:t>
            </w:r>
          </w:p>
        </w:tc>
      </w:tr>
      <w:tr w:rsidR="0087170D" w14:paraId="75D389B4" w14:textId="77777777" w:rsidTr="0016265D">
        <w:tc>
          <w:tcPr>
            <w:tcW w:w="1696" w:type="pct"/>
            <w:gridSpan w:val="3"/>
            <w:shd w:val="clear" w:color="auto" w:fill="auto"/>
            <w:tcMar>
              <w:top w:w="57" w:type="dxa"/>
              <w:bottom w:w="57" w:type="dxa"/>
            </w:tcMar>
          </w:tcPr>
          <w:p w14:paraId="2F31681E" w14:textId="77777777" w:rsidR="0087170D" w:rsidRDefault="0087170D" w:rsidP="0016265D">
            <w:pPr>
              <w:rPr>
                <w:rFonts w:cs="Arial"/>
                <w:szCs w:val="19"/>
              </w:rPr>
            </w:pPr>
            <w:r>
              <w:rPr>
                <w:rFonts w:cs="Arial"/>
                <w:szCs w:val="19"/>
              </w:rPr>
              <w:t xml:space="preserve">KP.2 </w:t>
            </w:r>
          </w:p>
          <w:p w14:paraId="15741BB8" w14:textId="77777777" w:rsidR="0087170D" w:rsidRDefault="0087170D" w:rsidP="0016265D">
            <w:pPr>
              <w:rPr>
                <w:rFonts w:cs="Arial"/>
                <w:szCs w:val="19"/>
              </w:rPr>
            </w:pPr>
            <w:r>
              <w:rPr>
                <w:rFonts w:cs="Arial"/>
                <w:szCs w:val="19"/>
              </w:rPr>
              <w:t>(</w:t>
            </w:r>
            <w:r w:rsidRPr="00CA4932">
              <w:rPr>
                <w:rFonts w:cs="Arial"/>
                <w:i/>
                <w:iCs/>
                <w:szCs w:val="19"/>
              </w:rPr>
              <w:t xml:space="preserve">Comirnaty KP.2 </w:t>
            </w:r>
            <w:r>
              <w:rPr>
                <w:rFonts w:cs="Arial"/>
                <w:i/>
                <w:iCs/>
                <w:szCs w:val="19"/>
              </w:rPr>
              <w:t>1</w:t>
            </w:r>
            <w:r w:rsidRPr="00CA4932">
              <w:rPr>
                <w:rFonts w:cs="Arial"/>
                <w:i/>
                <w:iCs/>
                <w:szCs w:val="19"/>
              </w:rPr>
              <w:t>0 micrograms/dose</w:t>
            </w:r>
            <w:r w:rsidRPr="00CA4932">
              <w:rPr>
                <w:rFonts w:cs="Arial"/>
                <w:szCs w:val="19"/>
              </w:rPr>
              <w:t>)</w:t>
            </w:r>
          </w:p>
          <w:p w14:paraId="22582D00" w14:textId="77777777" w:rsidR="0087170D" w:rsidRDefault="0087170D" w:rsidP="0016265D">
            <w:pPr>
              <w:rPr>
                <w:rFonts w:cs="Arial"/>
                <w:szCs w:val="19"/>
              </w:rPr>
            </w:pPr>
            <w:r w:rsidRPr="00CA4932">
              <w:rPr>
                <w:rFonts w:cs="Arial"/>
                <w:sz w:val="16"/>
                <w:szCs w:val="16"/>
              </w:rPr>
              <w:t xml:space="preserve">6-dose multi-dose vial and single-dose </w:t>
            </w:r>
            <w:r>
              <w:rPr>
                <w:rFonts w:cs="Arial"/>
                <w:sz w:val="16"/>
                <w:szCs w:val="16"/>
              </w:rPr>
              <w:t>vial</w:t>
            </w:r>
          </w:p>
        </w:tc>
        <w:tc>
          <w:tcPr>
            <w:tcW w:w="3304" w:type="pct"/>
            <w:shd w:val="clear" w:color="auto" w:fill="auto"/>
            <w:tcMar>
              <w:top w:w="57" w:type="dxa"/>
              <w:bottom w:w="57" w:type="dxa"/>
            </w:tcMar>
          </w:tcPr>
          <w:p w14:paraId="2BC31398" w14:textId="77777777" w:rsidR="0087170D" w:rsidRPr="00144A8C" w:rsidRDefault="0087170D" w:rsidP="0016265D">
            <w:pPr>
              <w:tabs>
                <w:tab w:val="center" w:pos="3152"/>
              </w:tabs>
              <w:rPr>
                <w:rFonts w:cs="Arial"/>
                <w:szCs w:val="19"/>
                <w:lang w:val="en-US"/>
              </w:rPr>
            </w:pPr>
            <w:r w:rsidRPr="008626BD">
              <w:rPr>
                <w:rFonts w:cs="Arial"/>
                <w:color w:val="000000"/>
                <w:szCs w:val="19"/>
                <w:lang w:val="en-US"/>
              </w:rPr>
              <w:t xml:space="preserve">Active </w:t>
            </w:r>
            <w:proofErr w:type="spellStart"/>
            <w:r w:rsidRPr="008626BD">
              <w:rPr>
                <w:rFonts w:cs="Arial"/>
                <w:color w:val="000000"/>
                <w:szCs w:val="19"/>
                <w:lang w:val="en-US"/>
              </w:rPr>
              <w:t>immunisation</w:t>
            </w:r>
            <w:proofErr w:type="spellEnd"/>
            <w:r w:rsidRPr="008626BD">
              <w:rPr>
                <w:rFonts w:cs="Arial"/>
                <w:color w:val="000000"/>
                <w:szCs w:val="19"/>
                <w:lang w:val="en-US"/>
              </w:rPr>
              <w:t xml:space="preserve"> to prevent COVID-19 caused by SARS-CoV-2, in children aged 5 to 11 years</w:t>
            </w:r>
          </w:p>
        </w:tc>
      </w:tr>
      <w:tr w:rsidR="0087170D" w14:paraId="4C17AED5" w14:textId="77777777" w:rsidTr="0016265D">
        <w:tc>
          <w:tcPr>
            <w:tcW w:w="1696" w:type="pct"/>
            <w:gridSpan w:val="3"/>
            <w:shd w:val="clear" w:color="auto" w:fill="auto"/>
            <w:tcMar>
              <w:top w:w="57" w:type="dxa"/>
              <w:bottom w:w="57" w:type="dxa"/>
            </w:tcMar>
          </w:tcPr>
          <w:p w14:paraId="4F56B646" w14:textId="77777777" w:rsidR="0087170D" w:rsidRDefault="0087170D" w:rsidP="0016265D">
            <w:pPr>
              <w:rPr>
                <w:rFonts w:cs="Arial"/>
                <w:szCs w:val="19"/>
              </w:rPr>
            </w:pPr>
            <w:r>
              <w:rPr>
                <w:rFonts w:cs="Arial"/>
                <w:szCs w:val="19"/>
              </w:rPr>
              <w:t xml:space="preserve">KP.2 </w:t>
            </w:r>
          </w:p>
          <w:p w14:paraId="4C9B8D3F" w14:textId="77777777" w:rsidR="0087170D" w:rsidRDefault="0087170D" w:rsidP="0016265D">
            <w:pPr>
              <w:rPr>
                <w:rFonts w:cs="Arial"/>
                <w:szCs w:val="19"/>
              </w:rPr>
            </w:pPr>
            <w:r>
              <w:rPr>
                <w:rFonts w:cs="Arial"/>
                <w:szCs w:val="19"/>
              </w:rPr>
              <w:t>(</w:t>
            </w:r>
            <w:r w:rsidRPr="00CA4932">
              <w:rPr>
                <w:rFonts w:cs="Arial"/>
                <w:i/>
                <w:iCs/>
                <w:szCs w:val="19"/>
              </w:rPr>
              <w:t>Comirnaty KP.2 30 micrograms/dose</w:t>
            </w:r>
            <w:r w:rsidRPr="00CA4932">
              <w:rPr>
                <w:rFonts w:cs="Arial"/>
                <w:szCs w:val="19"/>
              </w:rPr>
              <w:t>)</w:t>
            </w:r>
          </w:p>
          <w:p w14:paraId="0686805C" w14:textId="77777777" w:rsidR="0087170D" w:rsidRDefault="0087170D" w:rsidP="0016265D">
            <w:pPr>
              <w:rPr>
                <w:rFonts w:cs="Arial"/>
                <w:szCs w:val="19"/>
              </w:rPr>
            </w:pPr>
            <w:r w:rsidRPr="00CA4932">
              <w:rPr>
                <w:rFonts w:cs="Arial"/>
                <w:sz w:val="16"/>
                <w:szCs w:val="16"/>
              </w:rPr>
              <w:t xml:space="preserve">Single-dose </w:t>
            </w:r>
            <w:r>
              <w:rPr>
                <w:rFonts w:cs="Arial"/>
                <w:sz w:val="16"/>
                <w:szCs w:val="16"/>
              </w:rPr>
              <w:t>vial</w:t>
            </w:r>
          </w:p>
        </w:tc>
        <w:tc>
          <w:tcPr>
            <w:tcW w:w="3304" w:type="pct"/>
            <w:shd w:val="clear" w:color="auto" w:fill="auto"/>
            <w:tcMar>
              <w:top w:w="57" w:type="dxa"/>
              <w:bottom w:w="57" w:type="dxa"/>
            </w:tcMar>
          </w:tcPr>
          <w:p w14:paraId="70F6EE0F" w14:textId="77777777" w:rsidR="0087170D" w:rsidRPr="00144A8C" w:rsidRDefault="0087170D" w:rsidP="0016265D">
            <w:pPr>
              <w:tabs>
                <w:tab w:val="center" w:pos="3152"/>
              </w:tabs>
              <w:rPr>
                <w:rFonts w:cs="Arial"/>
                <w:szCs w:val="19"/>
                <w:lang w:val="en-US"/>
              </w:rPr>
            </w:pPr>
            <w:r w:rsidRPr="006E3C1F">
              <w:rPr>
                <w:rFonts w:cs="Arial"/>
                <w:color w:val="000000"/>
                <w:szCs w:val="19"/>
                <w:lang w:val="en-US"/>
              </w:rPr>
              <w:t xml:space="preserve">Active </w:t>
            </w:r>
            <w:proofErr w:type="spellStart"/>
            <w:r w:rsidRPr="006E3C1F">
              <w:rPr>
                <w:rFonts w:cs="Arial"/>
                <w:color w:val="000000"/>
                <w:szCs w:val="19"/>
                <w:lang w:val="en-US"/>
              </w:rPr>
              <w:t>immunisation</w:t>
            </w:r>
            <w:proofErr w:type="spellEnd"/>
            <w:r w:rsidRPr="006E3C1F">
              <w:rPr>
                <w:rFonts w:cs="Arial"/>
                <w:color w:val="000000"/>
                <w:szCs w:val="19"/>
                <w:lang w:val="en-US"/>
              </w:rPr>
              <w:t xml:space="preserve"> to prevent COVID-19 caused by SARS-CoV-2, in individuals aged ≥12 years</w:t>
            </w:r>
          </w:p>
        </w:tc>
      </w:tr>
      <w:tr w:rsidR="0087170D" w14:paraId="5ADDFC1F" w14:textId="77777777" w:rsidTr="0016265D">
        <w:tc>
          <w:tcPr>
            <w:tcW w:w="1696" w:type="pct"/>
            <w:gridSpan w:val="3"/>
            <w:shd w:val="clear" w:color="auto" w:fill="auto"/>
            <w:tcMar>
              <w:top w:w="57" w:type="dxa"/>
              <w:bottom w:w="57" w:type="dxa"/>
            </w:tcMar>
          </w:tcPr>
          <w:p w14:paraId="439B051C" w14:textId="77777777" w:rsidR="0087170D" w:rsidRDefault="0087170D" w:rsidP="0016265D">
            <w:pPr>
              <w:rPr>
                <w:rFonts w:cs="Arial"/>
                <w:szCs w:val="19"/>
              </w:rPr>
            </w:pPr>
            <w:proofErr w:type="spellStart"/>
            <w:r>
              <w:rPr>
                <w:rFonts w:cs="Arial"/>
                <w:szCs w:val="19"/>
              </w:rPr>
              <w:t>Rilpivirine</w:t>
            </w:r>
            <w:proofErr w:type="spellEnd"/>
            <w:r>
              <w:rPr>
                <w:rFonts w:cs="Arial"/>
                <w:szCs w:val="19"/>
              </w:rPr>
              <w:t xml:space="preserve"> (</w:t>
            </w:r>
            <w:proofErr w:type="spellStart"/>
            <w:r>
              <w:rPr>
                <w:rFonts w:cs="Arial"/>
                <w:i/>
                <w:iCs/>
                <w:szCs w:val="19"/>
              </w:rPr>
              <w:t>Edurant</w:t>
            </w:r>
            <w:proofErr w:type="spellEnd"/>
            <w:r>
              <w:rPr>
                <w:rFonts w:cs="Arial"/>
                <w:szCs w:val="19"/>
              </w:rPr>
              <w:t>)</w:t>
            </w:r>
          </w:p>
          <w:p w14:paraId="2D1FD3F2" w14:textId="77777777" w:rsidR="0087170D" w:rsidRDefault="0087170D" w:rsidP="0016265D">
            <w:pPr>
              <w:rPr>
                <w:rFonts w:cs="Arial"/>
                <w:szCs w:val="19"/>
              </w:rPr>
            </w:pPr>
            <w:r w:rsidRPr="008626BD">
              <w:rPr>
                <w:rFonts w:cs="Arial"/>
                <w:sz w:val="16"/>
                <w:szCs w:val="16"/>
              </w:rPr>
              <w:t>25mg tablet</w:t>
            </w:r>
          </w:p>
        </w:tc>
        <w:tc>
          <w:tcPr>
            <w:tcW w:w="3304" w:type="pct"/>
            <w:shd w:val="clear" w:color="auto" w:fill="auto"/>
            <w:tcMar>
              <w:top w:w="57" w:type="dxa"/>
              <w:bottom w:w="57" w:type="dxa"/>
            </w:tcMar>
          </w:tcPr>
          <w:p w14:paraId="3912BD69" w14:textId="77777777" w:rsidR="0087170D" w:rsidRDefault="0087170D" w:rsidP="0016265D">
            <w:pPr>
              <w:tabs>
                <w:tab w:val="center" w:pos="3152"/>
              </w:tabs>
              <w:rPr>
                <w:rFonts w:cs="Arial"/>
                <w:szCs w:val="19"/>
                <w:lang w:val="en-US"/>
              </w:rPr>
            </w:pPr>
            <w:r w:rsidRPr="00144A8C">
              <w:rPr>
                <w:rFonts w:cs="Arial"/>
                <w:szCs w:val="19"/>
                <w:lang w:val="en-US"/>
              </w:rPr>
              <w:t>Treatment of human immunodeficiency virus type 1 (HIV</w:t>
            </w:r>
            <w:r w:rsidRPr="00144A8C">
              <w:rPr>
                <w:rFonts w:ascii="Cambria Math" w:hAnsi="Cambria Math" w:cs="Cambria Math"/>
                <w:szCs w:val="19"/>
                <w:lang w:val="en-US"/>
              </w:rPr>
              <w:t>‑</w:t>
            </w:r>
            <w:r w:rsidRPr="00144A8C">
              <w:rPr>
                <w:rFonts w:cs="Arial"/>
                <w:szCs w:val="19"/>
                <w:lang w:val="en-US"/>
              </w:rPr>
              <w:t xml:space="preserve">1) infection in adults and paediatric patients weighing </w:t>
            </w:r>
            <w:r>
              <w:rPr>
                <w:rFonts w:cs="Arial"/>
                <w:szCs w:val="19"/>
                <w:lang w:val="en-US"/>
              </w:rPr>
              <w:t>≥</w:t>
            </w:r>
            <w:r w:rsidRPr="00144A8C">
              <w:rPr>
                <w:rFonts w:cs="Arial"/>
                <w:szCs w:val="19"/>
                <w:lang w:val="en-US"/>
              </w:rPr>
              <w:t>25kg without known mutations associated with resistance to the non-nucleoside reverse transcriptase inhibitor class, and with a viral load ≤100,000 HIV</w:t>
            </w:r>
            <w:r w:rsidRPr="00144A8C">
              <w:rPr>
                <w:rFonts w:ascii="Cambria Math" w:hAnsi="Cambria Math" w:cs="Cambria Math"/>
                <w:szCs w:val="19"/>
                <w:lang w:val="en-US"/>
              </w:rPr>
              <w:t>‑</w:t>
            </w:r>
            <w:r w:rsidRPr="00144A8C">
              <w:rPr>
                <w:rFonts w:cs="Arial"/>
                <w:szCs w:val="19"/>
                <w:lang w:val="en-US"/>
              </w:rPr>
              <w:t>1 RNA copies/</w:t>
            </w:r>
            <w:proofErr w:type="gramStart"/>
            <w:r w:rsidRPr="00144A8C">
              <w:rPr>
                <w:rFonts w:cs="Arial"/>
                <w:szCs w:val="19"/>
                <w:lang w:val="en-US"/>
              </w:rPr>
              <w:t>m</w:t>
            </w:r>
            <w:r>
              <w:rPr>
                <w:rFonts w:cs="Arial"/>
                <w:szCs w:val="19"/>
                <w:lang w:val="en-US"/>
              </w:rPr>
              <w:t>L</w:t>
            </w:r>
            <w:proofErr w:type="gramEnd"/>
            <w:r>
              <w:rPr>
                <w:rFonts w:cs="Arial"/>
                <w:szCs w:val="19"/>
                <w:lang w:val="en-US"/>
              </w:rPr>
              <w:t xml:space="preserve"> </w:t>
            </w:r>
          </w:p>
          <w:p w14:paraId="1EF93E76" w14:textId="77777777" w:rsidR="0087170D" w:rsidRPr="00144A8C" w:rsidRDefault="0087170D" w:rsidP="0016265D">
            <w:pPr>
              <w:tabs>
                <w:tab w:val="center" w:pos="3152"/>
              </w:tabs>
              <w:rPr>
                <w:rFonts w:cs="Arial"/>
                <w:szCs w:val="19"/>
                <w:lang w:val="en-US"/>
              </w:rPr>
            </w:pPr>
            <w:r w:rsidRPr="00144A8C">
              <w:rPr>
                <w:rFonts w:cs="Arial"/>
                <w:sz w:val="16"/>
                <w:szCs w:val="16"/>
                <w:lang w:val="en-US"/>
              </w:rPr>
              <w:t xml:space="preserve">[licence change from use only in patients aged ≥12 years] </w:t>
            </w:r>
          </w:p>
        </w:tc>
      </w:tr>
      <w:tr w:rsidR="0087170D" w14:paraId="60B1ADC6" w14:textId="77777777" w:rsidTr="0016265D">
        <w:tc>
          <w:tcPr>
            <w:tcW w:w="1696" w:type="pct"/>
            <w:gridSpan w:val="3"/>
            <w:shd w:val="clear" w:color="auto" w:fill="auto"/>
            <w:tcMar>
              <w:top w:w="57" w:type="dxa"/>
              <w:bottom w:w="57" w:type="dxa"/>
            </w:tcMar>
          </w:tcPr>
          <w:p w14:paraId="111E2780" w14:textId="77777777" w:rsidR="0087170D" w:rsidRDefault="0087170D" w:rsidP="0016265D">
            <w:pPr>
              <w:rPr>
                <w:rFonts w:cs="Arial"/>
                <w:szCs w:val="19"/>
              </w:rPr>
            </w:pPr>
            <w:proofErr w:type="spellStart"/>
            <w:r>
              <w:rPr>
                <w:rFonts w:cs="Arial"/>
                <w:szCs w:val="19"/>
              </w:rPr>
              <w:t>Rilpivirine</w:t>
            </w:r>
            <w:proofErr w:type="spellEnd"/>
            <w:r>
              <w:rPr>
                <w:rFonts w:cs="Arial"/>
                <w:szCs w:val="19"/>
              </w:rPr>
              <w:t xml:space="preserve"> (</w:t>
            </w:r>
            <w:proofErr w:type="spellStart"/>
            <w:r>
              <w:rPr>
                <w:rFonts w:cs="Arial"/>
                <w:i/>
                <w:iCs/>
                <w:szCs w:val="19"/>
              </w:rPr>
              <w:t>Edurant</w:t>
            </w:r>
            <w:proofErr w:type="spellEnd"/>
            <w:r>
              <w:rPr>
                <w:rFonts w:cs="Arial"/>
                <w:szCs w:val="19"/>
              </w:rPr>
              <w:t>)</w:t>
            </w:r>
          </w:p>
          <w:p w14:paraId="4CDE251A" w14:textId="77777777" w:rsidR="0087170D" w:rsidRDefault="0087170D" w:rsidP="0016265D">
            <w:pPr>
              <w:rPr>
                <w:rFonts w:cs="Arial"/>
                <w:szCs w:val="19"/>
              </w:rPr>
            </w:pPr>
            <w:r w:rsidRPr="00FB3FD9">
              <w:rPr>
                <w:rFonts w:cs="Arial"/>
                <w:sz w:val="16"/>
                <w:szCs w:val="16"/>
              </w:rPr>
              <w:t>2.5mg dispersible tablet</w:t>
            </w:r>
          </w:p>
        </w:tc>
        <w:tc>
          <w:tcPr>
            <w:tcW w:w="3304" w:type="pct"/>
            <w:shd w:val="clear" w:color="auto" w:fill="auto"/>
            <w:tcMar>
              <w:top w:w="57" w:type="dxa"/>
              <w:bottom w:w="57" w:type="dxa"/>
            </w:tcMar>
          </w:tcPr>
          <w:p w14:paraId="01423ADA" w14:textId="77777777" w:rsidR="0087170D" w:rsidRDefault="0087170D" w:rsidP="0016265D">
            <w:pPr>
              <w:tabs>
                <w:tab w:val="center" w:pos="3152"/>
              </w:tabs>
              <w:rPr>
                <w:rFonts w:cs="Arial"/>
                <w:szCs w:val="19"/>
                <w:lang w:val="en-US"/>
              </w:rPr>
            </w:pPr>
            <w:r w:rsidRPr="00144A8C">
              <w:rPr>
                <w:rFonts w:cs="Arial"/>
                <w:szCs w:val="19"/>
                <w:lang w:val="en-US"/>
              </w:rPr>
              <w:t>U</w:t>
            </w:r>
            <w:r>
              <w:rPr>
                <w:rFonts w:cs="Arial"/>
                <w:szCs w:val="19"/>
                <w:lang w:val="en-US"/>
              </w:rPr>
              <w:t>s</w:t>
            </w:r>
            <w:r w:rsidRPr="00144A8C">
              <w:rPr>
                <w:rFonts w:cs="Arial"/>
                <w:szCs w:val="19"/>
                <w:lang w:val="en-US"/>
              </w:rPr>
              <w:t>e in combination with other antiretroviral medicinal products, for the treatment of human immunodeficiency virus type 1 (HIV</w:t>
            </w:r>
            <w:r w:rsidRPr="00144A8C">
              <w:rPr>
                <w:rFonts w:ascii="Cambria Math" w:hAnsi="Cambria Math" w:cs="Cambria Math"/>
                <w:szCs w:val="19"/>
                <w:lang w:val="en-US"/>
              </w:rPr>
              <w:t>‑</w:t>
            </w:r>
            <w:r w:rsidRPr="00144A8C">
              <w:rPr>
                <w:rFonts w:cs="Arial"/>
                <w:szCs w:val="19"/>
                <w:lang w:val="en-US"/>
              </w:rPr>
              <w:t xml:space="preserve">1) infection in paediatric patients </w:t>
            </w:r>
            <w:r>
              <w:rPr>
                <w:rFonts w:cs="Arial"/>
                <w:szCs w:val="19"/>
                <w:lang w:val="en-US"/>
              </w:rPr>
              <w:t xml:space="preserve">aged </w:t>
            </w:r>
            <w:r w:rsidRPr="00144A8C">
              <w:rPr>
                <w:rFonts w:cs="Arial"/>
                <w:szCs w:val="19"/>
                <w:lang w:val="en-US"/>
              </w:rPr>
              <w:t xml:space="preserve">2 to </w:t>
            </w:r>
            <w:r>
              <w:rPr>
                <w:rFonts w:cs="Arial"/>
                <w:szCs w:val="19"/>
                <w:lang w:val="en-US"/>
              </w:rPr>
              <w:t xml:space="preserve">&lt;18 </w:t>
            </w:r>
            <w:r w:rsidRPr="00144A8C">
              <w:rPr>
                <w:rFonts w:cs="Arial"/>
                <w:szCs w:val="19"/>
                <w:lang w:val="en-US"/>
              </w:rPr>
              <w:t xml:space="preserve">years and weighing </w:t>
            </w:r>
            <w:r>
              <w:rPr>
                <w:rFonts w:cs="Arial"/>
                <w:szCs w:val="19"/>
                <w:lang w:val="en-US"/>
              </w:rPr>
              <w:t>≥</w:t>
            </w:r>
            <w:r w:rsidRPr="00144A8C">
              <w:rPr>
                <w:rFonts w:cs="Arial"/>
                <w:szCs w:val="19"/>
                <w:lang w:val="en-US"/>
              </w:rPr>
              <w:t xml:space="preserve">14kg to </w:t>
            </w:r>
            <w:r>
              <w:rPr>
                <w:rFonts w:cs="Arial"/>
                <w:szCs w:val="19"/>
                <w:lang w:val="en-US"/>
              </w:rPr>
              <w:t>&lt;</w:t>
            </w:r>
            <w:r w:rsidRPr="00144A8C">
              <w:rPr>
                <w:rFonts w:cs="Arial"/>
                <w:szCs w:val="19"/>
                <w:lang w:val="en-US"/>
              </w:rPr>
              <w:t>25kg without known mutations associated with resistance to the non-nucleoside reverse transcriptase inhibitor class, and with a viral load ≤100,000 HIV</w:t>
            </w:r>
            <w:r w:rsidRPr="00144A8C">
              <w:rPr>
                <w:rFonts w:ascii="Cambria Math" w:hAnsi="Cambria Math" w:cs="Cambria Math"/>
                <w:szCs w:val="19"/>
                <w:lang w:val="en-US"/>
              </w:rPr>
              <w:t>‑</w:t>
            </w:r>
            <w:r w:rsidRPr="00144A8C">
              <w:rPr>
                <w:rFonts w:cs="Arial"/>
                <w:szCs w:val="19"/>
                <w:lang w:val="en-US"/>
              </w:rPr>
              <w:t>1 RNA copies/</w:t>
            </w:r>
            <w:proofErr w:type="gramStart"/>
            <w:r w:rsidRPr="00144A8C">
              <w:rPr>
                <w:rFonts w:cs="Arial"/>
                <w:szCs w:val="19"/>
                <w:lang w:val="en-US"/>
              </w:rPr>
              <w:t>m</w:t>
            </w:r>
            <w:r>
              <w:rPr>
                <w:rFonts w:cs="Arial"/>
                <w:szCs w:val="19"/>
                <w:lang w:val="en-US"/>
              </w:rPr>
              <w:t>L</w:t>
            </w:r>
            <w:proofErr w:type="gramEnd"/>
            <w:r>
              <w:rPr>
                <w:rFonts w:cs="Arial"/>
                <w:szCs w:val="19"/>
                <w:lang w:val="en-US"/>
              </w:rPr>
              <w:t xml:space="preserve"> </w:t>
            </w:r>
          </w:p>
          <w:p w14:paraId="64D87FF4" w14:textId="77777777" w:rsidR="0087170D" w:rsidRPr="003A2DC4" w:rsidRDefault="0087170D" w:rsidP="0016265D">
            <w:pPr>
              <w:tabs>
                <w:tab w:val="center" w:pos="3152"/>
              </w:tabs>
              <w:rPr>
                <w:rFonts w:cs="Arial"/>
                <w:szCs w:val="19"/>
                <w:lang w:val="en-US"/>
              </w:rPr>
            </w:pPr>
            <w:r w:rsidRPr="00144A8C">
              <w:rPr>
                <w:rFonts w:cs="Arial"/>
                <w:sz w:val="16"/>
                <w:szCs w:val="16"/>
                <w:lang w:val="en-US"/>
              </w:rPr>
              <w:t>[new dispersible tablet formulation with new indication]</w:t>
            </w:r>
          </w:p>
        </w:tc>
      </w:tr>
      <w:tr w:rsidR="0087170D" w14:paraId="177BD42E" w14:textId="77777777" w:rsidTr="0016265D">
        <w:tc>
          <w:tcPr>
            <w:tcW w:w="1696" w:type="pct"/>
            <w:gridSpan w:val="3"/>
            <w:shd w:val="clear" w:color="auto" w:fill="auto"/>
            <w:tcMar>
              <w:top w:w="57" w:type="dxa"/>
              <w:bottom w:w="57" w:type="dxa"/>
            </w:tcMar>
          </w:tcPr>
          <w:p w14:paraId="1B646D15" w14:textId="77777777" w:rsidR="0087170D" w:rsidRDefault="0087170D" w:rsidP="0016265D">
            <w:pPr>
              <w:rPr>
                <w:rFonts w:cs="Arial"/>
                <w:szCs w:val="19"/>
              </w:rPr>
            </w:pPr>
            <w:proofErr w:type="spellStart"/>
            <w:r>
              <w:rPr>
                <w:rFonts w:cs="Arial"/>
                <w:szCs w:val="19"/>
              </w:rPr>
              <w:t>Sparsentan</w:t>
            </w:r>
            <w:proofErr w:type="spellEnd"/>
            <w:r>
              <w:rPr>
                <w:rFonts w:cs="Arial"/>
                <w:szCs w:val="19"/>
              </w:rPr>
              <w:t xml:space="preserve"> (</w:t>
            </w:r>
            <w:proofErr w:type="spellStart"/>
            <w:r>
              <w:rPr>
                <w:rFonts w:cs="Arial"/>
                <w:i/>
                <w:iCs/>
                <w:szCs w:val="19"/>
              </w:rPr>
              <w:t>Filspari</w:t>
            </w:r>
            <w:proofErr w:type="spellEnd"/>
            <w:r>
              <w:rPr>
                <w:rFonts w:cs="Arial"/>
                <w:szCs w:val="19"/>
              </w:rPr>
              <w:t>)</w:t>
            </w:r>
          </w:p>
          <w:p w14:paraId="76B98489" w14:textId="77777777" w:rsidR="0087170D" w:rsidRPr="003A2DC4" w:rsidRDefault="0087170D" w:rsidP="0016265D">
            <w:pPr>
              <w:rPr>
                <w:rFonts w:cs="Arial"/>
                <w:szCs w:val="19"/>
              </w:rPr>
            </w:pPr>
            <w:r w:rsidRPr="003A2DC4">
              <w:rPr>
                <w:rFonts w:cs="Arial"/>
                <w:sz w:val="16"/>
                <w:szCs w:val="16"/>
              </w:rPr>
              <w:t>200mg and 400mg tablets</w:t>
            </w:r>
          </w:p>
        </w:tc>
        <w:tc>
          <w:tcPr>
            <w:tcW w:w="3304" w:type="pct"/>
            <w:shd w:val="clear" w:color="auto" w:fill="auto"/>
            <w:tcMar>
              <w:top w:w="57" w:type="dxa"/>
              <w:bottom w:w="57" w:type="dxa"/>
            </w:tcMar>
          </w:tcPr>
          <w:p w14:paraId="461E67AB" w14:textId="77777777" w:rsidR="0087170D" w:rsidRPr="00A075A3" w:rsidRDefault="0087170D" w:rsidP="0016265D">
            <w:pPr>
              <w:tabs>
                <w:tab w:val="center" w:pos="3152"/>
              </w:tabs>
              <w:rPr>
                <w:rFonts w:cs="Arial"/>
                <w:szCs w:val="19"/>
                <w:lang w:val="en-US"/>
              </w:rPr>
            </w:pPr>
            <w:r w:rsidRPr="003A2DC4">
              <w:rPr>
                <w:rFonts w:cs="Arial"/>
                <w:szCs w:val="19"/>
                <w:lang w:val="en-US"/>
              </w:rPr>
              <w:t>Treatment of adults with primary immunoglobulin A nephropathy with a urine protein excretion &gt;1.0g/day (or urine protein-to-creatinine ratio ≥0.75g/g)</w:t>
            </w:r>
          </w:p>
        </w:tc>
      </w:tr>
      <w:tr w:rsidR="0087170D" w14:paraId="029CC2E2" w14:textId="77777777" w:rsidTr="0016265D">
        <w:tc>
          <w:tcPr>
            <w:tcW w:w="1696" w:type="pct"/>
            <w:gridSpan w:val="3"/>
            <w:shd w:val="clear" w:color="auto" w:fill="auto"/>
            <w:tcMar>
              <w:top w:w="57" w:type="dxa"/>
              <w:bottom w:w="57" w:type="dxa"/>
            </w:tcMar>
          </w:tcPr>
          <w:p w14:paraId="0487A003" w14:textId="77777777" w:rsidR="0087170D" w:rsidRDefault="0087170D" w:rsidP="0016265D">
            <w:pPr>
              <w:rPr>
                <w:rFonts w:cs="Arial"/>
                <w:szCs w:val="19"/>
              </w:rPr>
            </w:pPr>
            <w:r w:rsidRPr="00806719">
              <w:rPr>
                <w:rFonts w:cs="Arial"/>
                <w:szCs w:val="19"/>
              </w:rPr>
              <w:t>Spironolactone (</w:t>
            </w:r>
            <w:proofErr w:type="spellStart"/>
            <w:r w:rsidRPr="00806719">
              <w:rPr>
                <w:rFonts w:cs="Arial"/>
                <w:i/>
                <w:iCs/>
                <w:szCs w:val="19"/>
              </w:rPr>
              <w:t>Urospir</w:t>
            </w:r>
            <w:proofErr w:type="spellEnd"/>
            <w:r w:rsidRPr="00806719">
              <w:rPr>
                <w:rFonts w:cs="Arial"/>
                <w:szCs w:val="19"/>
              </w:rPr>
              <w:t>)</w:t>
            </w:r>
          </w:p>
          <w:p w14:paraId="62124883" w14:textId="77777777" w:rsidR="0087170D" w:rsidRDefault="0087170D" w:rsidP="0016265D">
            <w:pPr>
              <w:rPr>
                <w:rFonts w:cs="Arial"/>
                <w:szCs w:val="19"/>
              </w:rPr>
            </w:pPr>
            <w:r w:rsidRPr="00806719">
              <w:rPr>
                <w:rFonts w:cs="Arial"/>
                <w:sz w:val="16"/>
                <w:szCs w:val="16"/>
              </w:rPr>
              <w:t>5mg in 1mL and 10mg in 1mL oral solutions</w:t>
            </w:r>
          </w:p>
        </w:tc>
        <w:tc>
          <w:tcPr>
            <w:tcW w:w="3304" w:type="pct"/>
            <w:shd w:val="clear" w:color="auto" w:fill="auto"/>
            <w:tcMar>
              <w:top w:w="57" w:type="dxa"/>
              <w:bottom w:w="57" w:type="dxa"/>
            </w:tcMar>
          </w:tcPr>
          <w:p w14:paraId="7274B6FB" w14:textId="77777777" w:rsidR="0087170D" w:rsidRPr="003A2DC4" w:rsidRDefault="0087170D" w:rsidP="0016265D">
            <w:pPr>
              <w:tabs>
                <w:tab w:val="center" w:pos="3152"/>
              </w:tabs>
              <w:rPr>
                <w:rFonts w:cs="Arial"/>
                <w:szCs w:val="19"/>
                <w:lang w:val="en-US"/>
              </w:rPr>
            </w:pPr>
            <w:r w:rsidRPr="00806719">
              <w:rPr>
                <w:rFonts w:cs="Arial"/>
                <w:szCs w:val="19"/>
                <w:lang w:val="en-US"/>
              </w:rPr>
              <w:t>Congestive cardiac failure, hepatic cirrhosis with ascites and oedema, malignant ascites, nephrotic syndrome and diagnosis and treatment of primary aldosteronism</w:t>
            </w:r>
            <w:r>
              <w:rPr>
                <w:rFonts w:cs="Arial"/>
                <w:szCs w:val="19"/>
                <w:lang w:val="en-US"/>
              </w:rPr>
              <w:t xml:space="preserve"> </w:t>
            </w:r>
            <w:r w:rsidRPr="00806719">
              <w:rPr>
                <w:rFonts w:cs="Arial"/>
                <w:sz w:val="16"/>
                <w:szCs w:val="16"/>
                <w:lang w:val="en-US"/>
              </w:rPr>
              <w:t>[new oral solution formulations]</w:t>
            </w:r>
          </w:p>
        </w:tc>
      </w:tr>
      <w:tr w:rsidR="0087170D" w14:paraId="552108EC" w14:textId="77777777" w:rsidTr="0016265D">
        <w:tc>
          <w:tcPr>
            <w:tcW w:w="1696" w:type="pct"/>
            <w:gridSpan w:val="3"/>
            <w:shd w:val="clear" w:color="auto" w:fill="auto"/>
            <w:tcMar>
              <w:top w:w="57" w:type="dxa"/>
              <w:bottom w:w="57" w:type="dxa"/>
            </w:tcMar>
          </w:tcPr>
          <w:p w14:paraId="52ED09C7" w14:textId="77777777" w:rsidR="0087170D" w:rsidRDefault="0087170D" w:rsidP="0016265D">
            <w:pPr>
              <w:rPr>
                <w:rFonts w:cs="Arial"/>
                <w:szCs w:val="19"/>
              </w:rPr>
            </w:pPr>
            <w:proofErr w:type="spellStart"/>
            <w:r w:rsidRPr="009770B0">
              <w:rPr>
                <w:rFonts w:cs="Arial"/>
                <w:szCs w:val="19"/>
              </w:rPr>
              <w:t>Toripalimab</w:t>
            </w:r>
            <w:proofErr w:type="spellEnd"/>
            <w:r>
              <w:rPr>
                <w:rFonts w:cs="Arial"/>
                <w:szCs w:val="19"/>
              </w:rPr>
              <w:t xml:space="preserve"> (</w:t>
            </w:r>
            <w:proofErr w:type="spellStart"/>
            <w:r w:rsidRPr="009770B0">
              <w:rPr>
                <w:rFonts w:cs="Arial"/>
                <w:i/>
                <w:iCs/>
                <w:szCs w:val="19"/>
              </w:rPr>
              <w:t>Loqtorzi</w:t>
            </w:r>
            <w:proofErr w:type="spellEnd"/>
            <w:r>
              <w:rPr>
                <w:rFonts w:cs="Arial"/>
                <w:szCs w:val="19"/>
              </w:rPr>
              <w:t>)</w:t>
            </w:r>
          </w:p>
          <w:p w14:paraId="6A9D018B" w14:textId="77777777" w:rsidR="0087170D" w:rsidRPr="00E923AB" w:rsidRDefault="0087170D" w:rsidP="0016265D">
            <w:pPr>
              <w:rPr>
                <w:rFonts w:cs="Arial"/>
                <w:szCs w:val="19"/>
              </w:rPr>
            </w:pPr>
            <w:r w:rsidRPr="00E923AB">
              <w:rPr>
                <w:rFonts w:cs="Arial"/>
                <w:sz w:val="16"/>
                <w:szCs w:val="16"/>
              </w:rPr>
              <w:t>240mg in 6mL vial</w:t>
            </w:r>
          </w:p>
        </w:tc>
        <w:tc>
          <w:tcPr>
            <w:tcW w:w="3304" w:type="pct"/>
            <w:shd w:val="clear" w:color="auto" w:fill="auto"/>
            <w:tcMar>
              <w:top w:w="57" w:type="dxa"/>
              <w:bottom w:w="57" w:type="dxa"/>
            </w:tcMar>
          </w:tcPr>
          <w:p w14:paraId="245111B5" w14:textId="77777777" w:rsidR="0087170D" w:rsidRPr="00A075A3" w:rsidRDefault="0087170D" w:rsidP="0016265D">
            <w:pPr>
              <w:tabs>
                <w:tab w:val="center" w:pos="3152"/>
              </w:tabs>
              <w:rPr>
                <w:rFonts w:cs="Arial"/>
                <w:szCs w:val="19"/>
                <w:lang w:val="en-US"/>
              </w:rPr>
            </w:pPr>
            <w:r>
              <w:rPr>
                <w:rFonts w:cs="Arial"/>
                <w:szCs w:val="19"/>
                <w:lang w:val="en-US"/>
              </w:rPr>
              <w:t xml:space="preserve">Use </w:t>
            </w:r>
            <w:r w:rsidRPr="009770B0">
              <w:rPr>
                <w:rFonts w:cs="Arial"/>
                <w:szCs w:val="19"/>
                <w:lang w:val="en-US"/>
              </w:rPr>
              <w:t>in combination with cisplatin and gemcitabine, for the first-line treatment of adults with recurrent, not amenable to surgery or radiotherapy, or metastatic nasopharyngeal carcinoma</w:t>
            </w:r>
          </w:p>
        </w:tc>
      </w:tr>
      <w:tr w:rsidR="0087170D" w14:paraId="1521B28B" w14:textId="77777777" w:rsidTr="0016265D">
        <w:tc>
          <w:tcPr>
            <w:tcW w:w="1696" w:type="pct"/>
            <w:gridSpan w:val="3"/>
            <w:shd w:val="clear" w:color="auto" w:fill="auto"/>
            <w:tcMar>
              <w:top w:w="57" w:type="dxa"/>
              <w:bottom w:w="57" w:type="dxa"/>
            </w:tcMar>
          </w:tcPr>
          <w:p w14:paraId="6F601A1A" w14:textId="77777777" w:rsidR="0087170D" w:rsidRDefault="0087170D" w:rsidP="0016265D">
            <w:pPr>
              <w:rPr>
                <w:rFonts w:cs="Arial"/>
                <w:szCs w:val="19"/>
              </w:rPr>
            </w:pPr>
            <w:proofErr w:type="spellStart"/>
            <w:r w:rsidRPr="009770B0">
              <w:rPr>
                <w:rFonts w:cs="Arial"/>
                <w:szCs w:val="19"/>
              </w:rPr>
              <w:t>Toripalimab</w:t>
            </w:r>
            <w:proofErr w:type="spellEnd"/>
            <w:r>
              <w:rPr>
                <w:rFonts w:cs="Arial"/>
                <w:szCs w:val="19"/>
              </w:rPr>
              <w:t xml:space="preserve"> (</w:t>
            </w:r>
            <w:proofErr w:type="spellStart"/>
            <w:r w:rsidRPr="009770B0">
              <w:rPr>
                <w:rFonts w:cs="Arial"/>
                <w:i/>
                <w:iCs/>
                <w:szCs w:val="19"/>
              </w:rPr>
              <w:t>Loqtorzi</w:t>
            </w:r>
            <w:proofErr w:type="spellEnd"/>
            <w:r>
              <w:rPr>
                <w:rFonts w:cs="Arial"/>
                <w:szCs w:val="19"/>
              </w:rPr>
              <w:t>)</w:t>
            </w:r>
          </w:p>
          <w:p w14:paraId="54D64584" w14:textId="77777777" w:rsidR="0087170D" w:rsidRPr="009770B0" w:rsidRDefault="0087170D" w:rsidP="0016265D">
            <w:pPr>
              <w:rPr>
                <w:rFonts w:cs="Arial"/>
                <w:szCs w:val="19"/>
              </w:rPr>
            </w:pPr>
            <w:r w:rsidRPr="00E923AB">
              <w:rPr>
                <w:rFonts w:cs="Arial"/>
                <w:sz w:val="16"/>
                <w:szCs w:val="16"/>
              </w:rPr>
              <w:t>240mg in 6mL vial</w:t>
            </w:r>
          </w:p>
        </w:tc>
        <w:tc>
          <w:tcPr>
            <w:tcW w:w="3304" w:type="pct"/>
            <w:shd w:val="clear" w:color="auto" w:fill="auto"/>
            <w:tcMar>
              <w:top w:w="57" w:type="dxa"/>
              <w:bottom w:w="57" w:type="dxa"/>
            </w:tcMar>
          </w:tcPr>
          <w:p w14:paraId="3B35AC59" w14:textId="77777777" w:rsidR="0087170D" w:rsidRDefault="0087170D" w:rsidP="0016265D">
            <w:pPr>
              <w:tabs>
                <w:tab w:val="center" w:pos="3152"/>
              </w:tabs>
              <w:rPr>
                <w:rFonts w:cs="Arial"/>
                <w:szCs w:val="19"/>
                <w:lang w:val="en-US"/>
              </w:rPr>
            </w:pPr>
            <w:r>
              <w:rPr>
                <w:rFonts w:cs="Arial"/>
                <w:szCs w:val="19"/>
                <w:lang w:val="en-US"/>
              </w:rPr>
              <w:t xml:space="preserve">Use </w:t>
            </w:r>
            <w:r w:rsidRPr="00DA33A4">
              <w:rPr>
                <w:rFonts w:cs="Arial"/>
                <w:szCs w:val="19"/>
                <w:lang w:val="en-US"/>
              </w:rPr>
              <w:t>in combination with cisplatin and paclitaxel</w:t>
            </w:r>
            <w:r>
              <w:rPr>
                <w:rFonts w:cs="Arial"/>
                <w:szCs w:val="19"/>
                <w:lang w:val="en-US"/>
              </w:rPr>
              <w:t xml:space="preserve"> </w:t>
            </w:r>
            <w:r w:rsidRPr="00DA33A4">
              <w:rPr>
                <w:rFonts w:cs="Arial"/>
                <w:szCs w:val="19"/>
                <w:lang w:val="en-US"/>
              </w:rPr>
              <w:t>for the first-line treatment of adul</w:t>
            </w:r>
            <w:r>
              <w:rPr>
                <w:rFonts w:cs="Arial"/>
                <w:szCs w:val="19"/>
                <w:lang w:val="en-US"/>
              </w:rPr>
              <w:t>t</w:t>
            </w:r>
            <w:r w:rsidRPr="00DA33A4">
              <w:rPr>
                <w:rFonts w:cs="Arial"/>
                <w:szCs w:val="19"/>
                <w:lang w:val="en-US"/>
              </w:rPr>
              <w:t xml:space="preserve">s with unresectable advanced, recurrent, or metastatic </w:t>
            </w:r>
            <w:proofErr w:type="spellStart"/>
            <w:r w:rsidRPr="00DA33A4">
              <w:rPr>
                <w:rFonts w:cs="Arial"/>
                <w:szCs w:val="19"/>
                <w:lang w:val="en-US"/>
              </w:rPr>
              <w:t>oesophageal</w:t>
            </w:r>
            <w:proofErr w:type="spellEnd"/>
            <w:r w:rsidRPr="00DA33A4">
              <w:rPr>
                <w:rFonts w:cs="Arial"/>
                <w:szCs w:val="19"/>
                <w:lang w:val="en-US"/>
              </w:rPr>
              <w:t xml:space="preserve"> squamous cell carcinoma</w:t>
            </w:r>
          </w:p>
        </w:tc>
      </w:tr>
      <w:tr w:rsidR="0087170D" w:rsidRPr="00862949" w14:paraId="37966021" w14:textId="77777777" w:rsidTr="0016265D">
        <w:tc>
          <w:tcPr>
            <w:tcW w:w="5000" w:type="pct"/>
            <w:gridSpan w:val="4"/>
            <w:shd w:val="clear" w:color="auto" w:fill="auto"/>
            <w:tcMar>
              <w:top w:w="0" w:type="dxa"/>
              <w:bottom w:w="0" w:type="dxa"/>
            </w:tcMar>
          </w:tcPr>
          <w:p w14:paraId="48CB3AAA" w14:textId="77777777" w:rsidR="0087170D" w:rsidRPr="00862949" w:rsidRDefault="0087170D" w:rsidP="0016265D">
            <w:pPr>
              <w:jc w:val="center"/>
              <w:rPr>
                <w:rFonts w:cs="Arial"/>
                <w:noProof/>
                <w:sz w:val="8"/>
                <w:szCs w:val="8"/>
              </w:rPr>
            </w:pPr>
          </w:p>
        </w:tc>
      </w:tr>
      <w:tr w:rsidR="0087170D" w:rsidRPr="000F19E1" w14:paraId="63D4E0C9" w14:textId="77777777" w:rsidTr="0016265D">
        <w:tc>
          <w:tcPr>
            <w:tcW w:w="1152" w:type="pct"/>
            <w:shd w:val="clear" w:color="auto" w:fill="DAEEF3"/>
            <w:tcMar>
              <w:top w:w="0" w:type="dxa"/>
              <w:bottom w:w="0" w:type="dxa"/>
            </w:tcMar>
          </w:tcPr>
          <w:p w14:paraId="1EF299B2" w14:textId="77777777" w:rsidR="0087170D" w:rsidRPr="000F19E1" w:rsidRDefault="0087170D" w:rsidP="0016265D">
            <w:pPr>
              <w:rPr>
                <w:rFonts w:cs="Arial"/>
                <w:bCs/>
                <w:sz w:val="8"/>
                <w:szCs w:val="8"/>
              </w:rPr>
            </w:pPr>
          </w:p>
        </w:tc>
        <w:tc>
          <w:tcPr>
            <w:tcW w:w="3848" w:type="pct"/>
            <w:gridSpan w:val="3"/>
            <w:shd w:val="clear" w:color="auto" w:fill="DAEEF3"/>
            <w:tcMar>
              <w:top w:w="0" w:type="dxa"/>
              <w:bottom w:w="0" w:type="dxa"/>
            </w:tcMar>
          </w:tcPr>
          <w:p w14:paraId="5BFF14FC" w14:textId="77777777" w:rsidR="0087170D" w:rsidRPr="000F19E1" w:rsidRDefault="0087170D" w:rsidP="0016265D">
            <w:pPr>
              <w:tabs>
                <w:tab w:val="center" w:pos="3152"/>
              </w:tabs>
              <w:rPr>
                <w:rFonts w:cs="Arial"/>
                <w:sz w:val="8"/>
                <w:szCs w:val="8"/>
                <w:lang w:val="en-US"/>
              </w:rPr>
            </w:pPr>
          </w:p>
        </w:tc>
      </w:tr>
      <w:tr w:rsidR="003D2856" w:rsidRPr="00831779" w14:paraId="4578F666" w14:textId="77777777" w:rsidTr="0016265D">
        <w:tc>
          <w:tcPr>
            <w:tcW w:w="5000" w:type="pct"/>
            <w:gridSpan w:val="4"/>
            <w:shd w:val="clear" w:color="auto" w:fill="00B050"/>
            <w:tcMar>
              <w:top w:w="57" w:type="dxa"/>
              <w:bottom w:w="57" w:type="dxa"/>
            </w:tcMar>
          </w:tcPr>
          <w:p w14:paraId="593AF294" w14:textId="77777777" w:rsidR="003D2856" w:rsidRPr="00831779" w:rsidRDefault="003D2856" w:rsidP="0016265D">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3D2856" w:rsidRPr="00A075A3" w14:paraId="325CC2DC" w14:textId="77777777" w:rsidTr="00CF5CAA">
        <w:tc>
          <w:tcPr>
            <w:tcW w:w="1293" w:type="pct"/>
            <w:gridSpan w:val="2"/>
            <w:shd w:val="clear" w:color="auto" w:fill="auto"/>
            <w:tcMar>
              <w:top w:w="57" w:type="dxa"/>
              <w:bottom w:w="57" w:type="dxa"/>
            </w:tcMar>
          </w:tcPr>
          <w:p w14:paraId="4C9190B4" w14:textId="77777777" w:rsidR="003D2856" w:rsidRDefault="003D2856" w:rsidP="0016265D">
            <w:pPr>
              <w:rPr>
                <w:rFonts w:cs="Arial"/>
                <w:szCs w:val="19"/>
              </w:rPr>
            </w:pPr>
            <w:r>
              <w:rPr>
                <w:rFonts w:cs="Arial"/>
                <w:szCs w:val="19"/>
              </w:rPr>
              <w:t xml:space="preserve">Aflibercept biosimilar </w:t>
            </w:r>
          </w:p>
          <w:p w14:paraId="07692794" w14:textId="77777777" w:rsidR="003D2856" w:rsidRPr="00E41316" w:rsidRDefault="003D2856" w:rsidP="0016265D">
            <w:pPr>
              <w:rPr>
                <w:rFonts w:cs="Arial"/>
                <w:szCs w:val="19"/>
              </w:rPr>
            </w:pPr>
            <w:r>
              <w:rPr>
                <w:rFonts w:cs="Arial"/>
                <w:szCs w:val="19"/>
              </w:rPr>
              <w:t>(</w:t>
            </w:r>
            <w:proofErr w:type="spellStart"/>
            <w:r>
              <w:rPr>
                <w:rFonts w:cs="Arial"/>
                <w:i/>
                <w:iCs/>
                <w:szCs w:val="19"/>
              </w:rPr>
              <w:t>Ahzantive</w:t>
            </w:r>
            <w:proofErr w:type="spellEnd"/>
            <w:r>
              <w:rPr>
                <w:rFonts w:cs="Arial"/>
                <w:i/>
                <w:iCs/>
                <w:szCs w:val="19"/>
              </w:rPr>
              <w:t xml:space="preserve">, </w:t>
            </w:r>
            <w:proofErr w:type="spellStart"/>
            <w:r>
              <w:rPr>
                <w:rFonts w:cs="Arial"/>
                <w:i/>
                <w:iCs/>
                <w:szCs w:val="19"/>
              </w:rPr>
              <w:t>Baiama</w:t>
            </w:r>
            <w:proofErr w:type="spellEnd"/>
            <w:r>
              <w:rPr>
                <w:rFonts w:cs="Arial"/>
                <w:szCs w:val="19"/>
              </w:rPr>
              <w:t>)</w:t>
            </w:r>
          </w:p>
        </w:tc>
        <w:tc>
          <w:tcPr>
            <w:tcW w:w="3707" w:type="pct"/>
            <w:gridSpan w:val="2"/>
            <w:shd w:val="clear" w:color="auto" w:fill="auto"/>
            <w:tcMar>
              <w:top w:w="57" w:type="dxa"/>
              <w:bottom w:w="57" w:type="dxa"/>
            </w:tcMar>
          </w:tcPr>
          <w:p w14:paraId="6820189A" w14:textId="426BCE99" w:rsidR="003D2856" w:rsidRPr="00A075A3" w:rsidRDefault="003D2856" w:rsidP="0016265D">
            <w:pPr>
              <w:tabs>
                <w:tab w:val="center" w:pos="3152"/>
              </w:tabs>
              <w:rPr>
                <w:rFonts w:cs="Arial"/>
                <w:szCs w:val="19"/>
                <w:lang w:val="en-US"/>
              </w:rPr>
            </w:pPr>
            <w:r>
              <w:rPr>
                <w:rFonts w:cs="Arial"/>
                <w:szCs w:val="19"/>
                <w:lang w:val="en-US"/>
              </w:rPr>
              <w:t xml:space="preserve">Use </w:t>
            </w:r>
            <w:r w:rsidRPr="00E41316">
              <w:rPr>
                <w:rFonts w:cs="Arial"/>
                <w:szCs w:val="19"/>
                <w:lang w:val="en-US"/>
              </w:rPr>
              <w:t>for adults for the treatment of neovascular (wet) age-related macular degeneration, visual impairment due to macular oedema secondary to retinal vein occlusion (branch RVO or central RVO), visual impairment due to diabetic macular oedema,</w:t>
            </w:r>
            <w:r>
              <w:rPr>
                <w:rFonts w:cs="Arial"/>
                <w:szCs w:val="19"/>
                <w:lang w:val="en-US"/>
              </w:rPr>
              <w:t xml:space="preserve"> and</w:t>
            </w:r>
            <w:r w:rsidRPr="00E41316">
              <w:rPr>
                <w:rFonts w:cs="Arial"/>
                <w:szCs w:val="19"/>
                <w:lang w:val="en-US"/>
              </w:rPr>
              <w:t xml:space="preserve"> visual impairment due to myopic choroidal </w:t>
            </w:r>
            <w:proofErr w:type="spellStart"/>
            <w:r>
              <w:rPr>
                <w:rFonts w:cs="Arial"/>
                <w:szCs w:val="19"/>
                <w:lang w:val="en-US"/>
              </w:rPr>
              <w:t>neovasculari</w:t>
            </w:r>
            <w:r w:rsidR="00911466">
              <w:rPr>
                <w:rFonts w:cs="Arial"/>
                <w:szCs w:val="19"/>
                <w:lang w:val="en-US"/>
              </w:rPr>
              <w:t>s</w:t>
            </w:r>
            <w:r>
              <w:rPr>
                <w:rFonts w:cs="Arial"/>
                <w:szCs w:val="19"/>
                <w:lang w:val="en-US"/>
              </w:rPr>
              <w:t>ation</w:t>
            </w:r>
            <w:proofErr w:type="spellEnd"/>
            <w:r>
              <w:rPr>
                <w:rFonts w:cs="Arial"/>
                <w:szCs w:val="19"/>
                <w:lang w:val="en-US"/>
              </w:rPr>
              <w:t xml:space="preserve"> </w:t>
            </w:r>
            <w:r w:rsidRPr="00E41316">
              <w:rPr>
                <w:rFonts w:cs="Arial"/>
                <w:sz w:val="16"/>
                <w:szCs w:val="16"/>
                <w:lang w:val="en-US"/>
              </w:rPr>
              <w:t>[EU]</w:t>
            </w:r>
          </w:p>
        </w:tc>
      </w:tr>
      <w:tr w:rsidR="003D2856" w:rsidRPr="00A075A3" w14:paraId="43D60F33" w14:textId="77777777" w:rsidTr="00CF5CAA">
        <w:tc>
          <w:tcPr>
            <w:tcW w:w="1293" w:type="pct"/>
            <w:gridSpan w:val="2"/>
            <w:shd w:val="clear" w:color="auto" w:fill="auto"/>
            <w:tcMar>
              <w:top w:w="57" w:type="dxa"/>
              <w:bottom w:w="57" w:type="dxa"/>
            </w:tcMar>
          </w:tcPr>
          <w:p w14:paraId="2BAC2F84" w14:textId="77777777" w:rsidR="003D2856" w:rsidRPr="00AF0080" w:rsidRDefault="003D2856" w:rsidP="0016265D">
            <w:pPr>
              <w:rPr>
                <w:rFonts w:cs="Arial"/>
                <w:szCs w:val="19"/>
              </w:rPr>
            </w:pPr>
            <w:proofErr w:type="spellStart"/>
            <w:r>
              <w:rPr>
                <w:rFonts w:cs="Arial"/>
                <w:szCs w:val="19"/>
              </w:rPr>
              <w:t>Amivantamab</w:t>
            </w:r>
            <w:proofErr w:type="spellEnd"/>
            <w:r>
              <w:rPr>
                <w:rFonts w:cs="Arial"/>
                <w:szCs w:val="19"/>
              </w:rPr>
              <w:t xml:space="preserve"> (</w:t>
            </w:r>
            <w:proofErr w:type="spellStart"/>
            <w:r w:rsidRPr="00607855">
              <w:rPr>
                <w:rFonts w:cs="Arial"/>
                <w:i/>
                <w:iCs/>
                <w:szCs w:val="19"/>
              </w:rPr>
              <w:t>Rybrevant</w:t>
            </w:r>
            <w:proofErr w:type="spellEnd"/>
            <w:r>
              <w:rPr>
                <w:rFonts w:cs="Arial"/>
                <w:szCs w:val="19"/>
              </w:rPr>
              <w:t>)</w:t>
            </w:r>
          </w:p>
        </w:tc>
        <w:tc>
          <w:tcPr>
            <w:tcW w:w="3707" w:type="pct"/>
            <w:gridSpan w:val="2"/>
            <w:shd w:val="clear" w:color="auto" w:fill="auto"/>
            <w:tcMar>
              <w:top w:w="57" w:type="dxa"/>
              <w:bottom w:w="57" w:type="dxa"/>
            </w:tcMar>
          </w:tcPr>
          <w:p w14:paraId="07A79A45" w14:textId="77777777" w:rsidR="003D2856" w:rsidRPr="00A075A3" w:rsidRDefault="003D2856" w:rsidP="0016265D">
            <w:pPr>
              <w:tabs>
                <w:tab w:val="center" w:pos="3152"/>
              </w:tabs>
              <w:rPr>
                <w:rFonts w:cs="Arial"/>
                <w:szCs w:val="19"/>
                <w:lang w:val="en-US"/>
              </w:rPr>
            </w:pPr>
            <w:r w:rsidRPr="00607855">
              <w:rPr>
                <w:rFonts w:cs="Arial"/>
                <w:szCs w:val="19"/>
                <w:lang w:val="en-US"/>
              </w:rPr>
              <w:t xml:space="preserve">Use in combination with </w:t>
            </w:r>
            <w:proofErr w:type="spellStart"/>
            <w:r w:rsidRPr="00607855">
              <w:rPr>
                <w:rFonts w:cs="Arial"/>
                <w:szCs w:val="19"/>
                <w:lang w:val="en-US"/>
              </w:rPr>
              <w:t>lazertinib</w:t>
            </w:r>
            <w:proofErr w:type="spellEnd"/>
            <w:r w:rsidRPr="00607855">
              <w:rPr>
                <w:rFonts w:cs="Arial"/>
                <w:szCs w:val="19"/>
                <w:lang w:val="en-US"/>
              </w:rPr>
              <w:t xml:space="preserve"> for the first</w:t>
            </w:r>
            <w:r w:rsidRPr="00607855">
              <w:rPr>
                <w:rFonts w:ascii="Cambria Math" w:hAnsi="Cambria Math" w:cs="Cambria Math"/>
                <w:szCs w:val="19"/>
                <w:lang w:val="en-US"/>
              </w:rPr>
              <w:t>‑</w:t>
            </w:r>
            <w:r w:rsidRPr="00607855">
              <w:rPr>
                <w:rFonts w:cs="Arial"/>
                <w:szCs w:val="19"/>
                <w:lang w:val="en-US"/>
              </w:rPr>
              <w:t>line treatment of adults with advanced non</w:t>
            </w:r>
            <w:r w:rsidRPr="00607855">
              <w:rPr>
                <w:rFonts w:ascii="Cambria Math" w:hAnsi="Cambria Math" w:cs="Cambria Math"/>
                <w:szCs w:val="19"/>
                <w:lang w:val="en-US"/>
              </w:rPr>
              <w:t>‑</w:t>
            </w:r>
            <w:r w:rsidRPr="00607855">
              <w:rPr>
                <w:rFonts w:cs="Arial"/>
                <w:szCs w:val="19"/>
                <w:lang w:val="en-US"/>
              </w:rPr>
              <w:t>small cell lung cancer with EGFR Exon 19 deletions or Exon 21 L858R substitution mutations</w:t>
            </w:r>
            <w:r>
              <w:rPr>
                <w:rFonts w:cs="Arial"/>
                <w:szCs w:val="19"/>
                <w:lang w:val="en-US"/>
              </w:rPr>
              <w:t xml:space="preserve"> </w:t>
            </w:r>
            <w:r w:rsidRPr="00607855">
              <w:rPr>
                <w:rFonts w:cs="Arial"/>
                <w:sz w:val="16"/>
                <w:szCs w:val="16"/>
                <w:lang w:val="en-US"/>
              </w:rPr>
              <w:t>[EU] [new indication]</w:t>
            </w:r>
          </w:p>
        </w:tc>
      </w:tr>
      <w:tr w:rsidR="003D2856" w14:paraId="3672C4CE" w14:textId="77777777" w:rsidTr="00CF5CAA">
        <w:tc>
          <w:tcPr>
            <w:tcW w:w="1293" w:type="pct"/>
            <w:gridSpan w:val="2"/>
            <w:shd w:val="clear" w:color="auto" w:fill="auto"/>
            <w:tcMar>
              <w:top w:w="57" w:type="dxa"/>
              <w:bottom w:w="57" w:type="dxa"/>
            </w:tcMar>
          </w:tcPr>
          <w:p w14:paraId="0611F1F8" w14:textId="77777777" w:rsidR="003D2856" w:rsidRPr="00117F28" w:rsidRDefault="003D2856" w:rsidP="0016265D">
            <w:pPr>
              <w:rPr>
                <w:rFonts w:cs="Arial"/>
                <w:szCs w:val="19"/>
              </w:rPr>
            </w:pPr>
            <w:r w:rsidRPr="00117F28">
              <w:rPr>
                <w:rFonts w:cs="Arial"/>
                <w:szCs w:val="19"/>
              </w:rPr>
              <w:t>Arachis hypogaea </w:t>
            </w:r>
            <w:r>
              <w:rPr>
                <w:rFonts w:cs="Arial"/>
                <w:szCs w:val="19"/>
              </w:rPr>
              <w:t>(</w:t>
            </w:r>
            <w:proofErr w:type="spellStart"/>
            <w:r>
              <w:rPr>
                <w:rFonts w:cs="Arial"/>
                <w:i/>
                <w:iCs/>
                <w:szCs w:val="19"/>
              </w:rPr>
              <w:t>Palforzia</w:t>
            </w:r>
            <w:proofErr w:type="spellEnd"/>
            <w:r>
              <w:rPr>
                <w:rFonts w:cs="Arial"/>
                <w:szCs w:val="19"/>
              </w:rPr>
              <w:t>)</w:t>
            </w:r>
          </w:p>
        </w:tc>
        <w:tc>
          <w:tcPr>
            <w:tcW w:w="3707" w:type="pct"/>
            <w:gridSpan w:val="2"/>
            <w:shd w:val="clear" w:color="auto" w:fill="auto"/>
            <w:tcMar>
              <w:top w:w="57" w:type="dxa"/>
              <w:bottom w:w="57" w:type="dxa"/>
            </w:tcMar>
          </w:tcPr>
          <w:p w14:paraId="627E1012" w14:textId="77777777" w:rsidR="00CF5CAA" w:rsidRDefault="003D2856" w:rsidP="0016265D">
            <w:pPr>
              <w:tabs>
                <w:tab w:val="center" w:pos="3152"/>
              </w:tabs>
              <w:rPr>
                <w:rFonts w:cs="Arial"/>
                <w:sz w:val="16"/>
                <w:szCs w:val="16"/>
                <w:lang w:val="en-US"/>
              </w:rPr>
            </w:pPr>
            <w:r w:rsidRPr="00117F28">
              <w:rPr>
                <w:rFonts w:cs="Arial"/>
                <w:szCs w:val="19"/>
                <w:lang w:val="en-US"/>
              </w:rPr>
              <w:t xml:space="preserve">Treatment of patients aged 1 to 17 years with a confirmed diagnosis of peanut allergy. </w:t>
            </w:r>
            <w:proofErr w:type="spellStart"/>
            <w:r w:rsidRPr="00117F28">
              <w:rPr>
                <w:rFonts w:cs="Arial"/>
                <w:i/>
                <w:iCs/>
                <w:szCs w:val="19"/>
                <w:lang w:val="en-US"/>
              </w:rPr>
              <w:t>Palforzia</w:t>
            </w:r>
            <w:proofErr w:type="spellEnd"/>
            <w:r w:rsidRPr="00117F28">
              <w:rPr>
                <w:rFonts w:cs="Arial"/>
                <w:szCs w:val="19"/>
                <w:lang w:val="en-US"/>
              </w:rPr>
              <w:t xml:space="preserve"> may be continued in patients 18 years of age and older</w:t>
            </w:r>
            <w:r>
              <w:rPr>
                <w:rFonts w:cs="Arial"/>
                <w:szCs w:val="19"/>
                <w:lang w:val="en-US"/>
              </w:rPr>
              <w:t xml:space="preserve">. </w:t>
            </w:r>
            <w:r w:rsidRPr="00117F28">
              <w:rPr>
                <w:rFonts w:cs="Arial"/>
                <w:sz w:val="16"/>
                <w:szCs w:val="16"/>
                <w:lang w:val="en-US"/>
              </w:rPr>
              <w:t xml:space="preserve">[EU] </w:t>
            </w:r>
          </w:p>
          <w:p w14:paraId="797C73C8" w14:textId="1B2B2D85" w:rsidR="003D2856" w:rsidRPr="00DB6BA1" w:rsidRDefault="003D2856" w:rsidP="0016265D">
            <w:pPr>
              <w:tabs>
                <w:tab w:val="center" w:pos="3152"/>
              </w:tabs>
              <w:rPr>
                <w:rFonts w:cs="Arial"/>
                <w:szCs w:val="19"/>
                <w:lang w:val="en-US"/>
              </w:rPr>
            </w:pPr>
            <w:r w:rsidRPr="00117F28">
              <w:rPr>
                <w:rFonts w:cs="Arial"/>
                <w:sz w:val="16"/>
                <w:szCs w:val="16"/>
                <w:lang w:val="en-US"/>
              </w:rPr>
              <w:t xml:space="preserve">[licence change from use only in patients aged </w:t>
            </w:r>
            <w:r>
              <w:rPr>
                <w:rFonts w:cs="Arial"/>
                <w:sz w:val="16"/>
                <w:szCs w:val="16"/>
                <w:lang w:val="en-US"/>
              </w:rPr>
              <w:t>≥</w:t>
            </w:r>
            <w:r w:rsidRPr="00117F28">
              <w:rPr>
                <w:rFonts w:cs="Arial"/>
                <w:sz w:val="16"/>
                <w:szCs w:val="16"/>
                <w:lang w:val="en-US"/>
              </w:rPr>
              <w:t>4 years]</w:t>
            </w:r>
          </w:p>
        </w:tc>
      </w:tr>
      <w:tr w:rsidR="003D2856" w:rsidRPr="000F19E1" w14:paraId="26EA7F72" w14:textId="77777777" w:rsidTr="00CF5CAA">
        <w:tc>
          <w:tcPr>
            <w:tcW w:w="1293" w:type="pct"/>
            <w:gridSpan w:val="2"/>
            <w:shd w:val="clear" w:color="auto" w:fill="auto"/>
            <w:tcMar>
              <w:top w:w="0" w:type="dxa"/>
              <w:bottom w:w="0" w:type="dxa"/>
            </w:tcMar>
          </w:tcPr>
          <w:p w14:paraId="458C2149" w14:textId="77777777" w:rsidR="003D2856" w:rsidRPr="000F19E1" w:rsidRDefault="003D2856" w:rsidP="0016265D">
            <w:pPr>
              <w:rPr>
                <w:rFonts w:cs="Arial"/>
                <w:bCs/>
                <w:sz w:val="8"/>
                <w:szCs w:val="8"/>
              </w:rPr>
            </w:pPr>
          </w:p>
        </w:tc>
        <w:tc>
          <w:tcPr>
            <w:tcW w:w="3707" w:type="pct"/>
            <w:gridSpan w:val="2"/>
            <w:shd w:val="clear" w:color="auto" w:fill="auto"/>
            <w:tcMar>
              <w:top w:w="0" w:type="dxa"/>
              <w:bottom w:w="0" w:type="dxa"/>
            </w:tcMar>
          </w:tcPr>
          <w:p w14:paraId="2BE5B8AD" w14:textId="77777777" w:rsidR="003D2856" w:rsidRPr="000F19E1" w:rsidRDefault="003D2856" w:rsidP="0016265D">
            <w:pPr>
              <w:tabs>
                <w:tab w:val="center" w:pos="3152"/>
              </w:tabs>
              <w:rPr>
                <w:rFonts w:cs="Arial"/>
                <w:sz w:val="8"/>
                <w:szCs w:val="8"/>
                <w:lang w:val="en-US"/>
              </w:rPr>
            </w:pPr>
          </w:p>
        </w:tc>
      </w:tr>
      <w:tr w:rsidR="003D2856" w:rsidRPr="000F19E1" w14:paraId="107D307D" w14:textId="77777777" w:rsidTr="0016265D">
        <w:tc>
          <w:tcPr>
            <w:tcW w:w="1152" w:type="pct"/>
            <w:shd w:val="clear" w:color="auto" w:fill="DAEEF3"/>
            <w:tcMar>
              <w:top w:w="0" w:type="dxa"/>
              <w:bottom w:w="0" w:type="dxa"/>
            </w:tcMar>
          </w:tcPr>
          <w:p w14:paraId="0D27ED8B" w14:textId="77777777" w:rsidR="003D2856" w:rsidRPr="000F19E1" w:rsidRDefault="003D2856" w:rsidP="0016265D">
            <w:pPr>
              <w:rPr>
                <w:rFonts w:cs="Arial"/>
                <w:bCs/>
                <w:sz w:val="8"/>
                <w:szCs w:val="8"/>
              </w:rPr>
            </w:pPr>
          </w:p>
        </w:tc>
        <w:tc>
          <w:tcPr>
            <w:tcW w:w="3848" w:type="pct"/>
            <w:gridSpan w:val="3"/>
            <w:shd w:val="clear" w:color="auto" w:fill="DAEEF3"/>
            <w:tcMar>
              <w:top w:w="0" w:type="dxa"/>
              <w:bottom w:w="0" w:type="dxa"/>
            </w:tcMar>
          </w:tcPr>
          <w:p w14:paraId="4FD098A7" w14:textId="77777777" w:rsidR="003D2856" w:rsidRPr="000F19E1" w:rsidRDefault="003D2856" w:rsidP="0016265D">
            <w:pPr>
              <w:tabs>
                <w:tab w:val="center" w:pos="3152"/>
              </w:tabs>
              <w:rPr>
                <w:rFonts w:cs="Arial"/>
                <w:sz w:val="8"/>
                <w:szCs w:val="8"/>
                <w:lang w:val="en-US"/>
              </w:rPr>
            </w:pPr>
          </w:p>
        </w:tc>
      </w:tr>
    </w:tbl>
    <w:p w14:paraId="7E7EC25B" w14:textId="23660692" w:rsidR="009E775B" w:rsidRDefault="009E775B">
      <w:r>
        <w:br w:type="page"/>
      </w:r>
    </w:p>
    <w:p w14:paraId="0EAA8E96" w14:textId="77777777" w:rsidR="009E775B" w:rsidRDefault="009E775B"/>
    <w:tbl>
      <w:tblPr>
        <w:tblW w:w="5170" w:type="pct"/>
        <w:tblInd w:w="-176" w:type="dxa"/>
        <w:tblLayout w:type="fixed"/>
        <w:tblLook w:val="01E0" w:firstRow="1" w:lastRow="1" w:firstColumn="1" w:lastColumn="1" w:noHBand="0" w:noVBand="0"/>
      </w:tblPr>
      <w:tblGrid>
        <w:gridCol w:w="2431"/>
        <w:gridCol w:w="863"/>
        <w:gridCol w:w="7257"/>
      </w:tblGrid>
      <w:tr w:rsidR="009E775B" w:rsidRPr="00862949" w14:paraId="2BEAF805" w14:textId="77777777" w:rsidTr="009562B8">
        <w:tc>
          <w:tcPr>
            <w:tcW w:w="5000" w:type="pct"/>
            <w:gridSpan w:val="3"/>
            <w:shd w:val="clear" w:color="auto" w:fill="0070C0"/>
            <w:tcMar>
              <w:top w:w="85" w:type="dxa"/>
              <w:bottom w:w="85" w:type="dxa"/>
            </w:tcMar>
            <w:vAlign w:val="bottom"/>
          </w:tcPr>
          <w:p w14:paraId="3EBB20ED" w14:textId="77777777" w:rsidR="009E775B" w:rsidRPr="00862949" w:rsidRDefault="009E775B" w:rsidP="009562B8">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9E775B" w:rsidRPr="00862949" w14:paraId="6D2570F2" w14:textId="77777777" w:rsidTr="009562B8">
        <w:tc>
          <w:tcPr>
            <w:tcW w:w="5000" w:type="pct"/>
            <w:gridSpan w:val="3"/>
            <w:shd w:val="clear" w:color="auto" w:fill="DAEEF3"/>
            <w:tcMar>
              <w:top w:w="0" w:type="dxa"/>
              <w:bottom w:w="0" w:type="dxa"/>
            </w:tcMar>
          </w:tcPr>
          <w:p w14:paraId="70399C13" w14:textId="77777777" w:rsidR="009E775B" w:rsidRPr="00862949" w:rsidRDefault="009E775B" w:rsidP="009562B8">
            <w:pPr>
              <w:rPr>
                <w:rFonts w:cs="Arial"/>
                <w:b/>
                <w:bCs/>
                <w:i/>
                <w:iCs/>
                <w:color w:val="000000"/>
                <w:sz w:val="8"/>
                <w:szCs w:val="8"/>
                <w:lang w:val="en-US"/>
              </w:rPr>
            </w:pPr>
          </w:p>
        </w:tc>
      </w:tr>
      <w:tr w:rsidR="00996008" w:rsidRPr="00831779" w14:paraId="6CD4E9B0" w14:textId="77777777" w:rsidTr="00D6452A">
        <w:tc>
          <w:tcPr>
            <w:tcW w:w="5000" w:type="pct"/>
            <w:gridSpan w:val="3"/>
            <w:shd w:val="clear" w:color="auto" w:fill="00B050"/>
            <w:tcMar>
              <w:top w:w="57" w:type="dxa"/>
              <w:bottom w:w="57" w:type="dxa"/>
            </w:tcMar>
          </w:tcPr>
          <w:p w14:paraId="0199300C" w14:textId="20E96FC7" w:rsidR="00996008" w:rsidRPr="00831779" w:rsidRDefault="00996008" w:rsidP="00996008">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996008" w14:paraId="4B15A393" w14:textId="77777777" w:rsidTr="007A24A6">
        <w:tc>
          <w:tcPr>
            <w:tcW w:w="1561" w:type="pct"/>
            <w:gridSpan w:val="2"/>
            <w:shd w:val="clear" w:color="auto" w:fill="auto"/>
            <w:tcMar>
              <w:top w:w="57" w:type="dxa"/>
              <w:bottom w:w="57" w:type="dxa"/>
            </w:tcMar>
          </w:tcPr>
          <w:p w14:paraId="7388E4F7" w14:textId="4B727017" w:rsidR="00996008" w:rsidRDefault="00996008" w:rsidP="00996008">
            <w:pPr>
              <w:rPr>
                <w:rFonts w:cs="Arial"/>
                <w:szCs w:val="19"/>
              </w:rPr>
            </w:pPr>
            <w:r w:rsidRPr="00DB6BA1">
              <w:rPr>
                <w:rFonts w:cs="Arial"/>
                <w:szCs w:val="19"/>
              </w:rPr>
              <w:t>COVID-19 vaccine (recombinant, adjuvanted)</w:t>
            </w:r>
            <w:r>
              <w:rPr>
                <w:rFonts w:cs="Arial"/>
                <w:szCs w:val="19"/>
              </w:rPr>
              <w:t xml:space="preserve"> (</w:t>
            </w:r>
            <w:r w:rsidRPr="00DB6BA1">
              <w:rPr>
                <w:rFonts w:cs="Arial"/>
                <w:i/>
                <w:iCs/>
                <w:szCs w:val="19"/>
              </w:rPr>
              <w:t>Nuvaxovid JN.1</w:t>
            </w:r>
            <w:r>
              <w:rPr>
                <w:rFonts w:cs="Arial"/>
                <w:szCs w:val="19"/>
              </w:rPr>
              <w:t>)</w:t>
            </w:r>
          </w:p>
        </w:tc>
        <w:tc>
          <w:tcPr>
            <w:tcW w:w="3439" w:type="pct"/>
            <w:shd w:val="clear" w:color="auto" w:fill="auto"/>
            <w:tcMar>
              <w:top w:w="57" w:type="dxa"/>
              <w:bottom w:w="57" w:type="dxa"/>
            </w:tcMar>
          </w:tcPr>
          <w:p w14:paraId="65C4D469" w14:textId="0569D758" w:rsidR="00996008" w:rsidRPr="007A70FB" w:rsidRDefault="00996008" w:rsidP="00996008">
            <w:pPr>
              <w:tabs>
                <w:tab w:val="center" w:pos="3152"/>
              </w:tabs>
              <w:rPr>
                <w:rFonts w:cs="Arial"/>
                <w:szCs w:val="19"/>
                <w:lang w:val="en-US"/>
              </w:rPr>
            </w:pPr>
            <w:r w:rsidRPr="00DB6BA1">
              <w:rPr>
                <w:rFonts w:cs="Arial"/>
                <w:szCs w:val="19"/>
                <w:lang w:val="en-US"/>
              </w:rPr>
              <w:t xml:space="preserve">Active </w:t>
            </w:r>
            <w:proofErr w:type="spellStart"/>
            <w:r w:rsidRPr="00DB6BA1">
              <w:rPr>
                <w:rFonts w:cs="Arial"/>
                <w:szCs w:val="19"/>
                <w:lang w:val="en-US"/>
              </w:rPr>
              <w:t>immunisation</w:t>
            </w:r>
            <w:proofErr w:type="spellEnd"/>
            <w:r w:rsidRPr="00DB6BA1">
              <w:rPr>
                <w:rFonts w:cs="Arial"/>
                <w:szCs w:val="19"/>
                <w:lang w:val="en-US"/>
              </w:rPr>
              <w:t xml:space="preserve"> to prevent COVID-19 caused by SARS-CoV-2 in individuals </w:t>
            </w:r>
            <w:r>
              <w:rPr>
                <w:rFonts w:cs="Arial"/>
                <w:szCs w:val="19"/>
                <w:lang w:val="en-US"/>
              </w:rPr>
              <w:t>aged ≥</w:t>
            </w:r>
            <w:r w:rsidRPr="00DB6BA1">
              <w:rPr>
                <w:rFonts w:cs="Arial"/>
                <w:szCs w:val="19"/>
                <w:lang w:val="en-US"/>
              </w:rPr>
              <w:t>12 years</w:t>
            </w:r>
            <w:r>
              <w:rPr>
                <w:rFonts w:cs="Arial"/>
                <w:szCs w:val="19"/>
                <w:lang w:val="en-US"/>
              </w:rPr>
              <w:t xml:space="preserve"> </w:t>
            </w:r>
            <w:r w:rsidRPr="00DB6BA1">
              <w:rPr>
                <w:rFonts w:cs="Arial"/>
                <w:sz w:val="16"/>
                <w:szCs w:val="16"/>
                <w:lang w:val="en-US"/>
              </w:rPr>
              <w:t>[EU]</w:t>
            </w:r>
          </w:p>
        </w:tc>
      </w:tr>
      <w:tr w:rsidR="00996008" w14:paraId="46D7F5B7" w14:textId="77777777" w:rsidTr="007A24A6">
        <w:tc>
          <w:tcPr>
            <w:tcW w:w="1561" w:type="pct"/>
            <w:gridSpan w:val="2"/>
            <w:shd w:val="clear" w:color="auto" w:fill="auto"/>
            <w:tcMar>
              <w:top w:w="57" w:type="dxa"/>
              <w:bottom w:w="57" w:type="dxa"/>
            </w:tcMar>
          </w:tcPr>
          <w:p w14:paraId="1F3029C0" w14:textId="065ED809" w:rsidR="00996008" w:rsidRPr="007A70FB" w:rsidRDefault="00996008" w:rsidP="00996008">
            <w:pPr>
              <w:rPr>
                <w:rFonts w:cs="Arial"/>
                <w:szCs w:val="19"/>
              </w:rPr>
            </w:pPr>
            <w:r>
              <w:rPr>
                <w:rFonts w:cs="Arial"/>
                <w:szCs w:val="19"/>
              </w:rPr>
              <w:t>Denosumab biosimilar (</w:t>
            </w:r>
            <w:proofErr w:type="spellStart"/>
            <w:r>
              <w:rPr>
                <w:rFonts w:cs="Arial"/>
                <w:i/>
                <w:iCs/>
                <w:szCs w:val="19"/>
              </w:rPr>
              <w:t>Obodence</w:t>
            </w:r>
            <w:proofErr w:type="spellEnd"/>
            <w:r>
              <w:rPr>
                <w:rFonts w:cs="Arial"/>
                <w:szCs w:val="19"/>
              </w:rPr>
              <w:t>)</w:t>
            </w:r>
          </w:p>
        </w:tc>
        <w:tc>
          <w:tcPr>
            <w:tcW w:w="3439" w:type="pct"/>
            <w:shd w:val="clear" w:color="auto" w:fill="auto"/>
            <w:tcMar>
              <w:top w:w="57" w:type="dxa"/>
              <w:bottom w:w="57" w:type="dxa"/>
            </w:tcMar>
          </w:tcPr>
          <w:p w14:paraId="15BE7695" w14:textId="6C86F9C2" w:rsidR="00996008" w:rsidRDefault="00996008" w:rsidP="00996008">
            <w:pPr>
              <w:tabs>
                <w:tab w:val="center" w:pos="3152"/>
              </w:tabs>
              <w:rPr>
                <w:rFonts w:cs="Arial"/>
                <w:szCs w:val="19"/>
                <w:lang w:val="en-US"/>
              </w:rPr>
            </w:pPr>
            <w:r w:rsidRPr="007A70FB">
              <w:rPr>
                <w:rFonts w:cs="Arial"/>
                <w:szCs w:val="19"/>
                <w:lang w:val="en-US"/>
              </w:rPr>
              <w:t>Treatment of osteoporosis in postmenopausal women and in men at increased risk of fractures, treatment of bone loss associated with hormone ablation in men with prostate cancer at increased risk of fractures and treatment of bone loss associated with long-term systemic glucocorticoid therapy in adult patients at increased risk of fracture</w:t>
            </w:r>
            <w:r>
              <w:rPr>
                <w:rFonts w:cs="Arial"/>
                <w:szCs w:val="19"/>
                <w:lang w:val="en-US"/>
              </w:rPr>
              <w:t xml:space="preserve"> </w:t>
            </w:r>
            <w:r w:rsidRPr="007A70FB">
              <w:rPr>
                <w:rFonts w:cs="Arial"/>
                <w:sz w:val="16"/>
                <w:szCs w:val="16"/>
                <w:lang w:val="en-US"/>
              </w:rPr>
              <w:t>[EU]</w:t>
            </w:r>
          </w:p>
        </w:tc>
      </w:tr>
      <w:tr w:rsidR="00996008" w14:paraId="2B9E2B39" w14:textId="77777777" w:rsidTr="007A24A6">
        <w:tc>
          <w:tcPr>
            <w:tcW w:w="1561" w:type="pct"/>
            <w:gridSpan w:val="2"/>
            <w:shd w:val="clear" w:color="auto" w:fill="auto"/>
            <w:tcMar>
              <w:top w:w="57" w:type="dxa"/>
              <w:bottom w:w="57" w:type="dxa"/>
            </w:tcMar>
          </w:tcPr>
          <w:p w14:paraId="65FA412C" w14:textId="6B646BDF" w:rsidR="00996008" w:rsidRPr="007A70FB" w:rsidRDefault="00996008" w:rsidP="00996008">
            <w:pPr>
              <w:rPr>
                <w:rFonts w:cs="Arial"/>
                <w:szCs w:val="19"/>
              </w:rPr>
            </w:pPr>
            <w:r>
              <w:rPr>
                <w:rFonts w:cs="Arial"/>
                <w:szCs w:val="19"/>
              </w:rPr>
              <w:t>Denosumab biosimilar (</w:t>
            </w:r>
            <w:proofErr w:type="spellStart"/>
            <w:r>
              <w:rPr>
                <w:rFonts w:cs="Arial"/>
                <w:i/>
                <w:iCs/>
                <w:szCs w:val="19"/>
              </w:rPr>
              <w:t>Xbryk</w:t>
            </w:r>
            <w:proofErr w:type="spellEnd"/>
            <w:r>
              <w:rPr>
                <w:rFonts w:cs="Arial"/>
                <w:szCs w:val="19"/>
              </w:rPr>
              <w:t>)</w:t>
            </w:r>
          </w:p>
        </w:tc>
        <w:tc>
          <w:tcPr>
            <w:tcW w:w="3439" w:type="pct"/>
            <w:shd w:val="clear" w:color="auto" w:fill="auto"/>
            <w:tcMar>
              <w:top w:w="57" w:type="dxa"/>
              <w:bottom w:w="57" w:type="dxa"/>
            </w:tcMar>
          </w:tcPr>
          <w:p w14:paraId="4CA33111" w14:textId="068B3756" w:rsidR="00996008" w:rsidRDefault="00996008" w:rsidP="00996008">
            <w:pPr>
              <w:tabs>
                <w:tab w:val="center" w:pos="3152"/>
              </w:tabs>
              <w:rPr>
                <w:rFonts w:cs="Arial"/>
                <w:szCs w:val="19"/>
                <w:lang w:val="en-US"/>
              </w:rPr>
            </w:pPr>
            <w:r>
              <w:rPr>
                <w:rFonts w:cs="Arial"/>
                <w:szCs w:val="19"/>
                <w:lang w:val="en-US"/>
              </w:rPr>
              <w:t>Preventio</w:t>
            </w:r>
            <w:r w:rsidRPr="007A70FB">
              <w:rPr>
                <w:rFonts w:cs="Arial"/>
                <w:szCs w:val="19"/>
                <w:lang w:val="en-US"/>
              </w:rPr>
              <w:t>n of skeletal related events (pathological fracture, radiation to bone, spinal cord compression or surgery to bone) in adults with advanced malignancies involving bone and treatment of adults and skeletally mature adolescents with giant cell tumour of bone that is unresectable or where surgical resection is likely to result in severe morbidity</w:t>
            </w:r>
            <w:r>
              <w:rPr>
                <w:rFonts w:cs="Arial"/>
                <w:szCs w:val="19"/>
                <w:lang w:val="en-US"/>
              </w:rPr>
              <w:t xml:space="preserve"> [EU]</w:t>
            </w:r>
          </w:p>
        </w:tc>
      </w:tr>
      <w:tr w:rsidR="00996008" w14:paraId="2D6AC5AB" w14:textId="77777777" w:rsidTr="007A24A6">
        <w:tc>
          <w:tcPr>
            <w:tcW w:w="1561" w:type="pct"/>
            <w:gridSpan w:val="2"/>
            <w:shd w:val="clear" w:color="auto" w:fill="auto"/>
            <w:tcMar>
              <w:top w:w="57" w:type="dxa"/>
              <w:bottom w:w="57" w:type="dxa"/>
            </w:tcMar>
          </w:tcPr>
          <w:p w14:paraId="6DECFF93" w14:textId="05A39F72" w:rsidR="00996008" w:rsidRPr="00785862" w:rsidRDefault="002944E5" w:rsidP="00996008">
            <w:pPr>
              <w:rPr>
                <w:rFonts w:cs="Arial"/>
                <w:szCs w:val="19"/>
              </w:rPr>
            </w:pPr>
            <w:r w:rsidRPr="002944E5">
              <w:rPr>
                <w:rFonts w:cs="Arial"/>
                <w:szCs w:val="19"/>
              </w:rPr>
              <w:t>Evinacumab (</w:t>
            </w:r>
            <w:r w:rsidRPr="002944E5">
              <w:rPr>
                <w:rFonts w:cs="Arial"/>
                <w:i/>
                <w:iCs/>
                <w:szCs w:val="19"/>
              </w:rPr>
              <w:t>Evkeeza</w:t>
            </w:r>
            <w:r w:rsidRPr="002944E5">
              <w:rPr>
                <w:rFonts w:cs="Arial"/>
                <w:szCs w:val="19"/>
              </w:rPr>
              <w:t>)</w:t>
            </w:r>
          </w:p>
        </w:tc>
        <w:tc>
          <w:tcPr>
            <w:tcW w:w="3439" w:type="pct"/>
            <w:shd w:val="clear" w:color="auto" w:fill="auto"/>
            <w:tcMar>
              <w:top w:w="57" w:type="dxa"/>
              <w:bottom w:w="57" w:type="dxa"/>
            </w:tcMar>
          </w:tcPr>
          <w:p w14:paraId="390EED02" w14:textId="77777777" w:rsidR="002944E5" w:rsidRDefault="002944E5" w:rsidP="00996008">
            <w:pPr>
              <w:tabs>
                <w:tab w:val="num" w:pos="720"/>
                <w:tab w:val="center" w:pos="3152"/>
              </w:tabs>
              <w:rPr>
                <w:rFonts w:cs="Arial"/>
                <w:sz w:val="16"/>
                <w:szCs w:val="16"/>
                <w:lang w:val="en-US"/>
              </w:rPr>
            </w:pPr>
            <w:r>
              <w:rPr>
                <w:rFonts w:cs="Arial"/>
                <w:szCs w:val="19"/>
                <w:lang w:val="en-US"/>
              </w:rPr>
              <w:t xml:space="preserve">Use </w:t>
            </w:r>
            <w:r w:rsidRPr="002944E5">
              <w:rPr>
                <w:rFonts w:cs="Arial"/>
                <w:szCs w:val="19"/>
                <w:lang w:val="en-US"/>
              </w:rPr>
              <w:t xml:space="preserve">as an adjunct to diet and other low-density lipoprotein-cholesterol lowering therapies for the treatment of adult and paediatric patients aged </w:t>
            </w:r>
            <w:r>
              <w:rPr>
                <w:rFonts w:cs="Arial"/>
                <w:szCs w:val="19"/>
                <w:lang w:val="en-US"/>
              </w:rPr>
              <w:t>≥</w:t>
            </w:r>
            <w:r w:rsidRPr="002944E5">
              <w:rPr>
                <w:rFonts w:cs="Arial"/>
                <w:szCs w:val="19"/>
                <w:lang w:val="en-US"/>
              </w:rPr>
              <w:t xml:space="preserve">6 months with homozygous familial </w:t>
            </w:r>
            <w:proofErr w:type="spellStart"/>
            <w:r w:rsidRPr="002944E5">
              <w:rPr>
                <w:rFonts w:cs="Arial"/>
                <w:szCs w:val="19"/>
                <w:lang w:val="en-US"/>
              </w:rPr>
              <w:t>hypercholesterolaemia</w:t>
            </w:r>
            <w:proofErr w:type="spellEnd"/>
            <w:r>
              <w:rPr>
                <w:rFonts w:cs="Arial"/>
                <w:szCs w:val="19"/>
                <w:lang w:val="en-US"/>
              </w:rPr>
              <w:t xml:space="preserve"> </w:t>
            </w:r>
            <w:r w:rsidRPr="002944E5">
              <w:rPr>
                <w:rFonts w:cs="Arial"/>
                <w:sz w:val="16"/>
                <w:szCs w:val="16"/>
                <w:lang w:val="en-US"/>
              </w:rPr>
              <w:t xml:space="preserve">[EU] </w:t>
            </w:r>
          </w:p>
          <w:p w14:paraId="38158A63" w14:textId="3C02233F" w:rsidR="00996008" w:rsidRDefault="002944E5" w:rsidP="00996008">
            <w:pPr>
              <w:tabs>
                <w:tab w:val="num" w:pos="720"/>
                <w:tab w:val="center" w:pos="3152"/>
              </w:tabs>
              <w:rPr>
                <w:rFonts w:cs="Arial"/>
                <w:szCs w:val="19"/>
                <w:lang w:val="en-US"/>
              </w:rPr>
            </w:pPr>
            <w:r w:rsidRPr="002944E5">
              <w:rPr>
                <w:rFonts w:cs="Arial"/>
                <w:sz w:val="16"/>
                <w:szCs w:val="16"/>
                <w:lang w:val="en-US"/>
              </w:rPr>
              <w:t>[licence change from use only in patients aged ≥5 years]</w:t>
            </w:r>
          </w:p>
        </w:tc>
      </w:tr>
      <w:tr w:rsidR="00996008" w14:paraId="2BAB83DA" w14:textId="77777777" w:rsidTr="007A24A6">
        <w:tc>
          <w:tcPr>
            <w:tcW w:w="1561" w:type="pct"/>
            <w:gridSpan w:val="2"/>
            <w:shd w:val="clear" w:color="auto" w:fill="auto"/>
            <w:tcMar>
              <w:top w:w="57" w:type="dxa"/>
              <w:bottom w:w="57" w:type="dxa"/>
            </w:tcMar>
          </w:tcPr>
          <w:p w14:paraId="742DF275" w14:textId="45CC50D4" w:rsidR="00996008" w:rsidRPr="00117F28" w:rsidRDefault="00117F28" w:rsidP="00117F28">
            <w:pPr>
              <w:tabs>
                <w:tab w:val="left" w:pos="870"/>
              </w:tabs>
              <w:rPr>
                <w:rFonts w:cs="Arial"/>
                <w:szCs w:val="19"/>
              </w:rPr>
            </w:pPr>
            <w:r>
              <w:rPr>
                <w:rFonts w:cs="Arial"/>
                <w:szCs w:val="19"/>
              </w:rPr>
              <w:t>Ipilimumab (</w:t>
            </w:r>
            <w:proofErr w:type="spellStart"/>
            <w:r>
              <w:rPr>
                <w:rFonts w:cs="Arial"/>
                <w:i/>
                <w:iCs/>
                <w:szCs w:val="19"/>
              </w:rPr>
              <w:t>Yervoy</w:t>
            </w:r>
            <w:proofErr w:type="spellEnd"/>
            <w:r>
              <w:rPr>
                <w:rFonts w:cs="Arial"/>
                <w:szCs w:val="19"/>
              </w:rPr>
              <w:t>)</w:t>
            </w:r>
          </w:p>
        </w:tc>
        <w:tc>
          <w:tcPr>
            <w:tcW w:w="3439" w:type="pct"/>
            <w:shd w:val="clear" w:color="auto" w:fill="auto"/>
            <w:tcMar>
              <w:top w:w="57" w:type="dxa"/>
              <w:bottom w:w="57" w:type="dxa"/>
            </w:tcMar>
          </w:tcPr>
          <w:p w14:paraId="21BB5B55" w14:textId="0079F956" w:rsidR="00996008" w:rsidRDefault="00117F28" w:rsidP="00996008">
            <w:pPr>
              <w:tabs>
                <w:tab w:val="num" w:pos="720"/>
                <w:tab w:val="center" w:pos="3152"/>
              </w:tabs>
              <w:rPr>
                <w:rFonts w:cs="Arial"/>
                <w:szCs w:val="19"/>
                <w:lang w:val="en-US"/>
              </w:rPr>
            </w:pPr>
            <w:r>
              <w:rPr>
                <w:rFonts w:cs="Arial"/>
                <w:szCs w:val="19"/>
                <w:lang w:val="en-US"/>
              </w:rPr>
              <w:t>Use i</w:t>
            </w:r>
            <w:r w:rsidRPr="00117F28">
              <w:rPr>
                <w:rFonts w:cs="Arial"/>
                <w:szCs w:val="19"/>
                <w:lang w:val="en-US"/>
              </w:rPr>
              <w:t xml:space="preserve">n combination with </w:t>
            </w:r>
            <w:r>
              <w:rPr>
                <w:rFonts w:cs="Arial"/>
                <w:szCs w:val="19"/>
                <w:lang w:val="en-US"/>
              </w:rPr>
              <w:t>nivolumab</w:t>
            </w:r>
            <w:r w:rsidRPr="00117F28">
              <w:rPr>
                <w:rFonts w:cs="Arial"/>
                <w:szCs w:val="19"/>
                <w:lang w:val="en-US"/>
              </w:rPr>
              <w:t xml:space="preserve"> for the </w:t>
            </w:r>
            <w:r>
              <w:rPr>
                <w:rFonts w:cs="Arial"/>
                <w:szCs w:val="19"/>
                <w:lang w:val="en-US"/>
              </w:rPr>
              <w:t xml:space="preserve">first-line </w:t>
            </w:r>
            <w:r w:rsidRPr="00117F28">
              <w:rPr>
                <w:rFonts w:cs="Arial"/>
                <w:szCs w:val="19"/>
                <w:lang w:val="en-US"/>
              </w:rPr>
              <w:t xml:space="preserve">treatment of adults with mismatch repair deficient or microsatellite instability-high </w:t>
            </w:r>
            <w:r>
              <w:rPr>
                <w:rFonts w:cs="Arial"/>
                <w:szCs w:val="19"/>
                <w:lang w:val="en-US"/>
              </w:rPr>
              <w:t xml:space="preserve">unresectable or </w:t>
            </w:r>
            <w:r w:rsidRPr="00117F28">
              <w:rPr>
                <w:rFonts w:cs="Arial"/>
                <w:szCs w:val="19"/>
                <w:lang w:val="en-US"/>
              </w:rPr>
              <w:t>metastatic colorectal cancer</w:t>
            </w:r>
            <w:r>
              <w:rPr>
                <w:rFonts w:cs="Arial"/>
                <w:szCs w:val="19"/>
                <w:lang w:val="en-US"/>
              </w:rPr>
              <w:t xml:space="preserve"> </w:t>
            </w:r>
            <w:r w:rsidRPr="00117F28">
              <w:rPr>
                <w:rFonts w:cs="Arial"/>
                <w:sz w:val="16"/>
                <w:szCs w:val="16"/>
                <w:lang w:val="en-US"/>
              </w:rPr>
              <w:t>[EU] [new indication]</w:t>
            </w:r>
          </w:p>
        </w:tc>
      </w:tr>
      <w:tr w:rsidR="00CB266C" w14:paraId="445567FD" w14:textId="77777777" w:rsidTr="007A24A6">
        <w:tc>
          <w:tcPr>
            <w:tcW w:w="1561" w:type="pct"/>
            <w:gridSpan w:val="2"/>
            <w:shd w:val="clear" w:color="auto" w:fill="auto"/>
            <w:tcMar>
              <w:top w:w="57" w:type="dxa"/>
              <w:bottom w:w="57" w:type="dxa"/>
            </w:tcMar>
          </w:tcPr>
          <w:p w14:paraId="51581CCD" w14:textId="11D130B5" w:rsidR="00CB266C" w:rsidRPr="00CB266C" w:rsidRDefault="00CB266C" w:rsidP="00996008">
            <w:pPr>
              <w:rPr>
                <w:rFonts w:cs="Arial"/>
                <w:szCs w:val="19"/>
              </w:rPr>
            </w:pPr>
            <w:proofErr w:type="spellStart"/>
            <w:r>
              <w:rPr>
                <w:rFonts w:cs="Arial"/>
                <w:szCs w:val="19"/>
              </w:rPr>
              <w:t>Isatuximab</w:t>
            </w:r>
            <w:proofErr w:type="spellEnd"/>
            <w:r>
              <w:rPr>
                <w:rFonts w:cs="Arial"/>
                <w:szCs w:val="19"/>
              </w:rPr>
              <w:t xml:space="preserve"> (</w:t>
            </w:r>
            <w:proofErr w:type="spellStart"/>
            <w:r>
              <w:rPr>
                <w:rFonts w:cs="Arial"/>
                <w:i/>
                <w:iCs/>
                <w:szCs w:val="19"/>
              </w:rPr>
              <w:t>Sarclisa</w:t>
            </w:r>
            <w:proofErr w:type="spellEnd"/>
            <w:r>
              <w:rPr>
                <w:rFonts w:cs="Arial"/>
                <w:szCs w:val="19"/>
              </w:rPr>
              <w:t>)</w:t>
            </w:r>
          </w:p>
        </w:tc>
        <w:tc>
          <w:tcPr>
            <w:tcW w:w="3439" w:type="pct"/>
            <w:shd w:val="clear" w:color="auto" w:fill="auto"/>
            <w:tcMar>
              <w:top w:w="57" w:type="dxa"/>
              <w:bottom w:w="57" w:type="dxa"/>
            </w:tcMar>
          </w:tcPr>
          <w:p w14:paraId="3C55D83D" w14:textId="07B7660E" w:rsidR="00CB266C" w:rsidRPr="000959A5" w:rsidRDefault="00CB266C" w:rsidP="00996008">
            <w:pPr>
              <w:tabs>
                <w:tab w:val="num" w:pos="720"/>
                <w:tab w:val="center" w:pos="3152"/>
              </w:tabs>
              <w:rPr>
                <w:rFonts w:cs="Arial"/>
                <w:szCs w:val="19"/>
                <w:lang w:val="en-US"/>
              </w:rPr>
            </w:pPr>
            <w:r>
              <w:rPr>
                <w:rFonts w:cs="Arial"/>
                <w:szCs w:val="19"/>
                <w:lang w:val="en-US"/>
              </w:rPr>
              <w:t xml:space="preserve">Use </w:t>
            </w:r>
            <w:r w:rsidRPr="00CB266C">
              <w:rPr>
                <w:rFonts w:cs="Arial"/>
                <w:szCs w:val="19"/>
                <w:lang w:val="en-US"/>
              </w:rPr>
              <w:t>in combination with bortezomib, lenalidomide, and dexamethasone, for the treatment of adults with newly diagnosed multiple myeloma who are ineligible for autologous stem cell transplant</w:t>
            </w:r>
          </w:p>
        </w:tc>
      </w:tr>
      <w:tr w:rsidR="00996008" w14:paraId="2DE99C9F" w14:textId="77777777" w:rsidTr="007A24A6">
        <w:tc>
          <w:tcPr>
            <w:tcW w:w="1561" w:type="pct"/>
            <w:gridSpan w:val="2"/>
            <w:shd w:val="clear" w:color="auto" w:fill="auto"/>
            <w:tcMar>
              <w:top w:w="57" w:type="dxa"/>
              <w:bottom w:w="57" w:type="dxa"/>
            </w:tcMar>
          </w:tcPr>
          <w:p w14:paraId="6DEE0FF8" w14:textId="2B22837B" w:rsidR="00996008" w:rsidRPr="002618A3" w:rsidRDefault="00996008" w:rsidP="00996008">
            <w:pPr>
              <w:rPr>
                <w:rFonts w:cs="Arial"/>
                <w:szCs w:val="19"/>
              </w:rPr>
            </w:pPr>
            <w:r>
              <w:rPr>
                <w:rFonts w:cs="Arial"/>
                <w:szCs w:val="19"/>
              </w:rPr>
              <w:t>Lazertinib (</w:t>
            </w:r>
            <w:proofErr w:type="spellStart"/>
            <w:r w:rsidRPr="00B22F9C">
              <w:rPr>
                <w:rFonts w:cs="Arial"/>
                <w:i/>
                <w:iCs/>
                <w:szCs w:val="19"/>
              </w:rPr>
              <w:t>Lazcluze</w:t>
            </w:r>
            <w:proofErr w:type="spellEnd"/>
            <w:r>
              <w:rPr>
                <w:rFonts w:cs="Arial"/>
                <w:szCs w:val="19"/>
              </w:rPr>
              <w:t>)</w:t>
            </w:r>
          </w:p>
        </w:tc>
        <w:tc>
          <w:tcPr>
            <w:tcW w:w="3439" w:type="pct"/>
            <w:shd w:val="clear" w:color="auto" w:fill="auto"/>
            <w:tcMar>
              <w:top w:w="57" w:type="dxa"/>
              <w:bottom w:w="57" w:type="dxa"/>
            </w:tcMar>
          </w:tcPr>
          <w:p w14:paraId="60E78BC3" w14:textId="667B3293" w:rsidR="00996008" w:rsidRDefault="00996008" w:rsidP="00996008">
            <w:pPr>
              <w:tabs>
                <w:tab w:val="num" w:pos="720"/>
                <w:tab w:val="center" w:pos="3152"/>
              </w:tabs>
              <w:rPr>
                <w:rFonts w:cs="Arial"/>
                <w:szCs w:val="19"/>
                <w:lang w:val="en-US"/>
              </w:rPr>
            </w:pPr>
            <w:r w:rsidRPr="000959A5">
              <w:rPr>
                <w:rFonts w:cs="Arial"/>
                <w:szCs w:val="19"/>
                <w:lang w:val="en-US"/>
              </w:rPr>
              <w:t xml:space="preserve">Use in combination with </w:t>
            </w:r>
            <w:proofErr w:type="spellStart"/>
            <w:r w:rsidRPr="000959A5">
              <w:rPr>
                <w:rFonts w:cs="Arial"/>
                <w:szCs w:val="19"/>
                <w:lang w:val="en-US"/>
              </w:rPr>
              <w:t>amivantamab</w:t>
            </w:r>
            <w:proofErr w:type="spellEnd"/>
            <w:r w:rsidRPr="000959A5">
              <w:rPr>
                <w:rFonts w:cs="Arial"/>
                <w:szCs w:val="19"/>
                <w:lang w:val="en-US"/>
              </w:rPr>
              <w:t xml:space="preserve"> for the first</w:t>
            </w:r>
            <w:r w:rsidRPr="000959A5">
              <w:rPr>
                <w:rFonts w:ascii="Cambria Math" w:hAnsi="Cambria Math" w:cs="Cambria Math"/>
                <w:szCs w:val="19"/>
                <w:lang w:val="en-US"/>
              </w:rPr>
              <w:t>‑</w:t>
            </w:r>
            <w:r w:rsidRPr="000959A5">
              <w:rPr>
                <w:rFonts w:cs="Arial"/>
                <w:szCs w:val="19"/>
                <w:lang w:val="en-US"/>
              </w:rPr>
              <w:t>line treatment of adults with advanced non</w:t>
            </w:r>
            <w:r w:rsidRPr="000959A5">
              <w:rPr>
                <w:rFonts w:ascii="Cambria Math" w:hAnsi="Cambria Math" w:cs="Cambria Math"/>
                <w:szCs w:val="19"/>
                <w:lang w:val="en-US"/>
              </w:rPr>
              <w:t>‑</w:t>
            </w:r>
            <w:r w:rsidRPr="000959A5">
              <w:rPr>
                <w:rFonts w:cs="Arial"/>
                <w:szCs w:val="19"/>
                <w:lang w:val="en-US"/>
              </w:rPr>
              <w:t>small cell lung cancer with EGFR exon 19 deletions or exon 21 L858R substitution mutations</w:t>
            </w:r>
            <w:r>
              <w:rPr>
                <w:rFonts w:cs="Arial"/>
                <w:szCs w:val="19"/>
                <w:lang w:val="en-US"/>
              </w:rPr>
              <w:t xml:space="preserve"> </w:t>
            </w:r>
            <w:r w:rsidRPr="000959A5">
              <w:rPr>
                <w:rFonts w:cs="Arial"/>
                <w:sz w:val="16"/>
                <w:szCs w:val="16"/>
                <w:lang w:val="en-US"/>
              </w:rPr>
              <w:t>[EU]</w:t>
            </w:r>
          </w:p>
        </w:tc>
      </w:tr>
      <w:tr w:rsidR="009E775B" w14:paraId="474BB41C" w14:textId="77777777" w:rsidTr="007A24A6">
        <w:tc>
          <w:tcPr>
            <w:tcW w:w="1561" w:type="pct"/>
            <w:gridSpan w:val="2"/>
            <w:shd w:val="clear" w:color="auto" w:fill="auto"/>
            <w:tcMar>
              <w:top w:w="57" w:type="dxa"/>
              <w:bottom w:w="57" w:type="dxa"/>
            </w:tcMar>
          </w:tcPr>
          <w:p w14:paraId="26865A3D" w14:textId="156FE9ED" w:rsidR="009E775B" w:rsidRDefault="009E775B" w:rsidP="009E775B">
            <w:pPr>
              <w:rPr>
                <w:rFonts w:cs="Arial"/>
                <w:szCs w:val="19"/>
              </w:rPr>
            </w:pPr>
            <w:proofErr w:type="spellStart"/>
            <w:r>
              <w:rPr>
                <w:rFonts w:cs="Arial"/>
                <w:szCs w:val="19"/>
              </w:rPr>
              <w:t>Lecanemab</w:t>
            </w:r>
            <w:proofErr w:type="spellEnd"/>
            <w:r>
              <w:rPr>
                <w:rFonts w:cs="Arial"/>
                <w:szCs w:val="19"/>
              </w:rPr>
              <w:t xml:space="preserve"> (</w:t>
            </w:r>
            <w:proofErr w:type="spellStart"/>
            <w:r>
              <w:rPr>
                <w:rFonts w:cs="Arial"/>
                <w:i/>
                <w:iCs/>
                <w:szCs w:val="19"/>
              </w:rPr>
              <w:t>Leqembi</w:t>
            </w:r>
            <w:proofErr w:type="spellEnd"/>
            <w:r>
              <w:rPr>
                <w:rFonts w:cs="Arial"/>
                <w:szCs w:val="19"/>
              </w:rPr>
              <w:t>)</w:t>
            </w:r>
          </w:p>
        </w:tc>
        <w:tc>
          <w:tcPr>
            <w:tcW w:w="3439" w:type="pct"/>
            <w:shd w:val="clear" w:color="auto" w:fill="auto"/>
            <w:tcMar>
              <w:top w:w="57" w:type="dxa"/>
              <w:bottom w:w="57" w:type="dxa"/>
            </w:tcMar>
          </w:tcPr>
          <w:p w14:paraId="0B4092C8" w14:textId="016DDD40" w:rsidR="009E775B" w:rsidRPr="000959A5" w:rsidRDefault="009E775B" w:rsidP="009E775B">
            <w:pPr>
              <w:tabs>
                <w:tab w:val="num" w:pos="720"/>
                <w:tab w:val="center" w:pos="3152"/>
              </w:tabs>
              <w:rPr>
                <w:rFonts w:cs="Arial"/>
                <w:szCs w:val="19"/>
                <w:lang w:val="en-US"/>
              </w:rPr>
            </w:pPr>
            <w:r w:rsidRPr="00046940">
              <w:rPr>
                <w:rFonts w:cs="Arial"/>
                <w:szCs w:val="19"/>
                <w:lang w:val="en-US"/>
              </w:rPr>
              <w:t>Treatment of adults with a clinical diagnosis of mild cognitive impairment and mild dementia due to Alzheimer’s disease (</w:t>
            </w:r>
            <w:r>
              <w:rPr>
                <w:rFonts w:cs="Arial"/>
                <w:szCs w:val="19"/>
                <w:lang w:val="en-US"/>
              </w:rPr>
              <w:t>e</w:t>
            </w:r>
            <w:r w:rsidRPr="00046940">
              <w:rPr>
                <w:rFonts w:cs="Arial"/>
                <w:szCs w:val="19"/>
                <w:lang w:val="en-US"/>
              </w:rPr>
              <w:t>arly Alzheimer’s disease) who are apolipoprotein E ε4 non-carriers or heterozygotes with confirmed amyloid pathology</w:t>
            </w:r>
            <w:r>
              <w:rPr>
                <w:rFonts w:cs="Arial"/>
                <w:szCs w:val="19"/>
                <w:lang w:val="en-US"/>
              </w:rPr>
              <w:t xml:space="preserve"> </w:t>
            </w:r>
            <w:r w:rsidRPr="00046940">
              <w:rPr>
                <w:rFonts w:cs="Arial"/>
                <w:sz w:val="16"/>
                <w:szCs w:val="16"/>
                <w:lang w:val="en-US"/>
              </w:rPr>
              <w:t>[EU]</w:t>
            </w:r>
          </w:p>
        </w:tc>
      </w:tr>
      <w:tr w:rsidR="009E775B" w14:paraId="42877C02" w14:textId="77777777" w:rsidTr="007A24A6">
        <w:tc>
          <w:tcPr>
            <w:tcW w:w="1561" w:type="pct"/>
            <w:gridSpan w:val="2"/>
            <w:shd w:val="clear" w:color="auto" w:fill="auto"/>
            <w:tcMar>
              <w:top w:w="57" w:type="dxa"/>
              <w:bottom w:w="57" w:type="dxa"/>
            </w:tcMar>
          </w:tcPr>
          <w:p w14:paraId="3DEBE4CA" w14:textId="6ECDA3E8" w:rsidR="009E775B" w:rsidRDefault="009E775B" w:rsidP="009E775B">
            <w:pPr>
              <w:rPr>
                <w:rFonts w:cs="Arial"/>
                <w:szCs w:val="19"/>
              </w:rPr>
            </w:pPr>
            <w:r>
              <w:rPr>
                <w:rFonts w:cs="Arial"/>
                <w:szCs w:val="19"/>
              </w:rPr>
              <w:t>Mycophenolate (</w:t>
            </w:r>
            <w:proofErr w:type="spellStart"/>
            <w:r>
              <w:rPr>
                <w:rFonts w:cs="Arial"/>
                <w:i/>
                <w:iCs/>
                <w:szCs w:val="19"/>
              </w:rPr>
              <w:t>Cellcept</w:t>
            </w:r>
            <w:proofErr w:type="spellEnd"/>
            <w:r>
              <w:rPr>
                <w:rFonts w:cs="Arial"/>
                <w:szCs w:val="19"/>
              </w:rPr>
              <w:t>)</w:t>
            </w:r>
          </w:p>
        </w:tc>
        <w:tc>
          <w:tcPr>
            <w:tcW w:w="3439" w:type="pct"/>
            <w:shd w:val="clear" w:color="auto" w:fill="auto"/>
            <w:tcMar>
              <w:top w:w="57" w:type="dxa"/>
              <w:bottom w:w="57" w:type="dxa"/>
            </w:tcMar>
          </w:tcPr>
          <w:p w14:paraId="6215FC4F" w14:textId="77777777" w:rsidR="009E775B" w:rsidRDefault="009E775B" w:rsidP="009E775B">
            <w:pPr>
              <w:tabs>
                <w:tab w:val="center" w:pos="3152"/>
              </w:tabs>
              <w:rPr>
                <w:rFonts w:cs="Arial"/>
                <w:sz w:val="16"/>
                <w:szCs w:val="16"/>
                <w:lang w:val="en-US"/>
              </w:rPr>
            </w:pPr>
            <w:r>
              <w:rPr>
                <w:rFonts w:cs="Arial"/>
                <w:szCs w:val="19"/>
                <w:lang w:val="en-US"/>
              </w:rPr>
              <w:t xml:space="preserve">Use </w:t>
            </w:r>
            <w:r w:rsidRPr="00F53446">
              <w:rPr>
                <w:rFonts w:cs="Arial"/>
                <w:szCs w:val="19"/>
                <w:lang w:val="en-US"/>
              </w:rPr>
              <w:t xml:space="preserve">in combination with ciclosporin and corticosteroids for the prophylaxis of acute transplant rejection in adult and paediatric patients </w:t>
            </w:r>
            <w:r>
              <w:rPr>
                <w:rFonts w:cs="Arial"/>
                <w:szCs w:val="19"/>
                <w:lang w:val="en-US"/>
              </w:rPr>
              <w:t xml:space="preserve">(aged </w:t>
            </w:r>
            <w:r w:rsidRPr="00F53446">
              <w:rPr>
                <w:rFonts w:cs="Arial"/>
                <w:szCs w:val="19"/>
                <w:lang w:val="en-US"/>
              </w:rPr>
              <w:t>1 to 18 years</w:t>
            </w:r>
            <w:r>
              <w:rPr>
                <w:rFonts w:cs="Arial"/>
                <w:szCs w:val="19"/>
                <w:lang w:val="en-US"/>
              </w:rPr>
              <w:t xml:space="preserve">) </w:t>
            </w:r>
            <w:r w:rsidRPr="00F53446">
              <w:rPr>
                <w:rFonts w:cs="Arial"/>
                <w:szCs w:val="19"/>
                <w:lang w:val="en-US"/>
              </w:rPr>
              <w:t xml:space="preserve">receiving allogeneic renal, </w:t>
            </w:r>
            <w:proofErr w:type="gramStart"/>
            <w:r w:rsidRPr="00F53446">
              <w:rPr>
                <w:rFonts w:cs="Arial"/>
                <w:szCs w:val="19"/>
                <w:lang w:val="en-US"/>
              </w:rPr>
              <w:t>cardiac</w:t>
            </w:r>
            <w:proofErr w:type="gramEnd"/>
            <w:r w:rsidRPr="00F53446">
              <w:rPr>
                <w:rFonts w:cs="Arial"/>
                <w:szCs w:val="19"/>
                <w:lang w:val="en-US"/>
              </w:rPr>
              <w:t xml:space="preserve"> or hepatic transplants</w:t>
            </w:r>
            <w:r>
              <w:rPr>
                <w:rFonts w:cs="Arial"/>
                <w:szCs w:val="19"/>
                <w:lang w:val="en-US"/>
              </w:rPr>
              <w:t xml:space="preserve"> </w:t>
            </w:r>
            <w:r w:rsidRPr="00F53446">
              <w:rPr>
                <w:rFonts w:cs="Arial"/>
                <w:sz w:val="16"/>
                <w:szCs w:val="16"/>
                <w:lang w:val="en-US"/>
              </w:rPr>
              <w:t xml:space="preserve">[EU] </w:t>
            </w:r>
          </w:p>
          <w:p w14:paraId="1DB4F77F" w14:textId="007D3FD7" w:rsidR="009E775B" w:rsidRPr="000959A5" w:rsidRDefault="009E775B" w:rsidP="009E775B">
            <w:pPr>
              <w:tabs>
                <w:tab w:val="num" w:pos="720"/>
                <w:tab w:val="center" w:pos="3152"/>
              </w:tabs>
              <w:rPr>
                <w:rFonts w:cs="Arial"/>
                <w:szCs w:val="19"/>
                <w:lang w:val="en-US"/>
              </w:rPr>
            </w:pPr>
            <w:r w:rsidRPr="00F53446">
              <w:rPr>
                <w:rFonts w:cs="Arial"/>
                <w:sz w:val="16"/>
                <w:szCs w:val="16"/>
                <w:lang w:val="en-US"/>
              </w:rPr>
              <w:t>[licence change from use only in patients aged ≥2 years]</w:t>
            </w:r>
          </w:p>
        </w:tc>
      </w:tr>
      <w:tr w:rsidR="004D359E" w14:paraId="35961449" w14:textId="77777777" w:rsidTr="007A24A6">
        <w:tc>
          <w:tcPr>
            <w:tcW w:w="1561" w:type="pct"/>
            <w:gridSpan w:val="2"/>
            <w:shd w:val="clear" w:color="auto" w:fill="auto"/>
            <w:tcMar>
              <w:top w:w="57" w:type="dxa"/>
              <w:bottom w:w="57" w:type="dxa"/>
            </w:tcMar>
          </w:tcPr>
          <w:p w14:paraId="355B7577" w14:textId="548D412B" w:rsidR="004D359E" w:rsidRDefault="004D359E" w:rsidP="004D359E">
            <w:pPr>
              <w:rPr>
                <w:rFonts w:cs="Arial"/>
                <w:szCs w:val="19"/>
              </w:rPr>
            </w:pPr>
            <w:r>
              <w:rPr>
                <w:rFonts w:cs="Arial"/>
                <w:szCs w:val="19"/>
              </w:rPr>
              <w:t>Nivolumab (</w:t>
            </w:r>
            <w:proofErr w:type="spellStart"/>
            <w:r>
              <w:rPr>
                <w:rFonts w:cs="Arial"/>
                <w:i/>
                <w:iCs/>
                <w:szCs w:val="19"/>
              </w:rPr>
              <w:t>Opdivo</w:t>
            </w:r>
            <w:proofErr w:type="spellEnd"/>
            <w:r>
              <w:rPr>
                <w:rFonts w:cs="Arial"/>
                <w:szCs w:val="19"/>
              </w:rPr>
              <w:t>)</w:t>
            </w:r>
          </w:p>
        </w:tc>
        <w:tc>
          <w:tcPr>
            <w:tcW w:w="3439" w:type="pct"/>
            <w:shd w:val="clear" w:color="auto" w:fill="auto"/>
            <w:tcMar>
              <w:top w:w="57" w:type="dxa"/>
              <w:bottom w:w="57" w:type="dxa"/>
            </w:tcMar>
          </w:tcPr>
          <w:p w14:paraId="10B61D7E" w14:textId="4A09EF47" w:rsidR="004D359E" w:rsidRDefault="004D359E" w:rsidP="004D359E">
            <w:pPr>
              <w:tabs>
                <w:tab w:val="center" w:pos="3152"/>
              </w:tabs>
              <w:rPr>
                <w:rFonts w:cs="Arial"/>
                <w:szCs w:val="19"/>
                <w:lang w:val="en-US"/>
              </w:rPr>
            </w:pPr>
            <w:r>
              <w:rPr>
                <w:rFonts w:cs="Arial"/>
                <w:szCs w:val="19"/>
                <w:lang w:val="en-US"/>
              </w:rPr>
              <w:t>Use i</w:t>
            </w:r>
            <w:r w:rsidRPr="00117F28">
              <w:rPr>
                <w:rFonts w:cs="Arial"/>
                <w:szCs w:val="19"/>
                <w:lang w:val="en-US"/>
              </w:rPr>
              <w:t xml:space="preserve">n combination with ipilimumab for the </w:t>
            </w:r>
            <w:r>
              <w:rPr>
                <w:rFonts w:cs="Arial"/>
                <w:szCs w:val="19"/>
                <w:lang w:val="en-US"/>
              </w:rPr>
              <w:t xml:space="preserve">first-line </w:t>
            </w:r>
            <w:r w:rsidRPr="00117F28">
              <w:rPr>
                <w:rFonts w:cs="Arial"/>
                <w:szCs w:val="19"/>
                <w:lang w:val="en-US"/>
              </w:rPr>
              <w:t xml:space="preserve">treatment of adults with mismatch repair deficient or microsatellite instability-high </w:t>
            </w:r>
            <w:r>
              <w:rPr>
                <w:rFonts w:cs="Arial"/>
                <w:szCs w:val="19"/>
                <w:lang w:val="en-US"/>
              </w:rPr>
              <w:t xml:space="preserve">unresectable or </w:t>
            </w:r>
            <w:r w:rsidRPr="00117F28">
              <w:rPr>
                <w:rFonts w:cs="Arial"/>
                <w:szCs w:val="19"/>
                <w:lang w:val="en-US"/>
              </w:rPr>
              <w:t>metastatic colorectal cancer</w:t>
            </w:r>
            <w:r>
              <w:rPr>
                <w:rFonts w:cs="Arial"/>
                <w:szCs w:val="19"/>
                <w:lang w:val="en-US"/>
              </w:rPr>
              <w:t xml:space="preserve"> </w:t>
            </w:r>
            <w:r w:rsidRPr="00117F28">
              <w:rPr>
                <w:rFonts w:cs="Arial"/>
                <w:sz w:val="16"/>
                <w:szCs w:val="16"/>
                <w:lang w:val="en-US"/>
              </w:rPr>
              <w:t>[EU] [new indication]</w:t>
            </w:r>
          </w:p>
        </w:tc>
      </w:tr>
      <w:tr w:rsidR="004D359E" w14:paraId="61D827E1" w14:textId="77777777" w:rsidTr="007A24A6">
        <w:tc>
          <w:tcPr>
            <w:tcW w:w="1561" w:type="pct"/>
            <w:gridSpan w:val="2"/>
            <w:shd w:val="clear" w:color="auto" w:fill="auto"/>
            <w:tcMar>
              <w:top w:w="57" w:type="dxa"/>
              <w:bottom w:w="57" w:type="dxa"/>
            </w:tcMar>
          </w:tcPr>
          <w:p w14:paraId="5995001F" w14:textId="7A2D5CC4" w:rsidR="004D359E" w:rsidRDefault="004D359E" w:rsidP="004D359E">
            <w:pPr>
              <w:rPr>
                <w:rFonts w:cs="Arial"/>
                <w:szCs w:val="19"/>
              </w:rPr>
            </w:pPr>
            <w:r>
              <w:rPr>
                <w:rFonts w:cs="Arial"/>
                <w:szCs w:val="19"/>
              </w:rPr>
              <w:t>Osimertinib (</w:t>
            </w:r>
            <w:proofErr w:type="spellStart"/>
            <w:r>
              <w:rPr>
                <w:rFonts w:cs="Arial"/>
                <w:i/>
                <w:iCs/>
                <w:szCs w:val="19"/>
              </w:rPr>
              <w:t>Tagrisso</w:t>
            </w:r>
            <w:proofErr w:type="spellEnd"/>
            <w:r>
              <w:rPr>
                <w:rFonts w:cs="Arial"/>
                <w:szCs w:val="19"/>
              </w:rPr>
              <w:t>)</w:t>
            </w:r>
          </w:p>
        </w:tc>
        <w:tc>
          <w:tcPr>
            <w:tcW w:w="3439" w:type="pct"/>
            <w:shd w:val="clear" w:color="auto" w:fill="auto"/>
            <w:tcMar>
              <w:top w:w="57" w:type="dxa"/>
              <w:bottom w:w="57" w:type="dxa"/>
            </w:tcMar>
          </w:tcPr>
          <w:p w14:paraId="443289AA" w14:textId="394CD393" w:rsidR="004D359E" w:rsidRDefault="004D359E" w:rsidP="004D359E">
            <w:pPr>
              <w:tabs>
                <w:tab w:val="center" w:pos="3152"/>
              </w:tabs>
              <w:rPr>
                <w:rFonts w:cs="Arial"/>
                <w:szCs w:val="19"/>
                <w:lang w:val="en-US"/>
              </w:rPr>
            </w:pPr>
            <w:r w:rsidRPr="0016213C">
              <w:rPr>
                <w:rFonts w:cs="Arial"/>
                <w:szCs w:val="19"/>
                <w:lang w:val="en-US"/>
              </w:rPr>
              <w:t xml:space="preserve">Treatment of adults with locally advanced, unresectable </w:t>
            </w:r>
            <w:r>
              <w:rPr>
                <w:rFonts w:cs="Arial"/>
                <w:szCs w:val="19"/>
                <w:lang w:val="en-US"/>
              </w:rPr>
              <w:t>non-small cell lung cancer</w:t>
            </w:r>
            <w:r w:rsidRPr="0016213C">
              <w:rPr>
                <w:rFonts w:cs="Arial"/>
                <w:szCs w:val="19"/>
                <w:lang w:val="en-US"/>
              </w:rPr>
              <w:t xml:space="preserve"> whose </w:t>
            </w:r>
            <w:proofErr w:type="spellStart"/>
            <w:r w:rsidRPr="0016213C">
              <w:rPr>
                <w:rFonts w:cs="Arial"/>
                <w:szCs w:val="19"/>
                <w:lang w:val="en-US"/>
              </w:rPr>
              <w:t>tumours</w:t>
            </w:r>
            <w:proofErr w:type="spellEnd"/>
            <w:r w:rsidRPr="0016213C">
              <w:rPr>
                <w:rFonts w:cs="Arial"/>
                <w:szCs w:val="19"/>
                <w:lang w:val="en-US"/>
              </w:rPr>
              <w:t xml:space="preserve"> have EGFR exon 19 deletions or exon 21 (L858R) substitution mutations and whose disease has not progressed during or following platinum based chemoradiation therapy</w:t>
            </w:r>
            <w:r>
              <w:rPr>
                <w:rFonts w:cs="Arial"/>
                <w:szCs w:val="19"/>
                <w:lang w:val="en-US"/>
              </w:rPr>
              <w:t xml:space="preserve"> </w:t>
            </w:r>
            <w:r w:rsidRPr="00D104F2">
              <w:rPr>
                <w:rFonts w:cs="Arial"/>
                <w:sz w:val="16"/>
                <w:szCs w:val="16"/>
                <w:lang w:val="en-US"/>
              </w:rPr>
              <w:t>[EU] [new indication]</w:t>
            </w:r>
          </w:p>
        </w:tc>
      </w:tr>
      <w:tr w:rsidR="004D359E" w14:paraId="258827F4" w14:textId="77777777" w:rsidTr="007A24A6">
        <w:tc>
          <w:tcPr>
            <w:tcW w:w="1561" w:type="pct"/>
            <w:gridSpan w:val="2"/>
            <w:shd w:val="clear" w:color="auto" w:fill="auto"/>
            <w:tcMar>
              <w:top w:w="57" w:type="dxa"/>
              <w:bottom w:w="57" w:type="dxa"/>
            </w:tcMar>
          </w:tcPr>
          <w:p w14:paraId="3C7EDCDF" w14:textId="535D785B" w:rsidR="004D359E" w:rsidRDefault="004D359E" w:rsidP="004D359E">
            <w:pPr>
              <w:rPr>
                <w:rFonts w:cs="Arial"/>
                <w:szCs w:val="19"/>
              </w:rPr>
            </w:pPr>
            <w:r>
              <w:rPr>
                <w:rFonts w:cs="Arial"/>
                <w:szCs w:val="19"/>
              </w:rPr>
              <w:t>Pembrolizumab (</w:t>
            </w:r>
            <w:r>
              <w:rPr>
                <w:rFonts w:cs="Arial"/>
                <w:i/>
                <w:iCs/>
                <w:szCs w:val="19"/>
              </w:rPr>
              <w:t>Keytruda</w:t>
            </w:r>
            <w:r>
              <w:rPr>
                <w:rFonts w:cs="Arial"/>
                <w:szCs w:val="19"/>
              </w:rPr>
              <w:t>)</w:t>
            </w:r>
          </w:p>
        </w:tc>
        <w:tc>
          <w:tcPr>
            <w:tcW w:w="3439" w:type="pct"/>
            <w:shd w:val="clear" w:color="auto" w:fill="auto"/>
            <w:tcMar>
              <w:top w:w="57" w:type="dxa"/>
              <w:bottom w:w="57" w:type="dxa"/>
            </w:tcMar>
          </w:tcPr>
          <w:p w14:paraId="69EC33B2" w14:textId="43DF1F9D" w:rsidR="004D359E" w:rsidRDefault="004D359E" w:rsidP="004D359E">
            <w:pPr>
              <w:tabs>
                <w:tab w:val="center" w:pos="3152"/>
              </w:tabs>
              <w:rPr>
                <w:rFonts w:cs="Arial"/>
                <w:szCs w:val="19"/>
                <w:lang w:val="en-US"/>
              </w:rPr>
            </w:pPr>
            <w:r>
              <w:rPr>
                <w:rFonts w:cs="Arial"/>
                <w:szCs w:val="19"/>
                <w:lang w:val="en-US"/>
              </w:rPr>
              <w:t xml:space="preserve">Use </w:t>
            </w:r>
            <w:r w:rsidRPr="00D104F2">
              <w:rPr>
                <w:rFonts w:cs="Arial"/>
                <w:szCs w:val="19"/>
                <w:lang w:val="en-US"/>
              </w:rPr>
              <w:t>in combination with pemetrexed and platinum chemotherapy</w:t>
            </w:r>
            <w:r>
              <w:rPr>
                <w:rFonts w:cs="Arial"/>
                <w:szCs w:val="19"/>
                <w:lang w:val="en-US"/>
              </w:rPr>
              <w:t xml:space="preserve"> </w:t>
            </w:r>
            <w:r w:rsidRPr="00D104F2">
              <w:rPr>
                <w:rFonts w:cs="Arial"/>
                <w:szCs w:val="19"/>
                <w:lang w:val="en-US"/>
              </w:rPr>
              <w:t>for the first-line treatment of adults with unresectable non-epithelioid malignant pleural mesothelioma</w:t>
            </w:r>
            <w:r>
              <w:rPr>
                <w:rFonts w:cs="Arial"/>
                <w:szCs w:val="19"/>
                <w:lang w:val="en-US"/>
              </w:rPr>
              <w:t xml:space="preserve"> </w:t>
            </w:r>
            <w:r w:rsidRPr="00D104F2">
              <w:rPr>
                <w:rFonts w:cs="Arial"/>
                <w:sz w:val="16"/>
                <w:szCs w:val="16"/>
                <w:lang w:val="en-US"/>
              </w:rPr>
              <w:t>[EU] [new indication]</w:t>
            </w:r>
          </w:p>
        </w:tc>
      </w:tr>
      <w:tr w:rsidR="004D359E" w14:paraId="15EFDED9" w14:textId="77777777" w:rsidTr="007A24A6">
        <w:tc>
          <w:tcPr>
            <w:tcW w:w="1561" w:type="pct"/>
            <w:gridSpan w:val="2"/>
            <w:shd w:val="clear" w:color="auto" w:fill="auto"/>
            <w:tcMar>
              <w:top w:w="57" w:type="dxa"/>
              <w:bottom w:w="57" w:type="dxa"/>
            </w:tcMar>
          </w:tcPr>
          <w:p w14:paraId="737191E1" w14:textId="61CC9ABB" w:rsidR="004D359E" w:rsidRDefault="004D359E" w:rsidP="004D359E">
            <w:pPr>
              <w:rPr>
                <w:rFonts w:cs="Arial"/>
                <w:szCs w:val="19"/>
              </w:rPr>
            </w:pPr>
            <w:proofErr w:type="spellStart"/>
            <w:r w:rsidRPr="006F06A9">
              <w:rPr>
                <w:rFonts w:cs="Arial"/>
                <w:szCs w:val="19"/>
              </w:rPr>
              <w:t>Repotrectinib</w:t>
            </w:r>
            <w:proofErr w:type="spellEnd"/>
            <w:r>
              <w:rPr>
                <w:rFonts w:cs="Arial"/>
                <w:szCs w:val="19"/>
              </w:rPr>
              <w:t xml:space="preserve"> (</w:t>
            </w:r>
            <w:proofErr w:type="spellStart"/>
            <w:r>
              <w:rPr>
                <w:rFonts w:cs="Arial"/>
                <w:i/>
                <w:iCs/>
                <w:szCs w:val="19"/>
              </w:rPr>
              <w:t>Augtyro</w:t>
            </w:r>
            <w:proofErr w:type="spellEnd"/>
            <w:r>
              <w:rPr>
                <w:rFonts w:cs="Arial"/>
                <w:szCs w:val="19"/>
              </w:rPr>
              <w:t>)</w:t>
            </w:r>
          </w:p>
        </w:tc>
        <w:tc>
          <w:tcPr>
            <w:tcW w:w="3439" w:type="pct"/>
            <w:shd w:val="clear" w:color="auto" w:fill="auto"/>
            <w:tcMar>
              <w:top w:w="57" w:type="dxa"/>
              <w:bottom w:w="57" w:type="dxa"/>
            </w:tcMar>
          </w:tcPr>
          <w:p w14:paraId="66F66790" w14:textId="05C2CE67" w:rsidR="004D359E" w:rsidRDefault="004D359E" w:rsidP="004D359E">
            <w:pPr>
              <w:tabs>
                <w:tab w:val="center" w:pos="3152"/>
              </w:tabs>
              <w:rPr>
                <w:rFonts w:cs="Arial"/>
                <w:szCs w:val="19"/>
                <w:lang w:val="en-US"/>
              </w:rPr>
            </w:pPr>
            <w:r w:rsidRPr="00651956">
              <w:rPr>
                <w:rFonts w:cs="Arial"/>
                <w:szCs w:val="19"/>
                <w:lang w:val="en-US"/>
              </w:rPr>
              <w:t xml:space="preserve">Monotherapy for the treatment of adult and paediatric patients </w:t>
            </w:r>
            <w:r>
              <w:rPr>
                <w:rFonts w:cs="Arial"/>
                <w:szCs w:val="19"/>
                <w:lang w:val="en-US"/>
              </w:rPr>
              <w:t>aged ≥</w:t>
            </w:r>
            <w:r w:rsidRPr="00651956">
              <w:rPr>
                <w:rFonts w:cs="Arial"/>
                <w:szCs w:val="19"/>
                <w:lang w:val="en-US"/>
              </w:rPr>
              <w:t xml:space="preserve">12 years with advanced solid </w:t>
            </w:r>
            <w:proofErr w:type="spellStart"/>
            <w:r w:rsidRPr="00651956">
              <w:rPr>
                <w:rFonts w:cs="Arial"/>
                <w:szCs w:val="19"/>
                <w:lang w:val="en-US"/>
              </w:rPr>
              <w:t>tumours</w:t>
            </w:r>
            <w:proofErr w:type="spellEnd"/>
            <w:r w:rsidRPr="00651956">
              <w:rPr>
                <w:rFonts w:cs="Arial"/>
                <w:szCs w:val="19"/>
                <w:lang w:val="en-US"/>
              </w:rPr>
              <w:t xml:space="preserve"> expressing a</w:t>
            </w:r>
            <w:r w:rsidR="00911466">
              <w:rPr>
                <w:rFonts w:cs="Arial"/>
                <w:szCs w:val="19"/>
                <w:lang w:val="en-US"/>
              </w:rPr>
              <w:t xml:space="preserve"> </w:t>
            </w:r>
            <w:r w:rsidR="00911466" w:rsidRPr="00911466">
              <w:rPr>
                <w:rFonts w:cs="Arial"/>
                <w:szCs w:val="19"/>
                <w:lang w:val="en-US"/>
              </w:rPr>
              <w:t>neurotrophic tyrosine receptor kinase</w:t>
            </w:r>
            <w:r w:rsidRPr="00651956">
              <w:rPr>
                <w:rFonts w:cs="Arial"/>
                <w:szCs w:val="19"/>
                <w:lang w:val="en-US"/>
              </w:rPr>
              <w:t xml:space="preserve"> </w:t>
            </w:r>
            <w:r w:rsidR="00911466">
              <w:rPr>
                <w:rFonts w:cs="Arial"/>
                <w:szCs w:val="19"/>
                <w:lang w:val="en-US"/>
              </w:rPr>
              <w:t>(</w:t>
            </w:r>
            <w:r w:rsidRPr="00651956">
              <w:rPr>
                <w:rFonts w:cs="Arial"/>
                <w:szCs w:val="19"/>
                <w:lang w:val="en-US"/>
              </w:rPr>
              <w:t>NTRK</w:t>
            </w:r>
            <w:r w:rsidR="00911466">
              <w:rPr>
                <w:rFonts w:cs="Arial"/>
                <w:szCs w:val="19"/>
                <w:lang w:val="en-US"/>
              </w:rPr>
              <w:t>)</w:t>
            </w:r>
            <w:r w:rsidRPr="00651956">
              <w:rPr>
                <w:rFonts w:cs="Arial"/>
                <w:szCs w:val="19"/>
                <w:lang w:val="en-US"/>
              </w:rPr>
              <w:t xml:space="preserve"> gene fusion, and who have received a prior NTRK inhibitor, or have not received a prior NTRK inhibitor and treatment options not targeting NTRK provide limited clinical benefit, or have been exhausted, and as monotherapy for the treatment of adults with ROS1-positive advanced non-small cell lung cancer</w:t>
            </w:r>
            <w:r>
              <w:rPr>
                <w:rFonts w:cs="Arial"/>
                <w:szCs w:val="19"/>
                <w:lang w:val="en-US"/>
              </w:rPr>
              <w:t xml:space="preserve"> </w:t>
            </w:r>
            <w:r w:rsidRPr="00651956">
              <w:rPr>
                <w:rFonts w:cs="Arial"/>
                <w:sz w:val="16"/>
                <w:szCs w:val="16"/>
                <w:lang w:val="en-US"/>
              </w:rPr>
              <w:t>[EU]</w:t>
            </w:r>
          </w:p>
        </w:tc>
      </w:tr>
      <w:tr w:rsidR="004D359E" w:rsidRPr="000F19E1" w14:paraId="517CC1AD" w14:textId="77777777" w:rsidTr="007A24A6">
        <w:tc>
          <w:tcPr>
            <w:tcW w:w="1561" w:type="pct"/>
            <w:gridSpan w:val="2"/>
            <w:shd w:val="clear" w:color="auto" w:fill="auto"/>
            <w:tcMar>
              <w:top w:w="0" w:type="dxa"/>
              <w:bottom w:w="0" w:type="dxa"/>
            </w:tcMar>
          </w:tcPr>
          <w:p w14:paraId="762A3F00" w14:textId="77777777" w:rsidR="004D359E" w:rsidRPr="000F19E1" w:rsidRDefault="004D359E" w:rsidP="004D359E">
            <w:pPr>
              <w:rPr>
                <w:rFonts w:cs="Arial"/>
                <w:bCs/>
                <w:sz w:val="8"/>
                <w:szCs w:val="8"/>
              </w:rPr>
            </w:pPr>
          </w:p>
        </w:tc>
        <w:tc>
          <w:tcPr>
            <w:tcW w:w="3439" w:type="pct"/>
            <w:shd w:val="clear" w:color="auto" w:fill="auto"/>
            <w:tcMar>
              <w:top w:w="0" w:type="dxa"/>
              <w:bottom w:w="0" w:type="dxa"/>
            </w:tcMar>
          </w:tcPr>
          <w:p w14:paraId="4DBFC887" w14:textId="77777777" w:rsidR="004D359E" w:rsidRPr="000F19E1" w:rsidRDefault="004D359E" w:rsidP="004D359E">
            <w:pPr>
              <w:tabs>
                <w:tab w:val="center" w:pos="3152"/>
              </w:tabs>
              <w:rPr>
                <w:rFonts w:cs="Arial"/>
                <w:sz w:val="8"/>
                <w:szCs w:val="8"/>
                <w:lang w:val="en-US"/>
              </w:rPr>
            </w:pPr>
          </w:p>
        </w:tc>
      </w:tr>
      <w:tr w:rsidR="004D359E" w:rsidRPr="000F19E1" w14:paraId="7A8788FD" w14:textId="77777777" w:rsidTr="00D6452A">
        <w:tc>
          <w:tcPr>
            <w:tcW w:w="1152" w:type="pct"/>
            <w:shd w:val="clear" w:color="auto" w:fill="DAEEF3"/>
            <w:tcMar>
              <w:top w:w="0" w:type="dxa"/>
              <w:bottom w:w="0" w:type="dxa"/>
            </w:tcMar>
          </w:tcPr>
          <w:p w14:paraId="3A1EF37F" w14:textId="77777777" w:rsidR="004D359E" w:rsidRPr="000F19E1" w:rsidRDefault="004D359E" w:rsidP="004D359E">
            <w:pPr>
              <w:rPr>
                <w:rFonts w:cs="Arial"/>
                <w:bCs/>
                <w:sz w:val="8"/>
                <w:szCs w:val="8"/>
              </w:rPr>
            </w:pPr>
          </w:p>
        </w:tc>
        <w:tc>
          <w:tcPr>
            <w:tcW w:w="3848" w:type="pct"/>
            <w:gridSpan w:val="2"/>
            <w:shd w:val="clear" w:color="auto" w:fill="DAEEF3"/>
            <w:tcMar>
              <w:top w:w="0" w:type="dxa"/>
              <w:bottom w:w="0" w:type="dxa"/>
            </w:tcMar>
          </w:tcPr>
          <w:p w14:paraId="50702D52" w14:textId="77777777" w:rsidR="004D359E" w:rsidRPr="000F19E1" w:rsidRDefault="004D359E" w:rsidP="004D359E">
            <w:pPr>
              <w:tabs>
                <w:tab w:val="center" w:pos="3152"/>
              </w:tabs>
              <w:rPr>
                <w:rFonts w:cs="Arial"/>
                <w:sz w:val="8"/>
                <w:szCs w:val="8"/>
                <w:lang w:val="en-US"/>
              </w:rPr>
            </w:pPr>
          </w:p>
        </w:tc>
      </w:tr>
    </w:tbl>
    <w:p w14:paraId="3C9F48D2" w14:textId="77777777" w:rsidR="0048777D" w:rsidRDefault="0048777D"/>
    <w:p w14:paraId="45B98451" w14:textId="77777777" w:rsidR="0048777D" w:rsidRDefault="0048777D">
      <w:r>
        <w:br w:type="page"/>
      </w:r>
    </w:p>
    <w:p w14:paraId="79160412" w14:textId="77777777" w:rsidR="0048777D" w:rsidRDefault="0048777D"/>
    <w:tbl>
      <w:tblPr>
        <w:tblW w:w="5170" w:type="pct"/>
        <w:tblInd w:w="-176" w:type="dxa"/>
        <w:tblLayout w:type="fixed"/>
        <w:tblLook w:val="01E0" w:firstRow="1" w:lastRow="1" w:firstColumn="1" w:lastColumn="1" w:noHBand="0" w:noVBand="0"/>
      </w:tblPr>
      <w:tblGrid>
        <w:gridCol w:w="2431"/>
        <w:gridCol w:w="439"/>
        <w:gridCol w:w="7681"/>
      </w:tblGrid>
      <w:tr w:rsidR="0021490D" w:rsidRPr="00862949" w14:paraId="0FF401E6" w14:textId="77777777" w:rsidTr="00D6452A">
        <w:tc>
          <w:tcPr>
            <w:tcW w:w="5000" w:type="pct"/>
            <w:gridSpan w:val="3"/>
            <w:shd w:val="clear" w:color="auto" w:fill="0070C0"/>
            <w:tcMar>
              <w:top w:w="85" w:type="dxa"/>
              <w:bottom w:w="85" w:type="dxa"/>
            </w:tcMar>
            <w:vAlign w:val="bottom"/>
          </w:tcPr>
          <w:p w14:paraId="5CA70EEA" w14:textId="77777777" w:rsidR="0021490D" w:rsidRPr="00862949" w:rsidRDefault="0021490D" w:rsidP="00D6452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1C3A55" w:rsidRPr="000F19E1" w14:paraId="53A22AAD" w14:textId="77777777" w:rsidTr="00155BD9">
        <w:tc>
          <w:tcPr>
            <w:tcW w:w="1152" w:type="pct"/>
            <w:shd w:val="clear" w:color="auto" w:fill="DAEEF3"/>
            <w:tcMar>
              <w:top w:w="0" w:type="dxa"/>
              <w:bottom w:w="0" w:type="dxa"/>
            </w:tcMar>
          </w:tcPr>
          <w:p w14:paraId="1EF994B2" w14:textId="77777777" w:rsidR="001C3A55" w:rsidRPr="000F19E1" w:rsidRDefault="001C3A55" w:rsidP="00510003">
            <w:pPr>
              <w:rPr>
                <w:rFonts w:cs="Arial"/>
                <w:bCs/>
                <w:sz w:val="8"/>
                <w:szCs w:val="8"/>
              </w:rPr>
            </w:pPr>
          </w:p>
        </w:tc>
        <w:tc>
          <w:tcPr>
            <w:tcW w:w="3848" w:type="pct"/>
            <w:gridSpan w:val="2"/>
            <w:shd w:val="clear" w:color="auto" w:fill="DAEEF3"/>
            <w:tcMar>
              <w:top w:w="0" w:type="dxa"/>
              <w:bottom w:w="0" w:type="dxa"/>
            </w:tcMar>
          </w:tcPr>
          <w:p w14:paraId="67CA36B8" w14:textId="77777777" w:rsidR="001C3A55" w:rsidRPr="000F19E1" w:rsidRDefault="001C3A55" w:rsidP="00510003">
            <w:pPr>
              <w:tabs>
                <w:tab w:val="center" w:pos="3152"/>
              </w:tabs>
              <w:rPr>
                <w:rFonts w:cs="Arial"/>
                <w:sz w:val="8"/>
                <w:szCs w:val="8"/>
                <w:lang w:val="en-US"/>
              </w:rPr>
            </w:pPr>
          </w:p>
        </w:tc>
      </w:tr>
      <w:tr w:rsidR="001C3A55" w:rsidRPr="00433D3E" w14:paraId="74F5C296" w14:textId="77777777" w:rsidTr="00155BD9">
        <w:tc>
          <w:tcPr>
            <w:tcW w:w="5000" w:type="pct"/>
            <w:gridSpan w:val="3"/>
            <w:shd w:val="clear" w:color="auto" w:fill="00B050"/>
            <w:tcMar>
              <w:top w:w="57" w:type="dxa"/>
              <w:bottom w:w="57" w:type="dxa"/>
            </w:tcMar>
          </w:tcPr>
          <w:p w14:paraId="0F4C1607" w14:textId="77777777" w:rsidR="001C3A55" w:rsidRPr="0021490D" w:rsidRDefault="001C3A55" w:rsidP="00B94311">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sidR="0048777D">
              <w:rPr>
                <w:rFonts w:cs="Arial"/>
                <w:b/>
                <w:bCs/>
                <w:i/>
                <w:iCs/>
                <w:color w:val="FFFFFF"/>
                <w:sz w:val="22"/>
                <w:szCs w:val="20"/>
                <w:lang w:val="en-US"/>
              </w:rPr>
              <w:t>UK</w:t>
            </w:r>
            <w:r w:rsidR="00B94311">
              <w:rPr>
                <w:rFonts w:cs="Arial"/>
                <w:b/>
                <w:bCs/>
                <w:i/>
                <w:iCs/>
                <w:color w:val="FFFFFF"/>
                <w:sz w:val="22"/>
                <w:szCs w:val="20"/>
                <w:lang w:val="en-US"/>
              </w:rPr>
              <w:t xml:space="preserve"> or </w:t>
            </w:r>
            <w:r w:rsidRPr="00433D3E">
              <w:rPr>
                <w:rFonts w:cs="Arial"/>
                <w:b/>
                <w:bCs/>
                <w:i/>
                <w:iCs/>
                <w:color w:val="FFFFFF"/>
                <w:sz w:val="22"/>
                <w:szCs w:val="20"/>
                <w:lang w:val="en-US"/>
              </w:rPr>
              <w:t>EU</w:t>
            </w:r>
            <w:r w:rsidR="0021490D">
              <w:rPr>
                <w:rFonts w:cs="Arial"/>
                <w:b/>
                <w:bCs/>
                <w:i/>
                <w:iCs/>
                <w:color w:val="FFFFFF"/>
                <w:sz w:val="22"/>
                <w:szCs w:val="20"/>
                <w:lang w:val="en-US"/>
              </w:rPr>
              <w:t xml:space="preserve"> </w:t>
            </w:r>
            <w:r w:rsidR="0021490D" w:rsidRPr="0021490D">
              <w:rPr>
                <w:rFonts w:cs="Arial"/>
                <w:b/>
                <w:bCs/>
                <w:color w:val="FFFFFF"/>
                <w:sz w:val="16"/>
                <w:szCs w:val="14"/>
                <w:lang w:val="en-US"/>
              </w:rPr>
              <w:t>(continued)</w:t>
            </w:r>
          </w:p>
        </w:tc>
      </w:tr>
      <w:tr w:rsidR="00A81694" w:rsidRPr="00A075A3" w14:paraId="1D9AF175" w14:textId="77777777" w:rsidTr="00605F83">
        <w:tc>
          <w:tcPr>
            <w:tcW w:w="1360" w:type="pct"/>
            <w:gridSpan w:val="2"/>
            <w:shd w:val="clear" w:color="auto" w:fill="auto"/>
            <w:tcMar>
              <w:top w:w="57" w:type="dxa"/>
              <w:bottom w:w="57" w:type="dxa"/>
            </w:tcMar>
          </w:tcPr>
          <w:p w14:paraId="46774FC5" w14:textId="23E53B26" w:rsidR="00A81694" w:rsidRPr="00555C73" w:rsidRDefault="00555C73" w:rsidP="00493607">
            <w:pPr>
              <w:rPr>
                <w:rFonts w:cs="Arial"/>
                <w:szCs w:val="19"/>
              </w:rPr>
            </w:pPr>
            <w:proofErr w:type="spellStart"/>
            <w:r>
              <w:rPr>
                <w:rFonts w:cs="Arial"/>
                <w:szCs w:val="19"/>
              </w:rPr>
              <w:t>Ruxolitinib</w:t>
            </w:r>
            <w:proofErr w:type="spellEnd"/>
            <w:r>
              <w:rPr>
                <w:rFonts w:cs="Arial"/>
                <w:szCs w:val="19"/>
              </w:rPr>
              <w:t xml:space="preserve"> (</w:t>
            </w:r>
            <w:proofErr w:type="spellStart"/>
            <w:r>
              <w:rPr>
                <w:rFonts w:cs="Arial"/>
                <w:i/>
                <w:iCs/>
                <w:szCs w:val="19"/>
              </w:rPr>
              <w:t>Jakavi</w:t>
            </w:r>
            <w:proofErr w:type="spellEnd"/>
            <w:r>
              <w:rPr>
                <w:rFonts w:cs="Arial"/>
                <w:szCs w:val="19"/>
              </w:rPr>
              <w:t>)</w:t>
            </w:r>
          </w:p>
        </w:tc>
        <w:tc>
          <w:tcPr>
            <w:tcW w:w="3640" w:type="pct"/>
            <w:shd w:val="clear" w:color="auto" w:fill="auto"/>
            <w:tcMar>
              <w:top w:w="57" w:type="dxa"/>
              <w:bottom w:w="57" w:type="dxa"/>
            </w:tcMar>
          </w:tcPr>
          <w:p w14:paraId="6A3C1267" w14:textId="028C5375" w:rsidR="00A81694" w:rsidRDefault="00555C73" w:rsidP="002039C9">
            <w:pPr>
              <w:tabs>
                <w:tab w:val="num" w:pos="720"/>
                <w:tab w:val="center" w:pos="3152"/>
              </w:tabs>
              <w:jc w:val="both"/>
              <w:rPr>
                <w:rFonts w:cs="Arial"/>
                <w:szCs w:val="19"/>
                <w:lang w:val="en-US"/>
              </w:rPr>
            </w:pPr>
            <w:r w:rsidRPr="00555C73">
              <w:rPr>
                <w:rFonts w:cs="Arial"/>
                <w:szCs w:val="19"/>
                <w:lang w:val="en-US"/>
              </w:rPr>
              <w:t xml:space="preserve">Treatment of adults and paediatric patients aged </w:t>
            </w:r>
            <w:r>
              <w:rPr>
                <w:rFonts w:cs="Arial"/>
                <w:szCs w:val="19"/>
                <w:lang w:val="en-US"/>
              </w:rPr>
              <w:t>≥</w:t>
            </w:r>
            <w:r w:rsidRPr="00555C73">
              <w:rPr>
                <w:rFonts w:cs="Arial"/>
                <w:szCs w:val="19"/>
                <w:lang w:val="en-US"/>
              </w:rPr>
              <w:t>28 days with acute graft versus host disease who have inadequate response to corticosteroids or other systemic therapies</w:t>
            </w:r>
            <w:r>
              <w:rPr>
                <w:rFonts w:cs="Arial"/>
                <w:szCs w:val="19"/>
                <w:lang w:val="en-US"/>
              </w:rPr>
              <w:t xml:space="preserve"> </w:t>
            </w:r>
            <w:r w:rsidRPr="00555C73">
              <w:rPr>
                <w:rFonts w:cs="Arial"/>
                <w:sz w:val="16"/>
                <w:szCs w:val="16"/>
                <w:lang w:val="en-US"/>
              </w:rPr>
              <w:t>[EU] [</w:t>
            </w:r>
            <w:proofErr w:type="spellStart"/>
            <w:r w:rsidRPr="00555C73">
              <w:rPr>
                <w:rFonts w:cs="Arial"/>
                <w:sz w:val="16"/>
                <w:szCs w:val="16"/>
                <w:lang w:val="en-US"/>
              </w:rPr>
              <w:t>licence</w:t>
            </w:r>
            <w:proofErr w:type="spellEnd"/>
            <w:r w:rsidRPr="00555C73">
              <w:rPr>
                <w:rFonts w:cs="Arial"/>
                <w:sz w:val="16"/>
                <w:szCs w:val="16"/>
                <w:lang w:val="en-US"/>
              </w:rPr>
              <w:t xml:space="preserve"> change </w:t>
            </w:r>
            <w:r w:rsidR="002039C9">
              <w:rPr>
                <w:rFonts w:cs="Arial"/>
                <w:sz w:val="16"/>
                <w:szCs w:val="16"/>
                <w:lang w:val="en-US"/>
              </w:rPr>
              <w:t xml:space="preserve">for </w:t>
            </w:r>
            <w:proofErr w:type="spellStart"/>
            <w:r w:rsidR="002039C9" w:rsidRPr="002039C9">
              <w:rPr>
                <w:rFonts w:cs="Arial"/>
                <w:i/>
                <w:iCs/>
                <w:sz w:val="16"/>
                <w:szCs w:val="16"/>
                <w:lang w:val="en-US"/>
              </w:rPr>
              <w:t>Jakavi</w:t>
            </w:r>
            <w:proofErr w:type="spellEnd"/>
            <w:r w:rsidR="002039C9">
              <w:rPr>
                <w:rFonts w:cs="Arial"/>
                <w:sz w:val="16"/>
                <w:szCs w:val="16"/>
                <w:lang w:val="en-US"/>
              </w:rPr>
              <w:t xml:space="preserve"> tablets </w:t>
            </w:r>
            <w:r w:rsidRPr="00555C73">
              <w:rPr>
                <w:rFonts w:cs="Arial"/>
                <w:sz w:val="16"/>
                <w:szCs w:val="16"/>
                <w:lang w:val="en-US"/>
              </w:rPr>
              <w:t>from use only in patients aged ≥12 years]</w:t>
            </w:r>
          </w:p>
        </w:tc>
      </w:tr>
      <w:tr w:rsidR="00A81694" w:rsidRPr="00A075A3" w14:paraId="47C72D9B" w14:textId="77777777" w:rsidTr="00605F83">
        <w:tc>
          <w:tcPr>
            <w:tcW w:w="1360" w:type="pct"/>
            <w:gridSpan w:val="2"/>
            <w:shd w:val="clear" w:color="auto" w:fill="auto"/>
            <w:tcMar>
              <w:top w:w="57" w:type="dxa"/>
              <w:bottom w:w="57" w:type="dxa"/>
            </w:tcMar>
          </w:tcPr>
          <w:p w14:paraId="5C2DC887" w14:textId="4F9F779E" w:rsidR="00A81694" w:rsidRPr="00E411E8" w:rsidRDefault="00555C73" w:rsidP="00493607">
            <w:pPr>
              <w:rPr>
                <w:rFonts w:cs="Arial"/>
                <w:szCs w:val="19"/>
              </w:rPr>
            </w:pPr>
            <w:proofErr w:type="spellStart"/>
            <w:r>
              <w:rPr>
                <w:rFonts w:cs="Arial"/>
                <w:szCs w:val="19"/>
              </w:rPr>
              <w:t>Ruxolitinib</w:t>
            </w:r>
            <w:proofErr w:type="spellEnd"/>
            <w:r>
              <w:rPr>
                <w:rFonts w:cs="Arial"/>
                <w:szCs w:val="19"/>
              </w:rPr>
              <w:t xml:space="preserve"> (</w:t>
            </w:r>
            <w:proofErr w:type="spellStart"/>
            <w:r>
              <w:rPr>
                <w:rFonts w:cs="Arial"/>
                <w:i/>
                <w:iCs/>
                <w:szCs w:val="19"/>
              </w:rPr>
              <w:t>Jakavi</w:t>
            </w:r>
            <w:proofErr w:type="spellEnd"/>
            <w:r>
              <w:rPr>
                <w:rFonts w:cs="Arial"/>
                <w:szCs w:val="19"/>
              </w:rPr>
              <w:t>)</w:t>
            </w:r>
          </w:p>
        </w:tc>
        <w:tc>
          <w:tcPr>
            <w:tcW w:w="3640" w:type="pct"/>
            <w:shd w:val="clear" w:color="auto" w:fill="auto"/>
            <w:tcMar>
              <w:top w:w="57" w:type="dxa"/>
              <w:bottom w:w="57" w:type="dxa"/>
            </w:tcMar>
          </w:tcPr>
          <w:p w14:paraId="6372D7A1" w14:textId="78AD1BE4" w:rsidR="00A81694" w:rsidRDefault="00555C73" w:rsidP="00493607">
            <w:pPr>
              <w:tabs>
                <w:tab w:val="num" w:pos="720"/>
                <w:tab w:val="center" w:pos="3152"/>
              </w:tabs>
              <w:rPr>
                <w:rFonts w:cs="Arial"/>
                <w:szCs w:val="19"/>
                <w:lang w:val="en-US"/>
              </w:rPr>
            </w:pPr>
            <w:r w:rsidRPr="00555C73">
              <w:rPr>
                <w:rFonts w:cs="Arial"/>
                <w:szCs w:val="19"/>
                <w:lang w:val="en-US"/>
              </w:rPr>
              <w:t xml:space="preserve">Treatment of adults and paediatric patients aged </w:t>
            </w:r>
            <w:r>
              <w:rPr>
                <w:rFonts w:cs="Arial"/>
                <w:szCs w:val="19"/>
                <w:lang w:val="en-US"/>
              </w:rPr>
              <w:t>≥</w:t>
            </w:r>
            <w:r w:rsidRPr="00555C73">
              <w:rPr>
                <w:rFonts w:cs="Arial"/>
                <w:szCs w:val="19"/>
                <w:lang w:val="en-US"/>
              </w:rPr>
              <w:t>28 days with acute graft versus host disease who have inadequate response to corticosteroids or other systemic therapies</w:t>
            </w:r>
            <w:r w:rsidR="00D94D1F">
              <w:rPr>
                <w:rFonts w:cs="Arial"/>
                <w:szCs w:val="19"/>
                <w:lang w:val="en-US"/>
              </w:rPr>
              <w:t>,</w:t>
            </w:r>
            <w:r>
              <w:rPr>
                <w:rFonts w:cs="Arial"/>
                <w:szCs w:val="19"/>
                <w:lang w:val="en-US"/>
              </w:rPr>
              <w:t xml:space="preserve"> </w:t>
            </w:r>
            <w:r w:rsidR="00D94D1F">
              <w:rPr>
                <w:rFonts w:cs="Arial"/>
                <w:szCs w:val="19"/>
                <w:lang w:val="en-US"/>
              </w:rPr>
              <w:t>and</w:t>
            </w:r>
            <w:r w:rsidR="00D94D1F">
              <w:t xml:space="preserve"> </w:t>
            </w:r>
            <w:r w:rsidR="00D94D1F" w:rsidRPr="00D94D1F">
              <w:rPr>
                <w:rFonts w:cs="Arial"/>
                <w:szCs w:val="19"/>
                <w:lang w:val="en-US"/>
              </w:rPr>
              <w:t xml:space="preserve">treatment of adults and paediatric patients aged </w:t>
            </w:r>
            <w:r w:rsidR="00D94D1F">
              <w:rPr>
                <w:rFonts w:cs="Arial"/>
                <w:szCs w:val="19"/>
                <w:lang w:val="en-US"/>
              </w:rPr>
              <w:t>≥</w:t>
            </w:r>
            <w:r w:rsidR="00D94D1F" w:rsidRPr="00D94D1F">
              <w:rPr>
                <w:rFonts w:cs="Arial"/>
                <w:szCs w:val="19"/>
                <w:lang w:val="en-US"/>
              </w:rPr>
              <w:t>6 months with chronic graft versus host disease who have inadequate response to corticosteroids or other systemic therapies</w:t>
            </w:r>
            <w:r w:rsidR="00D94D1F">
              <w:rPr>
                <w:rFonts w:cs="Arial"/>
                <w:szCs w:val="19"/>
                <w:lang w:val="en-US"/>
              </w:rPr>
              <w:t xml:space="preserve"> </w:t>
            </w:r>
            <w:r w:rsidRPr="00555C73">
              <w:rPr>
                <w:rFonts w:cs="Arial"/>
                <w:sz w:val="16"/>
                <w:szCs w:val="16"/>
                <w:lang w:val="en-US"/>
              </w:rPr>
              <w:t>[EU] [new oral solution formulation for patients who cannot swallow tablets]</w:t>
            </w:r>
          </w:p>
        </w:tc>
      </w:tr>
      <w:tr w:rsidR="00555C73" w:rsidRPr="00A075A3" w14:paraId="3779CEBD" w14:textId="77777777" w:rsidTr="00605F83">
        <w:tc>
          <w:tcPr>
            <w:tcW w:w="1360" w:type="pct"/>
            <w:gridSpan w:val="2"/>
            <w:shd w:val="clear" w:color="auto" w:fill="auto"/>
            <w:tcMar>
              <w:top w:w="57" w:type="dxa"/>
              <w:bottom w:w="57" w:type="dxa"/>
            </w:tcMar>
          </w:tcPr>
          <w:p w14:paraId="12A9CABA" w14:textId="33BCBF04" w:rsidR="00555C73" w:rsidRPr="00E411E8" w:rsidRDefault="00555C73" w:rsidP="00493607">
            <w:pPr>
              <w:rPr>
                <w:rFonts w:cs="Arial"/>
                <w:szCs w:val="19"/>
              </w:rPr>
            </w:pPr>
            <w:proofErr w:type="spellStart"/>
            <w:r>
              <w:rPr>
                <w:rFonts w:cs="Arial"/>
                <w:szCs w:val="19"/>
              </w:rPr>
              <w:t>Ruxolitinib</w:t>
            </w:r>
            <w:proofErr w:type="spellEnd"/>
            <w:r>
              <w:rPr>
                <w:rFonts w:cs="Arial"/>
                <w:szCs w:val="19"/>
              </w:rPr>
              <w:t xml:space="preserve"> (</w:t>
            </w:r>
            <w:proofErr w:type="spellStart"/>
            <w:r>
              <w:rPr>
                <w:rFonts w:cs="Arial"/>
                <w:i/>
                <w:iCs/>
                <w:szCs w:val="19"/>
              </w:rPr>
              <w:t>Jakavi</w:t>
            </w:r>
            <w:proofErr w:type="spellEnd"/>
            <w:r>
              <w:rPr>
                <w:rFonts w:cs="Arial"/>
                <w:szCs w:val="19"/>
              </w:rPr>
              <w:t>)</w:t>
            </w:r>
          </w:p>
        </w:tc>
        <w:tc>
          <w:tcPr>
            <w:tcW w:w="3640" w:type="pct"/>
            <w:shd w:val="clear" w:color="auto" w:fill="auto"/>
            <w:tcMar>
              <w:top w:w="57" w:type="dxa"/>
              <w:bottom w:w="57" w:type="dxa"/>
            </w:tcMar>
          </w:tcPr>
          <w:p w14:paraId="16D2FE7D" w14:textId="093E57B5" w:rsidR="00555C73" w:rsidRPr="00555C73" w:rsidRDefault="00D94D1F" w:rsidP="00493607">
            <w:pPr>
              <w:tabs>
                <w:tab w:val="num" w:pos="720"/>
                <w:tab w:val="center" w:pos="3152"/>
              </w:tabs>
              <w:rPr>
                <w:rFonts w:cs="Arial"/>
                <w:szCs w:val="19"/>
                <w:lang w:val="en-US"/>
              </w:rPr>
            </w:pPr>
            <w:r w:rsidRPr="00D94D1F">
              <w:rPr>
                <w:rFonts w:cs="Arial"/>
                <w:szCs w:val="19"/>
                <w:lang w:val="en-US"/>
              </w:rPr>
              <w:t xml:space="preserve">Treatment of adults and paediatric patients aged </w:t>
            </w:r>
            <w:r>
              <w:rPr>
                <w:rFonts w:cs="Arial"/>
                <w:szCs w:val="19"/>
                <w:lang w:val="en-US"/>
              </w:rPr>
              <w:t>≥</w:t>
            </w:r>
            <w:r w:rsidRPr="00D94D1F">
              <w:rPr>
                <w:rFonts w:cs="Arial"/>
                <w:szCs w:val="19"/>
                <w:lang w:val="en-US"/>
              </w:rPr>
              <w:t>6 months with chronic graft versus host disease who have inadequate response to corticosteroids or other systemic therapies</w:t>
            </w:r>
            <w:r>
              <w:rPr>
                <w:rFonts w:cs="Arial"/>
                <w:szCs w:val="19"/>
                <w:lang w:val="en-US"/>
              </w:rPr>
              <w:t xml:space="preserve"> </w:t>
            </w:r>
            <w:r w:rsidRPr="00555C73">
              <w:rPr>
                <w:rFonts w:cs="Arial"/>
                <w:sz w:val="16"/>
                <w:szCs w:val="16"/>
                <w:lang w:val="en-US"/>
              </w:rPr>
              <w:t>[EU] [</w:t>
            </w:r>
            <w:proofErr w:type="spellStart"/>
            <w:r w:rsidRPr="00555C73">
              <w:rPr>
                <w:rFonts w:cs="Arial"/>
                <w:sz w:val="16"/>
                <w:szCs w:val="16"/>
                <w:lang w:val="en-US"/>
              </w:rPr>
              <w:t>licence</w:t>
            </w:r>
            <w:proofErr w:type="spellEnd"/>
            <w:r w:rsidRPr="00555C73">
              <w:rPr>
                <w:rFonts w:cs="Arial"/>
                <w:sz w:val="16"/>
                <w:szCs w:val="16"/>
                <w:lang w:val="en-US"/>
              </w:rPr>
              <w:t xml:space="preserve"> change</w:t>
            </w:r>
            <w:r w:rsidR="002039C9">
              <w:rPr>
                <w:rFonts w:cs="Arial"/>
                <w:sz w:val="16"/>
                <w:szCs w:val="16"/>
                <w:lang w:val="en-US"/>
              </w:rPr>
              <w:t xml:space="preserve"> for </w:t>
            </w:r>
            <w:proofErr w:type="spellStart"/>
            <w:r w:rsidR="002039C9">
              <w:rPr>
                <w:rFonts w:cs="Arial"/>
                <w:i/>
                <w:iCs/>
                <w:sz w:val="16"/>
                <w:szCs w:val="16"/>
                <w:lang w:val="en-US"/>
              </w:rPr>
              <w:t>Jakavi</w:t>
            </w:r>
            <w:proofErr w:type="spellEnd"/>
            <w:r w:rsidR="002039C9">
              <w:rPr>
                <w:rFonts w:cs="Arial"/>
                <w:sz w:val="16"/>
                <w:szCs w:val="16"/>
                <w:lang w:val="en-US"/>
              </w:rPr>
              <w:t xml:space="preserve"> tablets</w:t>
            </w:r>
            <w:r w:rsidRPr="00555C73">
              <w:rPr>
                <w:rFonts w:cs="Arial"/>
                <w:sz w:val="16"/>
                <w:szCs w:val="16"/>
                <w:lang w:val="en-US"/>
              </w:rPr>
              <w:t xml:space="preserve"> from use only in patients aged ≥12 years]</w:t>
            </w:r>
          </w:p>
        </w:tc>
      </w:tr>
      <w:tr w:rsidR="00DD6BEE" w:rsidRPr="00A075A3" w14:paraId="3AC96D28" w14:textId="77777777" w:rsidTr="00605F83">
        <w:tc>
          <w:tcPr>
            <w:tcW w:w="1360" w:type="pct"/>
            <w:gridSpan w:val="2"/>
            <w:shd w:val="clear" w:color="auto" w:fill="auto"/>
            <w:tcMar>
              <w:top w:w="57" w:type="dxa"/>
              <w:bottom w:w="57" w:type="dxa"/>
            </w:tcMar>
          </w:tcPr>
          <w:p w14:paraId="61DE15DB" w14:textId="442ED6AA" w:rsidR="00DD6BEE" w:rsidRPr="00DD6BEE" w:rsidRDefault="00DD6BEE" w:rsidP="00583778">
            <w:pPr>
              <w:rPr>
                <w:rFonts w:cs="Arial"/>
                <w:szCs w:val="19"/>
              </w:rPr>
            </w:pPr>
            <w:r>
              <w:rPr>
                <w:rFonts w:cs="Arial"/>
                <w:szCs w:val="19"/>
              </w:rPr>
              <w:t>Sarilumab (</w:t>
            </w:r>
            <w:r>
              <w:rPr>
                <w:rFonts w:cs="Arial"/>
                <w:i/>
                <w:iCs/>
                <w:szCs w:val="19"/>
              </w:rPr>
              <w:t>Kevzara</w:t>
            </w:r>
            <w:r>
              <w:rPr>
                <w:rFonts w:cs="Arial"/>
                <w:szCs w:val="19"/>
              </w:rPr>
              <w:t>)</w:t>
            </w:r>
          </w:p>
        </w:tc>
        <w:tc>
          <w:tcPr>
            <w:tcW w:w="3640" w:type="pct"/>
            <w:shd w:val="clear" w:color="auto" w:fill="auto"/>
            <w:tcMar>
              <w:top w:w="57" w:type="dxa"/>
              <w:bottom w:w="57" w:type="dxa"/>
            </w:tcMar>
          </w:tcPr>
          <w:p w14:paraId="1FF951F2" w14:textId="00D5AEDA" w:rsidR="00DD6BEE" w:rsidRDefault="00DD6BEE" w:rsidP="002618A3">
            <w:pPr>
              <w:tabs>
                <w:tab w:val="num" w:pos="720"/>
                <w:tab w:val="center" w:pos="3152"/>
              </w:tabs>
              <w:rPr>
                <w:rFonts w:cs="Arial"/>
                <w:szCs w:val="19"/>
                <w:lang w:val="en-US"/>
              </w:rPr>
            </w:pPr>
            <w:r w:rsidRPr="00DD6BEE">
              <w:rPr>
                <w:rFonts w:cs="Arial"/>
                <w:szCs w:val="19"/>
                <w:lang w:val="en-US"/>
              </w:rPr>
              <w:t xml:space="preserve">Treatment of active polyarticular juvenile idiopathic arthritis (rheumatoid factor positive or negative polyarthritis and extended oligoarthritis) in patients </w:t>
            </w:r>
            <w:r>
              <w:rPr>
                <w:rFonts w:cs="Arial"/>
                <w:szCs w:val="19"/>
                <w:lang w:val="en-US"/>
              </w:rPr>
              <w:t>aged ≥</w:t>
            </w:r>
            <w:r w:rsidRPr="00DD6BEE">
              <w:rPr>
                <w:rFonts w:cs="Arial"/>
                <w:szCs w:val="19"/>
                <w:lang w:val="en-US"/>
              </w:rPr>
              <w:t xml:space="preserve">2 years, who have responded inadequately to previous therapy with conventional synthetic </w:t>
            </w:r>
            <w:r>
              <w:rPr>
                <w:rFonts w:cs="Arial"/>
                <w:szCs w:val="19"/>
                <w:lang w:val="en-US"/>
              </w:rPr>
              <w:t>disease modifying anti-rheumatic drugs</w:t>
            </w:r>
            <w:r w:rsidRPr="00DD6BEE">
              <w:rPr>
                <w:rFonts w:cs="Arial"/>
                <w:szCs w:val="19"/>
                <w:lang w:val="en-US"/>
              </w:rPr>
              <w:t xml:space="preserve"> as monotherapy or in combination with </w:t>
            </w:r>
            <w:r>
              <w:rPr>
                <w:rFonts w:cs="Arial"/>
                <w:szCs w:val="19"/>
                <w:lang w:val="en-US"/>
              </w:rPr>
              <w:t xml:space="preserve">methotrexate </w:t>
            </w:r>
            <w:r w:rsidRPr="00DD6BEE">
              <w:rPr>
                <w:rFonts w:cs="Arial"/>
                <w:sz w:val="16"/>
                <w:szCs w:val="16"/>
                <w:lang w:val="en-US"/>
              </w:rPr>
              <w:t>[EU] [</w:t>
            </w:r>
            <w:r w:rsidR="004D0859">
              <w:rPr>
                <w:rFonts w:cs="Arial"/>
                <w:sz w:val="16"/>
                <w:szCs w:val="16"/>
                <w:lang w:val="en-US"/>
              </w:rPr>
              <w:t xml:space="preserve">new </w:t>
            </w:r>
            <w:r w:rsidR="004D0859" w:rsidRPr="004D0859">
              <w:rPr>
                <w:rFonts w:cs="Arial"/>
                <w:sz w:val="16"/>
                <w:szCs w:val="16"/>
                <w:lang w:val="en-US"/>
              </w:rPr>
              <w:t>175 mg</w:t>
            </w:r>
            <w:r w:rsidR="004D0859">
              <w:rPr>
                <w:rFonts w:cs="Arial"/>
                <w:sz w:val="16"/>
                <w:szCs w:val="16"/>
                <w:lang w:val="en-US"/>
              </w:rPr>
              <w:t xml:space="preserve"> in 1</w:t>
            </w:r>
            <w:r w:rsidR="004D0859" w:rsidRPr="004D0859">
              <w:rPr>
                <w:rFonts w:cs="Arial"/>
                <w:sz w:val="16"/>
                <w:szCs w:val="16"/>
                <w:lang w:val="en-US"/>
              </w:rPr>
              <w:t>m</w:t>
            </w:r>
            <w:r w:rsidR="004D0859">
              <w:rPr>
                <w:rFonts w:cs="Arial"/>
                <w:sz w:val="16"/>
                <w:szCs w:val="16"/>
                <w:lang w:val="en-US"/>
              </w:rPr>
              <w:t>L strength vial</w:t>
            </w:r>
            <w:r w:rsidR="00685032">
              <w:rPr>
                <w:rFonts w:cs="Arial"/>
                <w:sz w:val="16"/>
                <w:szCs w:val="16"/>
                <w:lang w:val="en-US"/>
              </w:rPr>
              <w:t xml:space="preserve"> with </w:t>
            </w:r>
            <w:r w:rsidR="00685032" w:rsidRPr="00DD6BEE">
              <w:rPr>
                <w:rFonts w:cs="Arial"/>
                <w:sz w:val="16"/>
                <w:szCs w:val="16"/>
                <w:lang w:val="en-US"/>
              </w:rPr>
              <w:t>new indication</w:t>
            </w:r>
            <w:r w:rsidR="004D0859">
              <w:rPr>
                <w:rFonts w:cs="Arial"/>
                <w:sz w:val="16"/>
                <w:szCs w:val="16"/>
                <w:lang w:val="en-US"/>
              </w:rPr>
              <w:t>]</w:t>
            </w:r>
          </w:p>
        </w:tc>
      </w:tr>
      <w:tr w:rsidR="00A81694" w:rsidRPr="00A075A3" w14:paraId="768BC7EF" w14:textId="77777777" w:rsidTr="00605F83">
        <w:tc>
          <w:tcPr>
            <w:tcW w:w="1360" w:type="pct"/>
            <w:gridSpan w:val="2"/>
            <w:shd w:val="clear" w:color="auto" w:fill="auto"/>
            <w:tcMar>
              <w:top w:w="57" w:type="dxa"/>
              <w:bottom w:w="57" w:type="dxa"/>
            </w:tcMar>
          </w:tcPr>
          <w:p w14:paraId="3F2D5F49" w14:textId="51E4DAEC" w:rsidR="00A81694" w:rsidRPr="00DF3E3E" w:rsidRDefault="00DF3E3E" w:rsidP="00583778">
            <w:pPr>
              <w:rPr>
                <w:rFonts w:cs="Arial"/>
                <w:szCs w:val="19"/>
              </w:rPr>
            </w:pPr>
            <w:proofErr w:type="spellStart"/>
            <w:r w:rsidRPr="00DF3E3E">
              <w:rPr>
                <w:rFonts w:cs="Arial"/>
                <w:szCs w:val="19"/>
              </w:rPr>
              <w:t>Vilobelimab</w:t>
            </w:r>
            <w:proofErr w:type="spellEnd"/>
            <w:r>
              <w:rPr>
                <w:rFonts w:cs="Arial"/>
                <w:szCs w:val="19"/>
              </w:rPr>
              <w:t xml:space="preserve"> (</w:t>
            </w:r>
            <w:proofErr w:type="spellStart"/>
            <w:r>
              <w:rPr>
                <w:rFonts w:cs="Arial"/>
                <w:i/>
                <w:iCs/>
                <w:szCs w:val="19"/>
              </w:rPr>
              <w:t>Gohibic</w:t>
            </w:r>
            <w:proofErr w:type="spellEnd"/>
            <w:r>
              <w:rPr>
                <w:rFonts w:cs="Arial"/>
                <w:szCs w:val="19"/>
              </w:rPr>
              <w:t>)</w:t>
            </w:r>
          </w:p>
        </w:tc>
        <w:tc>
          <w:tcPr>
            <w:tcW w:w="3640" w:type="pct"/>
            <w:shd w:val="clear" w:color="auto" w:fill="auto"/>
            <w:tcMar>
              <w:top w:w="57" w:type="dxa"/>
              <w:bottom w:w="57" w:type="dxa"/>
            </w:tcMar>
          </w:tcPr>
          <w:p w14:paraId="4AAD5467" w14:textId="24722CC8" w:rsidR="00A81694" w:rsidRDefault="00DF3E3E" w:rsidP="002618A3">
            <w:pPr>
              <w:tabs>
                <w:tab w:val="num" w:pos="720"/>
                <w:tab w:val="center" w:pos="3152"/>
              </w:tabs>
              <w:rPr>
                <w:rFonts w:cs="Arial"/>
                <w:szCs w:val="19"/>
                <w:lang w:val="en-US"/>
              </w:rPr>
            </w:pPr>
            <w:r>
              <w:rPr>
                <w:rFonts w:cs="Arial"/>
                <w:szCs w:val="19"/>
                <w:lang w:val="en-US"/>
              </w:rPr>
              <w:t>T</w:t>
            </w:r>
            <w:r w:rsidRPr="00DF3E3E">
              <w:rPr>
                <w:rFonts w:cs="Arial"/>
                <w:szCs w:val="19"/>
                <w:lang w:val="en-US"/>
              </w:rPr>
              <w:t>reatment of adults with SARS</w:t>
            </w:r>
            <w:r w:rsidRPr="00DF3E3E">
              <w:rPr>
                <w:rFonts w:ascii="Cambria Math" w:hAnsi="Cambria Math" w:cs="Cambria Math"/>
                <w:szCs w:val="19"/>
                <w:lang w:val="en-US"/>
              </w:rPr>
              <w:t>‑</w:t>
            </w:r>
            <w:r w:rsidRPr="00DF3E3E">
              <w:rPr>
                <w:rFonts w:cs="Arial"/>
                <w:szCs w:val="19"/>
                <w:lang w:val="en-US"/>
              </w:rPr>
              <w:t>CoV2</w:t>
            </w:r>
            <w:r w:rsidRPr="00DF3E3E">
              <w:rPr>
                <w:rFonts w:ascii="Cambria Math" w:hAnsi="Cambria Math" w:cs="Cambria Math"/>
                <w:szCs w:val="19"/>
                <w:lang w:val="en-US"/>
              </w:rPr>
              <w:t>‑</w:t>
            </w:r>
            <w:r w:rsidRPr="00DF3E3E">
              <w:rPr>
                <w:rFonts w:cs="Arial"/>
                <w:szCs w:val="19"/>
                <w:lang w:val="en-US"/>
              </w:rPr>
              <w:t xml:space="preserve">induced acute respiratory distress syndrome who are receiving systemic corticosteroids as part of </w:t>
            </w:r>
            <w:r>
              <w:rPr>
                <w:rFonts w:cs="Arial"/>
                <w:szCs w:val="19"/>
                <w:lang w:val="en-US"/>
              </w:rPr>
              <w:t>s</w:t>
            </w:r>
            <w:r w:rsidRPr="00DF3E3E">
              <w:rPr>
                <w:rFonts w:cs="Arial"/>
                <w:szCs w:val="19"/>
                <w:lang w:val="en-US"/>
              </w:rPr>
              <w:t xml:space="preserve">tandard of </w:t>
            </w:r>
            <w:r>
              <w:rPr>
                <w:rFonts w:cs="Arial"/>
                <w:szCs w:val="19"/>
                <w:lang w:val="en-US"/>
              </w:rPr>
              <w:t>c</w:t>
            </w:r>
            <w:r w:rsidRPr="00DF3E3E">
              <w:rPr>
                <w:rFonts w:cs="Arial"/>
                <w:szCs w:val="19"/>
                <w:lang w:val="en-US"/>
              </w:rPr>
              <w:t>are and receiving invasive mechanical ventilation (with or without extracorporeal membrane oxygenation)</w:t>
            </w:r>
            <w:r>
              <w:rPr>
                <w:rFonts w:cs="Arial"/>
                <w:szCs w:val="19"/>
                <w:lang w:val="en-US"/>
              </w:rPr>
              <w:t xml:space="preserve"> </w:t>
            </w:r>
            <w:r w:rsidRPr="00DF3E3E">
              <w:rPr>
                <w:rFonts w:cs="Arial"/>
                <w:sz w:val="16"/>
                <w:szCs w:val="16"/>
                <w:lang w:val="en-US"/>
              </w:rPr>
              <w:t>[EU]</w:t>
            </w:r>
          </w:p>
        </w:tc>
      </w:tr>
      <w:tr w:rsidR="00A81694" w:rsidRPr="000F19E1" w14:paraId="3A826F70" w14:textId="77777777" w:rsidTr="00605F83">
        <w:tc>
          <w:tcPr>
            <w:tcW w:w="1360" w:type="pct"/>
            <w:gridSpan w:val="2"/>
            <w:shd w:val="clear" w:color="auto" w:fill="auto"/>
            <w:tcMar>
              <w:top w:w="0" w:type="dxa"/>
              <w:bottom w:w="0" w:type="dxa"/>
            </w:tcMar>
          </w:tcPr>
          <w:p w14:paraId="6B8217D4" w14:textId="77777777" w:rsidR="00A81694" w:rsidRPr="000F19E1" w:rsidRDefault="00A81694" w:rsidP="00392C21">
            <w:pPr>
              <w:rPr>
                <w:rFonts w:cs="Arial"/>
                <w:bCs/>
                <w:sz w:val="8"/>
                <w:szCs w:val="8"/>
              </w:rPr>
            </w:pPr>
          </w:p>
        </w:tc>
        <w:tc>
          <w:tcPr>
            <w:tcW w:w="3640" w:type="pct"/>
            <w:shd w:val="clear" w:color="auto" w:fill="auto"/>
            <w:tcMar>
              <w:top w:w="0" w:type="dxa"/>
              <w:bottom w:w="0" w:type="dxa"/>
            </w:tcMar>
          </w:tcPr>
          <w:p w14:paraId="78D91187" w14:textId="77777777" w:rsidR="00A81694" w:rsidRPr="000F19E1" w:rsidRDefault="00A81694" w:rsidP="00392C21">
            <w:pPr>
              <w:tabs>
                <w:tab w:val="center" w:pos="3152"/>
              </w:tabs>
              <w:rPr>
                <w:rFonts w:cs="Arial"/>
                <w:sz w:val="8"/>
                <w:szCs w:val="8"/>
                <w:lang w:val="en-US"/>
              </w:rPr>
            </w:pPr>
          </w:p>
        </w:tc>
      </w:tr>
      <w:tr w:rsidR="00A81694" w:rsidRPr="000F19E1" w14:paraId="66FBFA2F" w14:textId="77777777" w:rsidTr="00155BD9">
        <w:tc>
          <w:tcPr>
            <w:tcW w:w="1152" w:type="pct"/>
            <w:shd w:val="clear" w:color="auto" w:fill="DAEEF3"/>
            <w:tcMar>
              <w:top w:w="0" w:type="dxa"/>
              <w:bottom w:w="0" w:type="dxa"/>
            </w:tcMar>
          </w:tcPr>
          <w:p w14:paraId="38F9FE38" w14:textId="77777777" w:rsidR="00A81694" w:rsidRPr="000F19E1" w:rsidRDefault="00A81694" w:rsidP="00392C21">
            <w:pPr>
              <w:rPr>
                <w:rFonts w:cs="Arial"/>
                <w:bCs/>
                <w:sz w:val="8"/>
                <w:szCs w:val="8"/>
              </w:rPr>
            </w:pPr>
          </w:p>
        </w:tc>
        <w:tc>
          <w:tcPr>
            <w:tcW w:w="3848" w:type="pct"/>
            <w:gridSpan w:val="2"/>
            <w:shd w:val="clear" w:color="auto" w:fill="DAEEF3"/>
            <w:tcMar>
              <w:top w:w="0" w:type="dxa"/>
              <w:bottom w:w="0" w:type="dxa"/>
            </w:tcMar>
          </w:tcPr>
          <w:p w14:paraId="699A7EB6" w14:textId="77777777" w:rsidR="00A81694" w:rsidRPr="000F19E1" w:rsidRDefault="00A81694" w:rsidP="00392C21">
            <w:pPr>
              <w:tabs>
                <w:tab w:val="center" w:pos="3152"/>
              </w:tabs>
              <w:rPr>
                <w:rFonts w:cs="Arial"/>
                <w:sz w:val="8"/>
                <w:szCs w:val="8"/>
                <w:lang w:val="en-US"/>
              </w:rPr>
            </w:pPr>
          </w:p>
        </w:tc>
      </w:tr>
      <w:tr w:rsidR="00A81694" w:rsidRPr="00433D3E" w14:paraId="5370A9B7" w14:textId="77777777" w:rsidTr="00155BD9">
        <w:tc>
          <w:tcPr>
            <w:tcW w:w="5000" w:type="pct"/>
            <w:gridSpan w:val="3"/>
            <w:shd w:val="clear" w:color="auto" w:fill="00B050"/>
            <w:tcMar>
              <w:top w:w="57" w:type="dxa"/>
              <w:bottom w:w="57" w:type="dxa"/>
            </w:tcMar>
          </w:tcPr>
          <w:p w14:paraId="6BB9D6C1" w14:textId="77777777" w:rsidR="00A81694" w:rsidRPr="00433D3E" w:rsidRDefault="00A81694" w:rsidP="00B94311">
            <w:pPr>
              <w:rPr>
                <w:rFonts w:cs="Arial"/>
                <w:noProof/>
                <w:color w:val="FFFFFF"/>
                <w:sz w:val="16"/>
                <w:szCs w:val="16"/>
              </w:rPr>
            </w:pPr>
            <w:r w:rsidRPr="00433D3E">
              <w:rPr>
                <w:rFonts w:cs="Arial"/>
                <w:b/>
                <w:bCs/>
                <w:i/>
                <w:iCs/>
                <w:color w:val="FFFFFF"/>
                <w:sz w:val="22"/>
                <w:szCs w:val="20"/>
                <w:lang w:val="en-US"/>
              </w:rPr>
              <w:t xml:space="preserve">Filed for approval in the </w:t>
            </w:r>
            <w:r w:rsidR="0048777D">
              <w:rPr>
                <w:rFonts w:cs="Arial"/>
                <w:b/>
                <w:bCs/>
                <w:i/>
                <w:iCs/>
                <w:color w:val="FFFFFF"/>
                <w:sz w:val="22"/>
                <w:szCs w:val="20"/>
                <w:lang w:val="en-US"/>
              </w:rPr>
              <w:t>UK</w:t>
            </w:r>
            <w:r w:rsidR="00B94311">
              <w:rPr>
                <w:rFonts w:cs="Arial"/>
                <w:b/>
                <w:bCs/>
                <w:i/>
                <w:iCs/>
                <w:color w:val="FFFFFF"/>
                <w:sz w:val="22"/>
                <w:szCs w:val="20"/>
                <w:lang w:val="en-US"/>
              </w:rPr>
              <w:t xml:space="preserve"> or </w:t>
            </w:r>
            <w:r w:rsidRPr="00433D3E">
              <w:rPr>
                <w:rFonts w:cs="Arial"/>
                <w:b/>
                <w:bCs/>
                <w:i/>
                <w:iCs/>
                <w:color w:val="FFFFFF"/>
                <w:sz w:val="22"/>
                <w:szCs w:val="20"/>
                <w:lang w:val="en-US"/>
              </w:rPr>
              <w:t>EU</w:t>
            </w:r>
          </w:p>
        </w:tc>
      </w:tr>
      <w:tr w:rsidR="00046940" w:rsidRPr="00A075A3" w14:paraId="59CF4CDF" w14:textId="77777777" w:rsidTr="00605F83">
        <w:tc>
          <w:tcPr>
            <w:tcW w:w="1360" w:type="pct"/>
            <w:gridSpan w:val="2"/>
            <w:shd w:val="clear" w:color="auto" w:fill="auto"/>
            <w:tcMar>
              <w:top w:w="57" w:type="dxa"/>
              <w:bottom w:w="57" w:type="dxa"/>
            </w:tcMar>
          </w:tcPr>
          <w:p w14:paraId="6604A434" w14:textId="77777777" w:rsidR="00046940" w:rsidRDefault="00046940" w:rsidP="00711C5F">
            <w:pPr>
              <w:rPr>
                <w:rFonts w:cs="Arial"/>
                <w:szCs w:val="19"/>
              </w:rPr>
            </w:pPr>
            <w:proofErr w:type="spellStart"/>
            <w:r w:rsidRPr="00046940">
              <w:rPr>
                <w:rFonts w:cs="Arial"/>
                <w:szCs w:val="19"/>
              </w:rPr>
              <w:t>Belantamab</w:t>
            </w:r>
            <w:proofErr w:type="spellEnd"/>
            <w:r w:rsidRPr="00046940">
              <w:rPr>
                <w:rFonts w:cs="Arial"/>
                <w:szCs w:val="19"/>
              </w:rPr>
              <w:t xml:space="preserve"> </w:t>
            </w:r>
            <w:proofErr w:type="spellStart"/>
            <w:r w:rsidRPr="00046940">
              <w:rPr>
                <w:rFonts w:cs="Arial"/>
                <w:szCs w:val="19"/>
              </w:rPr>
              <w:t>mafodotin</w:t>
            </w:r>
            <w:proofErr w:type="spellEnd"/>
            <w:r w:rsidRPr="00046940">
              <w:rPr>
                <w:rFonts w:cs="Arial"/>
                <w:szCs w:val="19"/>
              </w:rPr>
              <w:t> </w:t>
            </w:r>
          </w:p>
          <w:p w14:paraId="70233277" w14:textId="1781B4E0" w:rsidR="00046940" w:rsidRPr="00046940" w:rsidRDefault="00046940" w:rsidP="00711C5F">
            <w:pPr>
              <w:rPr>
                <w:rFonts w:cs="Arial"/>
                <w:szCs w:val="19"/>
              </w:rPr>
            </w:pPr>
            <w:r>
              <w:rPr>
                <w:rFonts w:cs="Arial"/>
                <w:szCs w:val="19"/>
              </w:rPr>
              <w:t>(</w:t>
            </w:r>
            <w:proofErr w:type="spellStart"/>
            <w:r>
              <w:rPr>
                <w:rFonts w:cs="Arial"/>
                <w:i/>
                <w:iCs/>
                <w:szCs w:val="19"/>
              </w:rPr>
              <w:t>Blenrep</w:t>
            </w:r>
            <w:proofErr w:type="spellEnd"/>
            <w:r>
              <w:rPr>
                <w:rFonts w:cs="Arial"/>
                <w:szCs w:val="19"/>
              </w:rPr>
              <w:t>)</w:t>
            </w:r>
          </w:p>
        </w:tc>
        <w:tc>
          <w:tcPr>
            <w:tcW w:w="3640" w:type="pct"/>
            <w:shd w:val="clear" w:color="auto" w:fill="auto"/>
            <w:tcMar>
              <w:top w:w="57" w:type="dxa"/>
              <w:bottom w:w="57" w:type="dxa"/>
            </w:tcMar>
          </w:tcPr>
          <w:p w14:paraId="1153E044" w14:textId="4B1F8AF6" w:rsidR="00046940" w:rsidRPr="00CF3BC8" w:rsidRDefault="00046940" w:rsidP="00711C5F">
            <w:pPr>
              <w:tabs>
                <w:tab w:val="center" w:pos="3152"/>
              </w:tabs>
              <w:rPr>
                <w:rFonts w:cs="Arial"/>
                <w:szCs w:val="19"/>
                <w:lang w:val="en-US"/>
              </w:rPr>
            </w:pPr>
            <w:r w:rsidRPr="00046940">
              <w:rPr>
                <w:rFonts w:cs="Arial"/>
                <w:szCs w:val="19"/>
                <w:lang w:val="en-US"/>
              </w:rPr>
              <w:t>Treatment of multiple myeloma in combination with bortezomib and dexamethasone in adults, who have received at least one prior therapy</w:t>
            </w:r>
            <w:r>
              <w:rPr>
                <w:rFonts w:cs="Arial"/>
                <w:szCs w:val="19"/>
                <w:lang w:val="en-US"/>
              </w:rPr>
              <w:t xml:space="preserve"> </w:t>
            </w:r>
            <w:r w:rsidRPr="00046940">
              <w:rPr>
                <w:rFonts w:cs="Arial"/>
                <w:sz w:val="16"/>
                <w:szCs w:val="16"/>
                <w:lang w:val="en-US"/>
              </w:rPr>
              <w:t>[UK]</w:t>
            </w:r>
          </w:p>
        </w:tc>
      </w:tr>
      <w:tr w:rsidR="00046940" w:rsidRPr="00A075A3" w14:paraId="51142AA0" w14:textId="77777777" w:rsidTr="00605F83">
        <w:tc>
          <w:tcPr>
            <w:tcW w:w="1360" w:type="pct"/>
            <w:gridSpan w:val="2"/>
            <w:shd w:val="clear" w:color="auto" w:fill="auto"/>
            <w:tcMar>
              <w:top w:w="57" w:type="dxa"/>
              <w:bottom w:w="57" w:type="dxa"/>
            </w:tcMar>
          </w:tcPr>
          <w:p w14:paraId="1C1646F8" w14:textId="77777777" w:rsidR="00046940" w:rsidRDefault="00046940" w:rsidP="00046940">
            <w:pPr>
              <w:rPr>
                <w:rFonts w:cs="Arial"/>
                <w:szCs w:val="19"/>
              </w:rPr>
            </w:pPr>
            <w:proofErr w:type="spellStart"/>
            <w:r w:rsidRPr="00046940">
              <w:rPr>
                <w:rFonts w:cs="Arial"/>
                <w:szCs w:val="19"/>
              </w:rPr>
              <w:t>Belantamab</w:t>
            </w:r>
            <w:proofErr w:type="spellEnd"/>
            <w:r w:rsidRPr="00046940">
              <w:rPr>
                <w:rFonts w:cs="Arial"/>
                <w:szCs w:val="19"/>
              </w:rPr>
              <w:t xml:space="preserve"> </w:t>
            </w:r>
            <w:proofErr w:type="spellStart"/>
            <w:r w:rsidRPr="00046940">
              <w:rPr>
                <w:rFonts w:cs="Arial"/>
                <w:szCs w:val="19"/>
              </w:rPr>
              <w:t>mafodotin</w:t>
            </w:r>
            <w:proofErr w:type="spellEnd"/>
            <w:r w:rsidRPr="00046940">
              <w:rPr>
                <w:rFonts w:cs="Arial"/>
                <w:szCs w:val="19"/>
              </w:rPr>
              <w:t> </w:t>
            </w:r>
          </w:p>
          <w:p w14:paraId="0F616B4A" w14:textId="1DAD54CA" w:rsidR="00046940" w:rsidRPr="00046940" w:rsidRDefault="00046940" w:rsidP="00046940">
            <w:pPr>
              <w:rPr>
                <w:rFonts w:cs="Arial"/>
                <w:szCs w:val="19"/>
              </w:rPr>
            </w:pPr>
            <w:r>
              <w:rPr>
                <w:rFonts w:cs="Arial"/>
                <w:szCs w:val="19"/>
              </w:rPr>
              <w:t>(</w:t>
            </w:r>
            <w:proofErr w:type="spellStart"/>
            <w:r>
              <w:rPr>
                <w:rFonts w:cs="Arial"/>
                <w:i/>
                <w:iCs/>
                <w:szCs w:val="19"/>
              </w:rPr>
              <w:t>Blenrep</w:t>
            </w:r>
            <w:proofErr w:type="spellEnd"/>
            <w:r>
              <w:rPr>
                <w:rFonts w:cs="Arial"/>
                <w:szCs w:val="19"/>
              </w:rPr>
              <w:t>)</w:t>
            </w:r>
          </w:p>
        </w:tc>
        <w:tc>
          <w:tcPr>
            <w:tcW w:w="3640" w:type="pct"/>
            <w:shd w:val="clear" w:color="auto" w:fill="auto"/>
            <w:tcMar>
              <w:top w:w="57" w:type="dxa"/>
              <w:bottom w:w="57" w:type="dxa"/>
            </w:tcMar>
          </w:tcPr>
          <w:p w14:paraId="275DB5CC" w14:textId="493C24CF" w:rsidR="00046940" w:rsidRPr="00CF3BC8" w:rsidRDefault="00046940" w:rsidP="00711C5F">
            <w:pPr>
              <w:tabs>
                <w:tab w:val="center" w:pos="3152"/>
              </w:tabs>
              <w:rPr>
                <w:rFonts w:cs="Arial"/>
                <w:szCs w:val="19"/>
                <w:lang w:val="en-US"/>
              </w:rPr>
            </w:pPr>
            <w:r w:rsidRPr="00046940">
              <w:rPr>
                <w:rFonts w:cs="Arial"/>
                <w:szCs w:val="19"/>
                <w:lang w:val="en-US"/>
              </w:rPr>
              <w:t>Treatment of multiple myeloma in combination with pomalidomide and dexamethasone in adults, who have received at least one prior therapy including lenalidomide</w:t>
            </w:r>
            <w:r>
              <w:rPr>
                <w:rFonts w:cs="Arial"/>
                <w:szCs w:val="19"/>
                <w:lang w:val="en-US"/>
              </w:rPr>
              <w:t xml:space="preserve"> </w:t>
            </w:r>
            <w:r w:rsidRPr="00046940">
              <w:rPr>
                <w:rFonts w:cs="Arial"/>
                <w:sz w:val="16"/>
                <w:szCs w:val="16"/>
                <w:lang w:val="en-US"/>
              </w:rPr>
              <w:t>[UK]</w:t>
            </w:r>
          </w:p>
        </w:tc>
      </w:tr>
      <w:tr w:rsidR="00711C5F" w:rsidRPr="00A075A3" w14:paraId="7D16BF73" w14:textId="77777777" w:rsidTr="00605F83">
        <w:tc>
          <w:tcPr>
            <w:tcW w:w="1360" w:type="pct"/>
            <w:gridSpan w:val="2"/>
            <w:shd w:val="clear" w:color="auto" w:fill="auto"/>
            <w:tcMar>
              <w:top w:w="57" w:type="dxa"/>
              <w:bottom w:w="57" w:type="dxa"/>
            </w:tcMar>
          </w:tcPr>
          <w:p w14:paraId="242BB836" w14:textId="3AFDA8D9" w:rsidR="00711C5F" w:rsidRPr="00C466BC" w:rsidRDefault="00711C5F" w:rsidP="00711C5F">
            <w:pPr>
              <w:rPr>
                <w:rFonts w:cs="Arial"/>
                <w:szCs w:val="19"/>
              </w:rPr>
            </w:pPr>
            <w:r>
              <w:rPr>
                <w:rFonts w:cs="Arial"/>
                <w:szCs w:val="19"/>
              </w:rPr>
              <w:t>Belimumab (</w:t>
            </w:r>
            <w:r>
              <w:rPr>
                <w:rFonts w:cs="Arial"/>
                <w:i/>
                <w:iCs/>
                <w:szCs w:val="19"/>
              </w:rPr>
              <w:t>Benlysta</w:t>
            </w:r>
            <w:r>
              <w:rPr>
                <w:rFonts w:cs="Arial"/>
                <w:szCs w:val="19"/>
              </w:rPr>
              <w:t>)</w:t>
            </w:r>
          </w:p>
        </w:tc>
        <w:tc>
          <w:tcPr>
            <w:tcW w:w="3640" w:type="pct"/>
            <w:shd w:val="clear" w:color="auto" w:fill="auto"/>
            <w:tcMar>
              <w:top w:w="57" w:type="dxa"/>
              <w:bottom w:w="57" w:type="dxa"/>
            </w:tcMar>
          </w:tcPr>
          <w:p w14:paraId="3C46A438" w14:textId="30435EA8" w:rsidR="00711C5F" w:rsidRPr="00A075A3" w:rsidRDefault="00711C5F" w:rsidP="00711C5F">
            <w:pPr>
              <w:tabs>
                <w:tab w:val="center" w:pos="3152"/>
              </w:tabs>
              <w:rPr>
                <w:rFonts w:cs="Arial"/>
                <w:szCs w:val="19"/>
                <w:lang w:val="en-US"/>
              </w:rPr>
            </w:pPr>
            <w:r w:rsidRPr="00CF3BC8">
              <w:rPr>
                <w:rFonts w:cs="Arial"/>
                <w:szCs w:val="19"/>
                <w:lang w:val="en-US"/>
              </w:rPr>
              <w:t xml:space="preserve">Use as add-on therapy in patients aged </w:t>
            </w:r>
            <w:r>
              <w:rPr>
                <w:rFonts w:cs="Arial"/>
                <w:szCs w:val="19"/>
                <w:lang w:val="en-US"/>
              </w:rPr>
              <w:t>≥</w:t>
            </w:r>
            <w:r w:rsidRPr="00CF3BC8">
              <w:rPr>
                <w:rFonts w:cs="Arial"/>
                <w:szCs w:val="19"/>
                <w:lang w:val="en-US"/>
              </w:rPr>
              <w:t xml:space="preserve">5 years with active, autoantibody-positive systemic lupus erythematosus with a high degree of disease activity despite standard therapy </w:t>
            </w:r>
            <w:r w:rsidRPr="00601399">
              <w:rPr>
                <w:rFonts w:cs="Arial"/>
                <w:sz w:val="16"/>
                <w:szCs w:val="16"/>
                <w:lang w:val="en-US"/>
              </w:rPr>
              <w:t>[EU] [</w:t>
            </w:r>
            <w:r>
              <w:rPr>
                <w:rFonts w:cs="Arial"/>
                <w:sz w:val="16"/>
                <w:szCs w:val="16"/>
                <w:lang w:val="en-US"/>
              </w:rPr>
              <w:t xml:space="preserve">licence change </w:t>
            </w:r>
            <w:r w:rsidRPr="00601399">
              <w:rPr>
                <w:rFonts w:cs="Arial"/>
                <w:sz w:val="16"/>
                <w:szCs w:val="16"/>
                <w:lang w:val="en-US"/>
              </w:rPr>
              <w:t xml:space="preserve">for </w:t>
            </w:r>
            <w:r>
              <w:rPr>
                <w:rFonts w:cs="Arial"/>
                <w:sz w:val="16"/>
                <w:szCs w:val="16"/>
                <w:lang w:val="en-US"/>
              </w:rPr>
              <w:t xml:space="preserve">the </w:t>
            </w:r>
            <w:r w:rsidRPr="00601399">
              <w:rPr>
                <w:rFonts w:cs="Arial"/>
                <w:sz w:val="16"/>
                <w:szCs w:val="16"/>
                <w:lang w:val="en-US"/>
              </w:rPr>
              <w:t>subcutaneous injection formulation</w:t>
            </w:r>
            <w:r>
              <w:rPr>
                <w:rFonts w:cs="Arial"/>
                <w:sz w:val="16"/>
                <w:szCs w:val="16"/>
                <w:lang w:val="en-US"/>
              </w:rPr>
              <w:t xml:space="preserve"> from use only in adults</w:t>
            </w:r>
            <w:r w:rsidRPr="00601399">
              <w:rPr>
                <w:rFonts w:cs="Arial"/>
                <w:sz w:val="16"/>
                <w:szCs w:val="16"/>
                <w:lang w:val="en-US"/>
              </w:rPr>
              <w:t>]</w:t>
            </w:r>
          </w:p>
        </w:tc>
      </w:tr>
      <w:tr w:rsidR="00711C5F" w:rsidRPr="00A075A3" w14:paraId="540ABBE7" w14:textId="77777777" w:rsidTr="00605F83">
        <w:tc>
          <w:tcPr>
            <w:tcW w:w="1360" w:type="pct"/>
            <w:gridSpan w:val="2"/>
            <w:shd w:val="clear" w:color="auto" w:fill="auto"/>
            <w:tcMar>
              <w:top w:w="57" w:type="dxa"/>
              <w:bottom w:w="57" w:type="dxa"/>
            </w:tcMar>
          </w:tcPr>
          <w:p w14:paraId="6CBB8713" w14:textId="011CB6DF" w:rsidR="00711C5F" w:rsidRPr="00711C5F" w:rsidRDefault="00711C5F" w:rsidP="00711C5F">
            <w:pPr>
              <w:rPr>
                <w:rFonts w:cs="Arial"/>
                <w:szCs w:val="19"/>
              </w:rPr>
            </w:pPr>
            <w:r>
              <w:rPr>
                <w:rFonts w:cs="Arial"/>
                <w:szCs w:val="19"/>
              </w:rPr>
              <w:t>Canagliflozin (</w:t>
            </w:r>
            <w:r>
              <w:rPr>
                <w:rFonts w:cs="Arial"/>
                <w:i/>
                <w:iCs/>
                <w:szCs w:val="19"/>
              </w:rPr>
              <w:t>Invokana</w:t>
            </w:r>
            <w:r>
              <w:rPr>
                <w:rFonts w:cs="Arial"/>
                <w:szCs w:val="19"/>
              </w:rPr>
              <w:t>)</w:t>
            </w:r>
          </w:p>
        </w:tc>
        <w:tc>
          <w:tcPr>
            <w:tcW w:w="3640" w:type="pct"/>
            <w:shd w:val="clear" w:color="auto" w:fill="auto"/>
            <w:tcMar>
              <w:top w:w="57" w:type="dxa"/>
              <w:bottom w:w="57" w:type="dxa"/>
            </w:tcMar>
          </w:tcPr>
          <w:p w14:paraId="7139DE1C" w14:textId="55893868" w:rsidR="00711C5F" w:rsidRPr="00A075A3" w:rsidRDefault="00711C5F" w:rsidP="00711C5F">
            <w:pPr>
              <w:tabs>
                <w:tab w:val="center" w:pos="3152"/>
              </w:tabs>
              <w:rPr>
                <w:rFonts w:cs="Arial"/>
                <w:szCs w:val="19"/>
                <w:lang w:val="en-US"/>
              </w:rPr>
            </w:pPr>
            <w:r>
              <w:rPr>
                <w:rFonts w:cs="Arial"/>
                <w:szCs w:val="19"/>
                <w:lang w:val="en-US"/>
              </w:rPr>
              <w:t>T</w:t>
            </w:r>
            <w:r w:rsidRPr="00711C5F">
              <w:rPr>
                <w:rFonts w:cs="Arial"/>
                <w:szCs w:val="19"/>
                <w:lang w:val="en-US"/>
              </w:rPr>
              <w:t>reatment of insufficiently controlled type 2 diabetes mellitus as an adjunct to diet and exercise</w:t>
            </w:r>
            <w:r>
              <w:rPr>
                <w:rFonts w:cs="Arial"/>
                <w:szCs w:val="19"/>
                <w:lang w:val="en-US"/>
              </w:rPr>
              <w:t xml:space="preserve"> in children </w:t>
            </w:r>
            <w:r w:rsidRPr="00711C5F">
              <w:rPr>
                <w:rFonts w:cs="Arial"/>
                <w:szCs w:val="19"/>
                <w:lang w:val="en-US"/>
              </w:rPr>
              <w:t xml:space="preserve">aged </w:t>
            </w:r>
            <w:r>
              <w:rPr>
                <w:rFonts w:cs="Arial"/>
                <w:szCs w:val="19"/>
                <w:lang w:val="en-US"/>
              </w:rPr>
              <w:t>≥</w:t>
            </w:r>
            <w:r w:rsidRPr="00711C5F">
              <w:rPr>
                <w:rFonts w:cs="Arial"/>
                <w:szCs w:val="19"/>
                <w:lang w:val="en-US"/>
              </w:rPr>
              <w:t xml:space="preserve">10 years </w:t>
            </w:r>
            <w:r w:rsidRPr="00711C5F">
              <w:rPr>
                <w:rFonts w:cs="Arial"/>
                <w:sz w:val="16"/>
                <w:szCs w:val="16"/>
                <w:lang w:val="en-US"/>
              </w:rPr>
              <w:t>[EU] [licence change from use only in adults]</w:t>
            </w:r>
          </w:p>
        </w:tc>
      </w:tr>
      <w:tr w:rsidR="00711C5F" w:rsidRPr="00A075A3" w14:paraId="538DD250" w14:textId="77777777" w:rsidTr="00605F83">
        <w:tc>
          <w:tcPr>
            <w:tcW w:w="1360" w:type="pct"/>
            <w:gridSpan w:val="2"/>
            <w:shd w:val="clear" w:color="auto" w:fill="auto"/>
            <w:tcMar>
              <w:top w:w="57" w:type="dxa"/>
              <w:bottom w:w="57" w:type="dxa"/>
            </w:tcMar>
          </w:tcPr>
          <w:p w14:paraId="3AD75DC4" w14:textId="047F6F4E" w:rsidR="00711C5F" w:rsidRPr="006F7DC5" w:rsidRDefault="007A24A6" w:rsidP="00711C5F">
            <w:pPr>
              <w:rPr>
                <w:rFonts w:cs="Arial"/>
                <w:szCs w:val="19"/>
              </w:rPr>
            </w:pPr>
            <w:r w:rsidRPr="007A24A6">
              <w:rPr>
                <w:rFonts w:cs="Arial"/>
                <w:szCs w:val="19"/>
              </w:rPr>
              <w:t>Chikungunya vaccine </w:t>
            </w:r>
          </w:p>
        </w:tc>
        <w:tc>
          <w:tcPr>
            <w:tcW w:w="3640" w:type="pct"/>
            <w:shd w:val="clear" w:color="auto" w:fill="auto"/>
            <w:tcMar>
              <w:top w:w="57" w:type="dxa"/>
              <w:bottom w:w="57" w:type="dxa"/>
            </w:tcMar>
          </w:tcPr>
          <w:p w14:paraId="3F530A7B" w14:textId="77777777" w:rsidR="007A24A6" w:rsidRDefault="007A24A6" w:rsidP="007A24A6">
            <w:pPr>
              <w:tabs>
                <w:tab w:val="center" w:pos="3152"/>
              </w:tabs>
              <w:rPr>
                <w:rFonts w:cs="Arial"/>
                <w:sz w:val="16"/>
                <w:szCs w:val="16"/>
                <w:lang w:val="en-US"/>
              </w:rPr>
            </w:pPr>
            <w:r>
              <w:rPr>
                <w:rFonts w:cs="Arial"/>
                <w:szCs w:val="19"/>
                <w:lang w:val="en-US"/>
              </w:rPr>
              <w:t>Prevention of c</w:t>
            </w:r>
            <w:r w:rsidRPr="007A24A6">
              <w:rPr>
                <w:rFonts w:cs="Arial"/>
                <w:szCs w:val="19"/>
                <w:lang w:val="en-US"/>
              </w:rPr>
              <w:t>hikungunya virus infection in adults and adolescents</w:t>
            </w:r>
            <w:r>
              <w:rPr>
                <w:rFonts w:cs="Arial"/>
                <w:szCs w:val="19"/>
                <w:lang w:val="en-US"/>
              </w:rPr>
              <w:t xml:space="preserve"> </w:t>
            </w:r>
            <w:r w:rsidRPr="007A24A6">
              <w:rPr>
                <w:rFonts w:cs="Arial"/>
                <w:sz w:val="16"/>
                <w:szCs w:val="16"/>
                <w:lang w:val="en-US"/>
              </w:rPr>
              <w:t xml:space="preserve">[EU] </w:t>
            </w:r>
          </w:p>
          <w:p w14:paraId="733501AA" w14:textId="0E326B82" w:rsidR="00711C5F" w:rsidRPr="00A075A3" w:rsidRDefault="007A24A6" w:rsidP="007A24A6">
            <w:pPr>
              <w:tabs>
                <w:tab w:val="center" w:pos="3152"/>
              </w:tabs>
              <w:rPr>
                <w:rFonts w:cs="Arial"/>
                <w:szCs w:val="19"/>
                <w:lang w:val="en-US"/>
              </w:rPr>
            </w:pPr>
            <w:r w:rsidRPr="007A24A6">
              <w:rPr>
                <w:rFonts w:cs="Arial"/>
                <w:sz w:val="16"/>
                <w:szCs w:val="16"/>
                <w:lang w:val="en-US"/>
              </w:rPr>
              <w:t>[new Nordic Pharma formulation]</w:t>
            </w:r>
          </w:p>
        </w:tc>
      </w:tr>
      <w:tr w:rsidR="00CD23C6" w:rsidRPr="00A075A3" w14:paraId="5CC7DBD0" w14:textId="77777777" w:rsidTr="00605F83">
        <w:tc>
          <w:tcPr>
            <w:tcW w:w="1360" w:type="pct"/>
            <w:gridSpan w:val="2"/>
            <w:shd w:val="clear" w:color="auto" w:fill="auto"/>
            <w:tcMar>
              <w:top w:w="57" w:type="dxa"/>
              <w:bottom w:w="57" w:type="dxa"/>
            </w:tcMar>
          </w:tcPr>
          <w:p w14:paraId="3E4F85E6" w14:textId="1F71BE96" w:rsidR="00CD23C6" w:rsidRPr="00CD23C6" w:rsidRDefault="00CD23C6" w:rsidP="00553201">
            <w:pPr>
              <w:rPr>
                <w:rFonts w:cs="Arial"/>
                <w:szCs w:val="19"/>
              </w:rPr>
            </w:pPr>
            <w:r w:rsidRPr="00CD23C6">
              <w:rPr>
                <w:rFonts w:cs="Arial"/>
                <w:szCs w:val="19"/>
              </w:rPr>
              <w:t>Chikungunya vaccine</w:t>
            </w:r>
            <w:r>
              <w:rPr>
                <w:rFonts w:cs="Arial"/>
                <w:szCs w:val="19"/>
              </w:rPr>
              <w:t xml:space="preserve"> (</w:t>
            </w:r>
            <w:proofErr w:type="spellStart"/>
            <w:r>
              <w:rPr>
                <w:rFonts w:cs="Arial"/>
                <w:i/>
                <w:iCs/>
                <w:szCs w:val="19"/>
              </w:rPr>
              <w:t>Ixchiq</w:t>
            </w:r>
            <w:proofErr w:type="spellEnd"/>
            <w:r>
              <w:rPr>
                <w:rFonts w:cs="Arial"/>
                <w:szCs w:val="19"/>
              </w:rPr>
              <w:t>)</w:t>
            </w:r>
          </w:p>
        </w:tc>
        <w:tc>
          <w:tcPr>
            <w:tcW w:w="3640" w:type="pct"/>
            <w:shd w:val="clear" w:color="auto" w:fill="auto"/>
            <w:tcMar>
              <w:top w:w="57" w:type="dxa"/>
              <w:bottom w:w="57" w:type="dxa"/>
            </w:tcMar>
          </w:tcPr>
          <w:p w14:paraId="0BD09A9B" w14:textId="5901E0BF" w:rsidR="00CD23C6" w:rsidRPr="006F7DC5" w:rsidRDefault="00CD23C6" w:rsidP="00CD23C6">
            <w:pPr>
              <w:tabs>
                <w:tab w:val="center" w:pos="3152"/>
              </w:tabs>
              <w:rPr>
                <w:rFonts w:cs="Arial"/>
                <w:szCs w:val="19"/>
                <w:lang w:val="en-US"/>
              </w:rPr>
            </w:pPr>
            <w:r>
              <w:rPr>
                <w:rFonts w:cs="Arial"/>
                <w:szCs w:val="19"/>
                <w:lang w:val="en-US"/>
              </w:rPr>
              <w:t>Prevention of c</w:t>
            </w:r>
            <w:r w:rsidRPr="00CD23C6">
              <w:rPr>
                <w:rFonts w:cs="Arial"/>
                <w:szCs w:val="19"/>
                <w:lang w:val="en-US"/>
              </w:rPr>
              <w:t xml:space="preserve">hikungunya virus infection in adolescents aged 12 to 17 years who are at increased risk of exposure to chikungunya virus </w:t>
            </w:r>
            <w:r w:rsidRPr="00CD23C6">
              <w:rPr>
                <w:rFonts w:cs="Arial"/>
                <w:sz w:val="16"/>
                <w:szCs w:val="16"/>
                <w:lang w:val="en-US"/>
              </w:rPr>
              <w:t>[EU] [licence change from use only in adults]</w:t>
            </w:r>
          </w:p>
        </w:tc>
      </w:tr>
      <w:tr w:rsidR="00553201" w:rsidRPr="00A075A3" w14:paraId="1E6F9BBB" w14:textId="77777777" w:rsidTr="00605F83">
        <w:tc>
          <w:tcPr>
            <w:tcW w:w="1360" w:type="pct"/>
            <w:gridSpan w:val="2"/>
            <w:shd w:val="clear" w:color="auto" w:fill="auto"/>
            <w:tcMar>
              <w:top w:w="57" w:type="dxa"/>
              <w:bottom w:w="57" w:type="dxa"/>
            </w:tcMar>
          </w:tcPr>
          <w:p w14:paraId="02CA3523" w14:textId="3AB84AA0" w:rsidR="00553201" w:rsidRPr="004910AC" w:rsidRDefault="00553201" w:rsidP="00553201">
            <w:pPr>
              <w:rPr>
                <w:rFonts w:cs="Arial"/>
                <w:szCs w:val="19"/>
              </w:rPr>
            </w:pPr>
            <w:r>
              <w:rPr>
                <w:rFonts w:cs="Arial"/>
                <w:szCs w:val="19"/>
              </w:rPr>
              <w:t>Daratumumab (</w:t>
            </w:r>
            <w:proofErr w:type="spellStart"/>
            <w:r>
              <w:rPr>
                <w:rFonts w:cs="Arial"/>
                <w:i/>
                <w:iCs/>
                <w:szCs w:val="19"/>
              </w:rPr>
              <w:t>Darzalex</w:t>
            </w:r>
            <w:proofErr w:type="spellEnd"/>
            <w:r>
              <w:rPr>
                <w:rFonts w:cs="Arial"/>
                <w:szCs w:val="19"/>
              </w:rPr>
              <w:t>)</w:t>
            </w:r>
          </w:p>
        </w:tc>
        <w:tc>
          <w:tcPr>
            <w:tcW w:w="3640" w:type="pct"/>
            <w:shd w:val="clear" w:color="auto" w:fill="auto"/>
            <w:tcMar>
              <w:top w:w="57" w:type="dxa"/>
              <w:bottom w:w="57" w:type="dxa"/>
            </w:tcMar>
          </w:tcPr>
          <w:p w14:paraId="22652CAD" w14:textId="4A17F1DB" w:rsidR="00553201" w:rsidRPr="00460B68" w:rsidRDefault="00911466" w:rsidP="00553201">
            <w:pPr>
              <w:tabs>
                <w:tab w:val="center" w:pos="3152"/>
              </w:tabs>
              <w:rPr>
                <w:rFonts w:cs="Arial"/>
                <w:szCs w:val="19"/>
                <w:lang w:val="en-US"/>
              </w:rPr>
            </w:pPr>
            <w:r>
              <w:rPr>
                <w:rFonts w:cs="Arial"/>
                <w:szCs w:val="19"/>
                <w:lang w:val="en-US"/>
              </w:rPr>
              <w:t>Monotherapy for the t</w:t>
            </w:r>
            <w:r w:rsidR="00553201" w:rsidRPr="006F7DC5">
              <w:rPr>
                <w:rFonts w:cs="Arial"/>
                <w:szCs w:val="19"/>
                <w:lang w:val="en-US"/>
              </w:rPr>
              <w:t xml:space="preserve">reatment of high-risk </w:t>
            </w:r>
            <w:proofErr w:type="spellStart"/>
            <w:r w:rsidR="00553201" w:rsidRPr="006F7DC5">
              <w:rPr>
                <w:rFonts w:cs="Arial"/>
                <w:szCs w:val="19"/>
                <w:lang w:val="en-US"/>
              </w:rPr>
              <w:t>smouldering</w:t>
            </w:r>
            <w:proofErr w:type="spellEnd"/>
            <w:r w:rsidR="00553201" w:rsidRPr="006F7DC5">
              <w:rPr>
                <w:rFonts w:cs="Arial"/>
                <w:szCs w:val="19"/>
                <w:lang w:val="en-US"/>
              </w:rPr>
              <w:t xml:space="preserve"> </w:t>
            </w:r>
            <w:r w:rsidR="00553201">
              <w:rPr>
                <w:rFonts w:cs="Arial"/>
                <w:szCs w:val="19"/>
                <w:lang w:val="en-US"/>
              </w:rPr>
              <w:t xml:space="preserve">multiple myeloma in adults </w:t>
            </w:r>
            <w:r w:rsidR="00553201" w:rsidRPr="006F7DC5">
              <w:rPr>
                <w:rFonts w:cs="Arial"/>
                <w:sz w:val="16"/>
                <w:szCs w:val="16"/>
                <w:lang w:val="en-US"/>
              </w:rPr>
              <w:t>[EU] [new indication]</w:t>
            </w:r>
          </w:p>
        </w:tc>
      </w:tr>
      <w:tr w:rsidR="00553201" w:rsidRPr="00A075A3" w14:paraId="00F39C09" w14:textId="77777777" w:rsidTr="00605F83">
        <w:tc>
          <w:tcPr>
            <w:tcW w:w="1360" w:type="pct"/>
            <w:gridSpan w:val="2"/>
            <w:shd w:val="clear" w:color="auto" w:fill="auto"/>
            <w:tcMar>
              <w:top w:w="57" w:type="dxa"/>
              <w:bottom w:w="57" w:type="dxa"/>
            </w:tcMar>
          </w:tcPr>
          <w:p w14:paraId="3AB605DD" w14:textId="4A8F8090" w:rsidR="00553201" w:rsidRDefault="00553201" w:rsidP="00553201">
            <w:pPr>
              <w:rPr>
                <w:rFonts w:cs="Arial"/>
                <w:szCs w:val="19"/>
              </w:rPr>
            </w:pPr>
            <w:r w:rsidRPr="009D7FC1">
              <w:rPr>
                <w:rFonts w:cs="Arial"/>
                <w:szCs w:val="19"/>
              </w:rPr>
              <w:t xml:space="preserve">Golimumab biosimilar </w:t>
            </w:r>
            <w:r>
              <w:rPr>
                <w:rFonts w:cs="Arial"/>
                <w:szCs w:val="19"/>
              </w:rPr>
              <w:t xml:space="preserve">– </w:t>
            </w:r>
            <w:r w:rsidRPr="009D7FC1">
              <w:rPr>
                <w:rFonts w:cs="Arial"/>
                <w:szCs w:val="19"/>
              </w:rPr>
              <w:t>AVT05</w:t>
            </w:r>
          </w:p>
        </w:tc>
        <w:tc>
          <w:tcPr>
            <w:tcW w:w="3640" w:type="pct"/>
            <w:shd w:val="clear" w:color="auto" w:fill="auto"/>
            <w:tcMar>
              <w:top w:w="57" w:type="dxa"/>
              <w:bottom w:w="57" w:type="dxa"/>
            </w:tcMar>
          </w:tcPr>
          <w:p w14:paraId="740BBA36" w14:textId="29D95085" w:rsidR="00553201" w:rsidRPr="00460B68" w:rsidRDefault="009F53AD" w:rsidP="00553201">
            <w:pPr>
              <w:tabs>
                <w:tab w:val="center" w:pos="3152"/>
              </w:tabs>
              <w:rPr>
                <w:rFonts w:cs="Arial"/>
                <w:szCs w:val="19"/>
                <w:lang w:val="en-US"/>
              </w:rPr>
            </w:pPr>
            <w:r>
              <w:rPr>
                <w:rFonts w:cs="Arial"/>
                <w:szCs w:val="19"/>
                <w:lang w:val="en-US"/>
              </w:rPr>
              <w:t>Treatment of r</w:t>
            </w:r>
            <w:r w:rsidR="00553201" w:rsidRPr="009D7FC1">
              <w:rPr>
                <w:rFonts w:cs="Arial"/>
                <w:szCs w:val="19"/>
                <w:lang w:val="en-US"/>
              </w:rPr>
              <w:t xml:space="preserve">heumatoid arthritis </w:t>
            </w:r>
            <w:r w:rsidR="00553201" w:rsidRPr="009D7FC1">
              <w:rPr>
                <w:rFonts w:cs="Arial"/>
                <w:szCs w:val="19"/>
                <w:lang w:val="en-US"/>
              </w:rPr>
              <w:tab/>
              <w:t xml:space="preserve">and axial </w:t>
            </w:r>
            <w:proofErr w:type="spellStart"/>
            <w:r w:rsidR="00553201" w:rsidRPr="009D7FC1">
              <w:rPr>
                <w:rFonts w:cs="Arial"/>
                <w:szCs w:val="19"/>
                <w:lang w:val="en-US"/>
              </w:rPr>
              <w:t>spondyloarthritis</w:t>
            </w:r>
            <w:proofErr w:type="spellEnd"/>
            <w:r w:rsidR="00553201" w:rsidRPr="009D7FC1">
              <w:rPr>
                <w:rFonts w:cs="Arial"/>
                <w:szCs w:val="19"/>
                <w:lang w:val="en-US"/>
              </w:rPr>
              <w:t xml:space="preserve"> in adults</w:t>
            </w:r>
            <w:r w:rsidR="00553201">
              <w:rPr>
                <w:rFonts w:cs="Arial"/>
                <w:szCs w:val="19"/>
                <w:lang w:val="en-US"/>
              </w:rPr>
              <w:t xml:space="preserve"> </w:t>
            </w:r>
            <w:r w:rsidR="00553201" w:rsidRPr="009D7FC1">
              <w:rPr>
                <w:rFonts w:cs="Arial"/>
                <w:sz w:val="16"/>
                <w:szCs w:val="16"/>
                <w:lang w:val="en-US"/>
              </w:rPr>
              <w:t>[EU]</w:t>
            </w:r>
          </w:p>
        </w:tc>
      </w:tr>
      <w:tr w:rsidR="00426810" w:rsidRPr="00A075A3" w14:paraId="75C9A166" w14:textId="77777777" w:rsidTr="00605F83">
        <w:tc>
          <w:tcPr>
            <w:tcW w:w="1360" w:type="pct"/>
            <w:gridSpan w:val="2"/>
            <w:shd w:val="clear" w:color="auto" w:fill="auto"/>
            <w:tcMar>
              <w:top w:w="57" w:type="dxa"/>
              <w:bottom w:w="57" w:type="dxa"/>
            </w:tcMar>
          </w:tcPr>
          <w:p w14:paraId="416ADD6E" w14:textId="13EC457D" w:rsidR="00426810" w:rsidRPr="00426810" w:rsidRDefault="00426810" w:rsidP="00553201">
            <w:pPr>
              <w:rPr>
                <w:rFonts w:cs="Arial"/>
                <w:szCs w:val="19"/>
              </w:rPr>
            </w:pPr>
            <w:proofErr w:type="spellStart"/>
            <w:r w:rsidRPr="00426810">
              <w:rPr>
                <w:rFonts w:cs="Arial"/>
                <w:szCs w:val="19"/>
              </w:rPr>
              <w:t>Lifileucel</w:t>
            </w:r>
            <w:proofErr w:type="spellEnd"/>
            <w:r>
              <w:rPr>
                <w:rFonts w:cs="Arial"/>
                <w:szCs w:val="19"/>
              </w:rPr>
              <w:t xml:space="preserve"> (</w:t>
            </w:r>
            <w:proofErr w:type="spellStart"/>
            <w:r>
              <w:rPr>
                <w:rFonts w:cs="Arial"/>
                <w:i/>
                <w:iCs/>
                <w:szCs w:val="19"/>
              </w:rPr>
              <w:t>Amtagvi</w:t>
            </w:r>
            <w:proofErr w:type="spellEnd"/>
            <w:r>
              <w:rPr>
                <w:rFonts w:cs="Arial"/>
                <w:szCs w:val="19"/>
              </w:rPr>
              <w:t>)</w:t>
            </w:r>
          </w:p>
        </w:tc>
        <w:tc>
          <w:tcPr>
            <w:tcW w:w="3640" w:type="pct"/>
            <w:shd w:val="clear" w:color="auto" w:fill="auto"/>
            <w:tcMar>
              <w:top w:w="57" w:type="dxa"/>
              <w:bottom w:w="57" w:type="dxa"/>
            </w:tcMar>
          </w:tcPr>
          <w:p w14:paraId="3BBDA758" w14:textId="16F9DBE8" w:rsidR="00426810" w:rsidRPr="00420B9A" w:rsidRDefault="00426810" w:rsidP="00553201">
            <w:pPr>
              <w:tabs>
                <w:tab w:val="center" w:pos="3152"/>
              </w:tabs>
              <w:rPr>
                <w:rFonts w:cs="Arial"/>
                <w:szCs w:val="19"/>
                <w:lang w:val="en-US"/>
              </w:rPr>
            </w:pPr>
            <w:r w:rsidRPr="00426810">
              <w:rPr>
                <w:rFonts w:cs="Arial"/>
                <w:szCs w:val="19"/>
                <w:lang w:val="en-US"/>
              </w:rPr>
              <w:t>Treatment of adults with unresectable or metastatic melanoma previously treated with a PD-1 blocking antibody, and if BRAF V600 mutation positive, a BRAF inhibitor with or without a MEK inhibitor</w:t>
            </w:r>
            <w:r>
              <w:rPr>
                <w:rFonts w:cs="Arial"/>
                <w:szCs w:val="19"/>
                <w:lang w:val="en-US"/>
              </w:rPr>
              <w:t xml:space="preserve"> </w:t>
            </w:r>
            <w:r w:rsidRPr="00426810">
              <w:rPr>
                <w:rFonts w:cs="Arial"/>
                <w:sz w:val="16"/>
                <w:szCs w:val="16"/>
                <w:lang w:val="en-US"/>
              </w:rPr>
              <w:t>[UK]</w:t>
            </w:r>
          </w:p>
        </w:tc>
      </w:tr>
      <w:tr w:rsidR="00A7507B" w:rsidRPr="00A075A3" w14:paraId="7D4A4E16" w14:textId="77777777" w:rsidTr="00605F83">
        <w:tc>
          <w:tcPr>
            <w:tcW w:w="1360" w:type="pct"/>
            <w:gridSpan w:val="2"/>
            <w:shd w:val="clear" w:color="auto" w:fill="auto"/>
            <w:tcMar>
              <w:top w:w="57" w:type="dxa"/>
              <w:bottom w:w="57" w:type="dxa"/>
            </w:tcMar>
          </w:tcPr>
          <w:p w14:paraId="2B91463E" w14:textId="77777777" w:rsidR="00A7507B" w:rsidRDefault="00A7507B" w:rsidP="00553201">
            <w:pPr>
              <w:rPr>
                <w:rFonts w:cs="Arial"/>
                <w:szCs w:val="19"/>
              </w:rPr>
            </w:pPr>
            <w:r w:rsidRPr="00A7507B">
              <w:rPr>
                <w:rFonts w:cs="Arial"/>
                <w:szCs w:val="19"/>
              </w:rPr>
              <w:t>Lisocabtagene maraleucel </w:t>
            </w:r>
          </w:p>
          <w:p w14:paraId="5EDCE4C7" w14:textId="0CBF8D02" w:rsidR="00A7507B" w:rsidRPr="00A7507B" w:rsidRDefault="00A7507B" w:rsidP="00553201">
            <w:pPr>
              <w:rPr>
                <w:rFonts w:cs="Arial"/>
                <w:szCs w:val="19"/>
              </w:rPr>
            </w:pPr>
            <w:r>
              <w:rPr>
                <w:rFonts w:cs="Arial"/>
                <w:szCs w:val="19"/>
              </w:rPr>
              <w:t>(</w:t>
            </w:r>
            <w:r>
              <w:rPr>
                <w:rFonts w:cs="Arial"/>
                <w:i/>
                <w:iCs/>
                <w:szCs w:val="19"/>
              </w:rPr>
              <w:t>Breyanzi</w:t>
            </w:r>
            <w:r>
              <w:rPr>
                <w:rFonts w:cs="Arial"/>
                <w:szCs w:val="19"/>
              </w:rPr>
              <w:t>)</w:t>
            </w:r>
          </w:p>
        </w:tc>
        <w:tc>
          <w:tcPr>
            <w:tcW w:w="3640" w:type="pct"/>
            <w:shd w:val="clear" w:color="auto" w:fill="auto"/>
            <w:tcMar>
              <w:top w:w="57" w:type="dxa"/>
              <w:bottom w:w="57" w:type="dxa"/>
            </w:tcMar>
          </w:tcPr>
          <w:p w14:paraId="5B419051" w14:textId="6F695111" w:rsidR="00A7507B" w:rsidRPr="00420B9A" w:rsidRDefault="00A7507B" w:rsidP="00553201">
            <w:pPr>
              <w:tabs>
                <w:tab w:val="center" w:pos="3152"/>
              </w:tabs>
              <w:rPr>
                <w:rFonts w:cs="Arial"/>
                <w:szCs w:val="19"/>
                <w:lang w:val="en-US"/>
              </w:rPr>
            </w:pPr>
            <w:r w:rsidRPr="00A7507B">
              <w:rPr>
                <w:rFonts w:cs="Arial"/>
                <w:szCs w:val="19"/>
                <w:lang w:val="en-US"/>
              </w:rPr>
              <w:t>Treatment of adults with relapsed or refractory follicular lymphoma who have received two or more prior lines of systemic therapy</w:t>
            </w:r>
            <w:r>
              <w:rPr>
                <w:rFonts w:cs="Arial"/>
                <w:szCs w:val="19"/>
                <w:lang w:val="en-US"/>
              </w:rPr>
              <w:t xml:space="preserve"> </w:t>
            </w:r>
            <w:r w:rsidRPr="00A7507B">
              <w:rPr>
                <w:rFonts w:cs="Arial"/>
                <w:sz w:val="16"/>
                <w:szCs w:val="16"/>
                <w:lang w:val="en-US"/>
              </w:rPr>
              <w:t>[EU] [new indication]</w:t>
            </w:r>
          </w:p>
        </w:tc>
      </w:tr>
      <w:tr w:rsidR="00420B9A" w:rsidRPr="00A075A3" w14:paraId="38F6E704" w14:textId="77777777" w:rsidTr="00605F83">
        <w:tc>
          <w:tcPr>
            <w:tcW w:w="1360" w:type="pct"/>
            <w:gridSpan w:val="2"/>
            <w:shd w:val="clear" w:color="auto" w:fill="auto"/>
            <w:tcMar>
              <w:top w:w="57" w:type="dxa"/>
              <w:bottom w:w="57" w:type="dxa"/>
            </w:tcMar>
          </w:tcPr>
          <w:p w14:paraId="4622BF87" w14:textId="77777777" w:rsidR="00420B9A" w:rsidRDefault="00420B9A" w:rsidP="00553201">
            <w:pPr>
              <w:rPr>
                <w:rFonts w:cs="Arial"/>
                <w:szCs w:val="19"/>
              </w:rPr>
            </w:pPr>
            <w:proofErr w:type="spellStart"/>
            <w:r w:rsidRPr="00420B9A">
              <w:rPr>
                <w:rFonts w:cs="Arial"/>
                <w:szCs w:val="19"/>
              </w:rPr>
              <w:t>Nogapendekin</w:t>
            </w:r>
            <w:proofErr w:type="spellEnd"/>
            <w:r w:rsidRPr="00420B9A">
              <w:rPr>
                <w:rFonts w:cs="Arial"/>
                <w:szCs w:val="19"/>
              </w:rPr>
              <w:t xml:space="preserve"> alfa </w:t>
            </w:r>
            <w:proofErr w:type="spellStart"/>
            <w:r w:rsidRPr="00420B9A">
              <w:rPr>
                <w:rFonts w:cs="Arial"/>
                <w:szCs w:val="19"/>
              </w:rPr>
              <w:t>inbakicept</w:t>
            </w:r>
            <w:proofErr w:type="spellEnd"/>
            <w:r w:rsidRPr="00420B9A">
              <w:rPr>
                <w:rFonts w:cs="Arial"/>
                <w:szCs w:val="19"/>
              </w:rPr>
              <w:t> </w:t>
            </w:r>
          </w:p>
          <w:p w14:paraId="1CE1B171" w14:textId="30C30EFD" w:rsidR="00420B9A" w:rsidRPr="00420B9A" w:rsidRDefault="00420B9A" w:rsidP="00553201">
            <w:pPr>
              <w:rPr>
                <w:rFonts w:cs="Arial"/>
                <w:szCs w:val="19"/>
              </w:rPr>
            </w:pPr>
            <w:r>
              <w:rPr>
                <w:rFonts w:cs="Arial"/>
                <w:szCs w:val="19"/>
              </w:rPr>
              <w:t>(</w:t>
            </w:r>
            <w:proofErr w:type="spellStart"/>
            <w:r>
              <w:rPr>
                <w:rFonts w:cs="Arial"/>
                <w:i/>
                <w:iCs/>
                <w:szCs w:val="19"/>
              </w:rPr>
              <w:t>Anktiva</w:t>
            </w:r>
            <w:proofErr w:type="spellEnd"/>
            <w:r>
              <w:rPr>
                <w:rFonts w:cs="Arial"/>
                <w:szCs w:val="19"/>
              </w:rPr>
              <w:t>)</w:t>
            </w:r>
          </w:p>
        </w:tc>
        <w:tc>
          <w:tcPr>
            <w:tcW w:w="3640" w:type="pct"/>
            <w:shd w:val="clear" w:color="auto" w:fill="auto"/>
            <w:tcMar>
              <w:top w:w="57" w:type="dxa"/>
              <w:bottom w:w="57" w:type="dxa"/>
            </w:tcMar>
          </w:tcPr>
          <w:p w14:paraId="1960FDD7" w14:textId="67DB7216" w:rsidR="00420B9A" w:rsidRPr="00565CDD" w:rsidRDefault="00420B9A" w:rsidP="00553201">
            <w:pPr>
              <w:tabs>
                <w:tab w:val="center" w:pos="3152"/>
              </w:tabs>
              <w:rPr>
                <w:rFonts w:cs="Arial"/>
                <w:szCs w:val="19"/>
                <w:lang w:val="en-US"/>
              </w:rPr>
            </w:pPr>
            <w:r w:rsidRPr="00420B9A">
              <w:rPr>
                <w:rFonts w:cs="Arial"/>
                <w:szCs w:val="19"/>
                <w:lang w:val="en-US"/>
              </w:rPr>
              <w:t>Treatment of adults with BCG-unresponsive non</w:t>
            </w:r>
            <w:r w:rsidR="0094499F">
              <w:rPr>
                <w:rFonts w:cs="Arial"/>
                <w:szCs w:val="19"/>
                <w:lang w:val="en-US"/>
              </w:rPr>
              <w:t>-</w:t>
            </w:r>
            <w:r w:rsidRPr="00420B9A">
              <w:rPr>
                <w:rFonts w:cs="Arial"/>
                <w:szCs w:val="19"/>
                <w:lang w:val="en-US"/>
              </w:rPr>
              <w:t>muscle invasive bladder cancer with carcinoma in situ with or without papillary tumors</w:t>
            </w:r>
            <w:r>
              <w:rPr>
                <w:rFonts w:cs="Arial"/>
                <w:szCs w:val="19"/>
                <w:lang w:val="en-US"/>
              </w:rPr>
              <w:t xml:space="preserve"> </w:t>
            </w:r>
            <w:r w:rsidRPr="00565CDD">
              <w:rPr>
                <w:rFonts w:cs="Arial"/>
                <w:sz w:val="16"/>
                <w:szCs w:val="16"/>
                <w:lang w:val="en-US"/>
              </w:rPr>
              <w:t>[UK]</w:t>
            </w:r>
          </w:p>
        </w:tc>
      </w:tr>
      <w:tr w:rsidR="00553201" w:rsidRPr="00A075A3" w14:paraId="171E6CCA" w14:textId="77777777" w:rsidTr="00605F83">
        <w:tc>
          <w:tcPr>
            <w:tcW w:w="1360" w:type="pct"/>
            <w:gridSpan w:val="2"/>
            <w:shd w:val="clear" w:color="auto" w:fill="auto"/>
            <w:tcMar>
              <w:top w:w="57" w:type="dxa"/>
              <w:bottom w:w="57" w:type="dxa"/>
            </w:tcMar>
          </w:tcPr>
          <w:p w14:paraId="0F1F9F53" w14:textId="77777777" w:rsidR="00553201" w:rsidRDefault="00553201" w:rsidP="00553201">
            <w:pPr>
              <w:rPr>
                <w:rFonts w:cs="Arial"/>
                <w:szCs w:val="19"/>
              </w:rPr>
            </w:pPr>
            <w:proofErr w:type="spellStart"/>
            <w:r w:rsidRPr="00565CDD">
              <w:rPr>
                <w:rFonts w:cs="Arial"/>
                <w:szCs w:val="19"/>
              </w:rPr>
              <w:t>Obecabtagene</w:t>
            </w:r>
            <w:proofErr w:type="spellEnd"/>
            <w:r w:rsidRPr="00565CDD">
              <w:rPr>
                <w:rFonts w:cs="Arial"/>
                <w:szCs w:val="19"/>
              </w:rPr>
              <w:t xml:space="preserve"> </w:t>
            </w:r>
            <w:proofErr w:type="spellStart"/>
            <w:r w:rsidRPr="00565CDD">
              <w:rPr>
                <w:rFonts w:cs="Arial"/>
                <w:szCs w:val="19"/>
              </w:rPr>
              <w:t>autoleucel</w:t>
            </w:r>
            <w:proofErr w:type="spellEnd"/>
            <w:r w:rsidRPr="00565CDD">
              <w:rPr>
                <w:rFonts w:cs="Arial"/>
                <w:szCs w:val="19"/>
              </w:rPr>
              <w:t> </w:t>
            </w:r>
          </w:p>
          <w:p w14:paraId="1CB5C6D6" w14:textId="4B2FFC35" w:rsidR="00553201" w:rsidRPr="004910AC" w:rsidRDefault="00553201" w:rsidP="00553201">
            <w:pPr>
              <w:rPr>
                <w:rFonts w:cs="Arial"/>
                <w:szCs w:val="19"/>
              </w:rPr>
            </w:pPr>
            <w:r>
              <w:rPr>
                <w:rFonts w:cs="Arial"/>
                <w:szCs w:val="19"/>
              </w:rPr>
              <w:t>(</w:t>
            </w:r>
            <w:proofErr w:type="spellStart"/>
            <w:r w:rsidRPr="00565CDD">
              <w:rPr>
                <w:rFonts w:cs="Arial"/>
                <w:i/>
                <w:iCs/>
                <w:szCs w:val="19"/>
              </w:rPr>
              <w:t>Aucatzyl</w:t>
            </w:r>
            <w:proofErr w:type="spellEnd"/>
            <w:r>
              <w:rPr>
                <w:rFonts w:cs="Arial"/>
                <w:szCs w:val="19"/>
              </w:rPr>
              <w:t>)</w:t>
            </w:r>
          </w:p>
        </w:tc>
        <w:tc>
          <w:tcPr>
            <w:tcW w:w="3640" w:type="pct"/>
            <w:shd w:val="clear" w:color="auto" w:fill="auto"/>
            <w:tcMar>
              <w:top w:w="57" w:type="dxa"/>
              <w:bottom w:w="57" w:type="dxa"/>
            </w:tcMar>
          </w:tcPr>
          <w:p w14:paraId="0499B0C0" w14:textId="0AEB5AEB" w:rsidR="00553201" w:rsidRPr="00460B68" w:rsidRDefault="00553201" w:rsidP="00553201">
            <w:pPr>
              <w:tabs>
                <w:tab w:val="center" w:pos="3152"/>
              </w:tabs>
              <w:rPr>
                <w:rFonts w:cs="Arial"/>
                <w:szCs w:val="19"/>
                <w:lang w:val="en-US"/>
              </w:rPr>
            </w:pPr>
            <w:r w:rsidRPr="00565CDD">
              <w:rPr>
                <w:rFonts w:cs="Arial"/>
                <w:szCs w:val="19"/>
                <w:lang w:val="en-US"/>
              </w:rPr>
              <w:t xml:space="preserve">Treatment of </w:t>
            </w:r>
            <w:r>
              <w:rPr>
                <w:rFonts w:cs="Arial"/>
                <w:szCs w:val="19"/>
                <w:lang w:val="en-US"/>
              </w:rPr>
              <w:t>adults</w:t>
            </w:r>
            <w:r w:rsidRPr="00565CDD">
              <w:rPr>
                <w:rFonts w:cs="Arial"/>
                <w:szCs w:val="19"/>
                <w:lang w:val="en-US"/>
              </w:rPr>
              <w:t xml:space="preserve"> with relapsed or refractory B cell precursor acute lymphoblastic </w:t>
            </w:r>
            <w:proofErr w:type="spellStart"/>
            <w:r w:rsidRPr="00565CDD">
              <w:rPr>
                <w:rFonts w:cs="Arial"/>
                <w:szCs w:val="19"/>
                <w:lang w:val="en-US"/>
              </w:rPr>
              <w:t>leukaemia</w:t>
            </w:r>
            <w:proofErr w:type="spellEnd"/>
            <w:r>
              <w:rPr>
                <w:rFonts w:cs="Arial"/>
                <w:szCs w:val="19"/>
                <w:lang w:val="en-US"/>
              </w:rPr>
              <w:t xml:space="preserve"> </w:t>
            </w:r>
            <w:r w:rsidRPr="00565CDD">
              <w:rPr>
                <w:rFonts w:cs="Arial"/>
                <w:sz w:val="16"/>
                <w:szCs w:val="16"/>
                <w:lang w:val="en-US"/>
              </w:rPr>
              <w:t>[UK]</w:t>
            </w:r>
          </w:p>
        </w:tc>
      </w:tr>
      <w:tr w:rsidR="00553201" w:rsidRPr="000F19E1" w14:paraId="4C090256" w14:textId="77777777" w:rsidTr="00605F83">
        <w:tc>
          <w:tcPr>
            <w:tcW w:w="1360" w:type="pct"/>
            <w:gridSpan w:val="2"/>
            <w:shd w:val="clear" w:color="auto" w:fill="auto"/>
            <w:tcMar>
              <w:top w:w="0" w:type="dxa"/>
              <w:bottom w:w="0" w:type="dxa"/>
            </w:tcMar>
          </w:tcPr>
          <w:p w14:paraId="6D737FF4" w14:textId="77777777" w:rsidR="00553201" w:rsidRPr="000F19E1" w:rsidRDefault="00553201" w:rsidP="00553201">
            <w:pPr>
              <w:rPr>
                <w:rFonts w:cs="Arial"/>
                <w:bCs/>
                <w:sz w:val="8"/>
                <w:szCs w:val="8"/>
              </w:rPr>
            </w:pPr>
          </w:p>
        </w:tc>
        <w:tc>
          <w:tcPr>
            <w:tcW w:w="3640" w:type="pct"/>
            <w:shd w:val="clear" w:color="auto" w:fill="auto"/>
            <w:tcMar>
              <w:top w:w="0" w:type="dxa"/>
              <w:bottom w:w="0" w:type="dxa"/>
            </w:tcMar>
          </w:tcPr>
          <w:p w14:paraId="0300AD67" w14:textId="77777777" w:rsidR="00553201" w:rsidRPr="000F19E1" w:rsidRDefault="00553201" w:rsidP="00553201">
            <w:pPr>
              <w:tabs>
                <w:tab w:val="center" w:pos="3152"/>
              </w:tabs>
              <w:rPr>
                <w:rFonts w:cs="Arial"/>
                <w:sz w:val="8"/>
                <w:szCs w:val="8"/>
                <w:lang w:val="en-US"/>
              </w:rPr>
            </w:pPr>
          </w:p>
        </w:tc>
      </w:tr>
      <w:tr w:rsidR="00553201" w:rsidRPr="000F19E1" w14:paraId="4FF978CF" w14:textId="77777777" w:rsidTr="00155BD9">
        <w:tc>
          <w:tcPr>
            <w:tcW w:w="1152" w:type="pct"/>
            <w:shd w:val="clear" w:color="auto" w:fill="DAEEF3"/>
            <w:tcMar>
              <w:top w:w="0" w:type="dxa"/>
              <w:bottom w:w="0" w:type="dxa"/>
            </w:tcMar>
          </w:tcPr>
          <w:p w14:paraId="10AB86BF" w14:textId="77777777" w:rsidR="00553201" w:rsidRPr="000F19E1" w:rsidRDefault="00553201" w:rsidP="00553201">
            <w:pPr>
              <w:rPr>
                <w:rFonts w:cs="Arial"/>
                <w:bCs/>
                <w:sz w:val="8"/>
                <w:szCs w:val="8"/>
              </w:rPr>
            </w:pPr>
          </w:p>
        </w:tc>
        <w:tc>
          <w:tcPr>
            <w:tcW w:w="3848" w:type="pct"/>
            <w:gridSpan w:val="2"/>
            <w:shd w:val="clear" w:color="auto" w:fill="DAEEF3"/>
            <w:tcMar>
              <w:top w:w="0" w:type="dxa"/>
              <w:bottom w:w="0" w:type="dxa"/>
            </w:tcMar>
          </w:tcPr>
          <w:p w14:paraId="1F5D0E47" w14:textId="77777777" w:rsidR="00553201" w:rsidRPr="000F19E1" w:rsidRDefault="00553201" w:rsidP="00553201">
            <w:pPr>
              <w:tabs>
                <w:tab w:val="center" w:pos="3152"/>
              </w:tabs>
              <w:rPr>
                <w:rFonts w:cs="Arial"/>
                <w:sz w:val="8"/>
                <w:szCs w:val="8"/>
                <w:lang w:val="en-US"/>
              </w:rPr>
            </w:pPr>
          </w:p>
        </w:tc>
      </w:tr>
    </w:tbl>
    <w:p w14:paraId="0F3940C9" w14:textId="77777777" w:rsidR="00A75BCB" w:rsidRDefault="00A75BCB"/>
    <w:p w14:paraId="22772AED" w14:textId="77777777" w:rsidR="006825BB" w:rsidRDefault="006825BB" w:rsidP="003D16EF">
      <w:pPr>
        <w:rPr>
          <w:sz w:val="8"/>
          <w:szCs w:val="8"/>
        </w:rPr>
      </w:pPr>
    </w:p>
    <w:p w14:paraId="537CB82A" w14:textId="77777777" w:rsidR="00AE7363" w:rsidRDefault="00AE7363" w:rsidP="003D16EF">
      <w:pPr>
        <w:rPr>
          <w:sz w:val="8"/>
          <w:szCs w:val="8"/>
        </w:rPr>
      </w:pPr>
    </w:p>
    <w:p w14:paraId="34B9F20D" w14:textId="77777777" w:rsidR="00AE7363" w:rsidRDefault="00AE7363" w:rsidP="003D16EF">
      <w:pPr>
        <w:rPr>
          <w:sz w:val="8"/>
          <w:szCs w:val="8"/>
        </w:rPr>
      </w:pPr>
    </w:p>
    <w:p w14:paraId="5D84C335" w14:textId="77777777" w:rsidR="00AE7363" w:rsidRDefault="00AE7363" w:rsidP="003D16EF">
      <w:pPr>
        <w:rPr>
          <w:sz w:val="8"/>
          <w:szCs w:val="8"/>
        </w:rPr>
      </w:pPr>
    </w:p>
    <w:p w14:paraId="77EE2DA0" w14:textId="77777777" w:rsidR="00AE7363" w:rsidRDefault="00AE7363" w:rsidP="003D16EF">
      <w:pPr>
        <w:rPr>
          <w:sz w:val="8"/>
          <w:szCs w:val="8"/>
        </w:rPr>
      </w:pPr>
    </w:p>
    <w:tbl>
      <w:tblPr>
        <w:tblW w:w="5170" w:type="pct"/>
        <w:tblInd w:w="-176" w:type="dxa"/>
        <w:tblLayout w:type="fixed"/>
        <w:tblLook w:val="01E0" w:firstRow="1" w:lastRow="1" w:firstColumn="1" w:lastColumn="1" w:noHBand="0" w:noVBand="0"/>
      </w:tblPr>
      <w:tblGrid>
        <w:gridCol w:w="2431"/>
        <w:gridCol w:w="428"/>
        <w:gridCol w:w="11"/>
        <w:gridCol w:w="7681"/>
      </w:tblGrid>
      <w:tr w:rsidR="00AE7363" w:rsidRPr="00862949" w14:paraId="4DE2FB11" w14:textId="77777777" w:rsidTr="0016265D">
        <w:tc>
          <w:tcPr>
            <w:tcW w:w="5000" w:type="pct"/>
            <w:gridSpan w:val="4"/>
            <w:shd w:val="clear" w:color="auto" w:fill="0070C0"/>
            <w:tcMar>
              <w:top w:w="85" w:type="dxa"/>
              <w:bottom w:w="85" w:type="dxa"/>
            </w:tcMar>
            <w:vAlign w:val="bottom"/>
          </w:tcPr>
          <w:p w14:paraId="726954B1" w14:textId="77777777" w:rsidR="00AE7363" w:rsidRPr="00862949" w:rsidRDefault="00AE7363" w:rsidP="0016265D">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AE7363" w:rsidRPr="000F19E1" w14:paraId="3702183E" w14:textId="77777777" w:rsidTr="0016265D">
        <w:tc>
          <w:tcPr>
            <w:tcW w:w="1152" w:type="pct"/>
            <w:shd w:val="clear" w:color="auto" w:fill="DAEEF3"/>
            <w:tcMar>
              <w:top w:w="0" w:type="dxa"/>
              <w:bottom w:w="0" w:type="dxa"/>
            </w:tcMar>
          </w:tcPr>
          <w:p w14:paraId="17C6A341" w14:textId="77777777" w:rsidR="00AE7363" w:rsidRPr="000F19E1" w:rsidRDefault="00AE7363" w:rsidP="0016265D">
            <w:pPr>
              <w:rPr>
                <w:rFonts w:cs="Arial"/>
                <w:bCs/>
                <w:sz w:val="8"/>
                <w:szCs w:val="8"/>
              </w:rPr>
            </w:pPr>
          </w:p>
        </w:tc>
        <w:tc>
          <w:tcPr>
            <w:tcW w:w="3848" w:type="pct"/>
            <w:gridSpan w:val="3"/>
            <w:shd w:val="clear" w:color="auto" w:fill="DAEEF3"/>
            <w:tcMar>
              <w:top w:w="0" w:type="dxa"/>
              <w:bottom w:w="0" w:type="dxa"/>
            </w:tcMar>
          </w:tcPr>
          <w:p w14:paraId="3A71B38E" w14:textId="77777777" w:rsidR="00AE7363" w:rsidRPr="000F19E1" w:rsidRDefault="00AE7363" w:rsidP="0016265D">
            <w:pPr>
              <w:tabs>
                <w:tab w:val="center" w:pos="3152"/>
              </w:tabs>
              <w:rPr>
                <w:rFonts w:cs="Arial"/>
                <w:sz w:val="8"/>
                <w:szCs w:val="8"/>
                <w:lang w:val="en-US"/>
              </w:rPr>
            </w:pPr>
          </w:p>
        </w:tc>
      </w:tr>
      <w:tr w:rsidR="00AE7363" w:rsidRPr="00433D3E" w14:paraId="0BCF43DA" w14:textId="77777777" w:rsidTr="0016265D">
        <w:tc>
          <w:tcPr>
            <w:tcW w:w="5000" w:type="pct"/>
            <w:gridSpan w:val="4"/>
            <w:shd w:val="clear" w:color="auto" w:fill="00B050"/>
            <w:tcMar>
              <w:top w:w="57" w:type="dxa"/>
              <w:bottom w:w="57" w:type="dxa"/>
            </w:tcMar>
          </w:tcPr>
          <w:p w14:paraId="467B85F8" w14:textId="1072E7EC" w:rsidR="00AE7363" w:rsidRPr="00433D3E" w:rsidRDefault="00AE7363" w:rsidP="0016265D">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r>
              <w:rPr>
                <w:rFonts w:cs="Arial"/>
                <w:b/>
                <w:bCs/>
                <w:i/>
                <w:iCs/>
                <w:color w:val="FFFFFF"/>
                <w:sz w:val="22"/>
                <w:szCs w:val="20"/>
                <w:lang w:val="en-US"/>
              </w:rPr>
              <w:t xml:space="preserve"> </w:t>
            </w:r>
            <w:r w:rsidRPr="00AE7363">
              <w:rPr>
                <w:rFonts w:cs="Arial"/>
                <w:b/>
                <w:bCs/>
                <w:color w:val="FFFFFF"/>
                <w:sz w:val="16"/>
                <w:szCs w:val="14"/>
                <w:lang w:val="en-US"/>
              </w:rPr>
              <w:t>(continued)</w:t>
            </w:r>
          </w:p>
        </w:tc>
      </w:tr>
      <w:tr w:rsidR="00911466" w:rsidRPr="00A075A3" w14:paraId="1EF03AD9" w14:textId="77777777" w:rsidTr="0016265D">
        <w:tc>
          <w:tcPr>
            <w:tcW w:w="1360" w:type="pct"/>
            <w:gridSpan w:val="3"/>
            <w:shd w:val="clear" w:color="auto" w:fill="auto"/>
            <w:tcMar>
              <w:top w:w="57" w:type="dxa"/>
              <w:bottom w:w="57" w:type="dxa"/>
            </w:tcMar>
          </w:tcPr>
          <w:p w14:paraId="34B26EA1" w14:textId="2A45F5C9" w:rsidR="00911466" w:rsidRDefault="00911466" w:rsidP="00911466">
            <w:pPr>
              <w:rPr>
                <w:rFonts w:cs="Arial"/>
                <w:szCs w:val="19"/>
              </w:rPr>
            </w:pPr>
            <w:r>
              <w:rPr>
                <w:rFonts w:cs="Arial"/>
                <w:szCs w:val="19"/>
              </w:rPr>
              <w:t xml:space="preserve">Pridopidine </w:t>
            </w:r>
          </w:p>
        </w:tc>
        <w:tc>
          <w:tcPr>
            <w:tcW w:w="3640" w:type="pct"/>
            <w:shd w:val="clear" w:color="auto" w:fill="auto"/>
            <w:tcMar>
              <w:top w:w="57" w:type="dxa"/>
              <w:bottom w:w="57" w:type="dxa"/>
            </w:tcMar>
          </w:tcPr>
          <w:p w14:paraId="3C4ADC3F" w14:textId="58F2E541" w:rsidR="00911466" w:rsidRPr="00831BA8" w:rsidRDefault="00911466" w:rsidP="00911466">
            <w:pPr>
              <w:tabs>
                <w:tab w:val="center" w:pos="3152"/>
              </w:tabs>
              <w:rPr>
                <w:rFonts w:cs="Arial"/>
                <w:szCs w:val="19"/>
                <w:lang w:val="en-US"/>
              </w:rPr>
            </w:pPr>
            <w:r w:rsidRPr="00553201">
              <w:rPr>
                <w:rFonts w:cs="Arial"/>
                <w:szCs w:val="19"/>
                <w:lang w:val="en-US"/>
              </w:rPr>
              <w:t>Treatment of adults with Huntington’s disease</w:t>
            </w:r>
            <w:r>
              <w:rPr>
                <w:rFonts w:cs="Arial"/>
                <w:szCs w:val="19"/>
                <w:lang w:val="en-US"/>
              </w:rPr>
              <w:t xml:space="preserve"> </w:t>
            </w:r>
            <w:r w:rsidRPr="00553201">
              <w:rPr>
                <w:rFonts w:cs="Arial"/>
                <w:sz w:val="16"/>
                <w:szCs w:val="16"/>
                <w:lang w:val="en-US"/>
              </w:rPr>
              <w:t>[EU]</w:t>
            </w:r>
          </w:p>
        </w:tc>
      </w:tr>
      <w:tr w:rsidR="00911466" w:rsidRPr="00A075A3" w14:paraId="559778D5" w14:textId="77777777" w:rsidTr="0016265D">
        <w:tc>
          <w:tcPr>
            <w:tcW w:w="1360" w:type="pct"/>
            <w:gridSpan w:val="3"/>
            <w:shd w:val="clear" w:color="auto" w:fill="auto"/>
            <w:tcMar>
              <w:top w:w="57" w:type="dxa"/>
              <w:bottom w:w="57" w:type="dxa"/>
            </w:tcMar>
          </w:tcPr>
          <w:p w14:paraId="015DA8B0" w14:textId="77777777" w:rsidR="00911466" w:rsidRDefault="00911466" w:rsidP="00911466">
            <w:pPr>
              <w:rPr>
                <w:rFonts w:cs="Arial"/>
                <w:szCs w:val="19"/>
              </w:rPr>
            </w:pPr>
            <w:proofErr w:type="spellStart"/>
            <w:r>
              <w:rPr>
                <w:rFonts w:cs="Arial"/>
                <w:szCs w:val="19"/>
              </w:rPr>
              <w:t>Riociguat</w:t>
            </w:r>
            <w:proofErr w:type="spellEnd"/>
            <w:r>
              <w:rPr>
                <w:rFonts w:cs="Arial"/>
                <w:szCs w:val="19"/>
              </w:rPr>
              <w:t xml:space="preserve"> (</w:t>
            </w:r>
            <w:r>
              <w:rPr>
                <w:rFonts w:cs="Arial"/>
                <w:i/>
                <w:iCs/>
                <w:szCs w:val="19"/>
              </w:rPr>
              <w:t>Adempas</w:t>
            </w:r>
            <w:r>
              <w:rPr>
                <w:rFonts w:cs="Arial"/>
                <w:szCs w:val="19"/>
              </w:rPr>
              <w:t>)</w:t>
            </w:r>
          </w:p>
        </w:tc>
        <w:tc>
          <w:tcPr>
            <w:tcW w:w="3640" w:type="pct"/>
            <w:shd w:val="clear" w:color="auto" w:fill="auto"/>
            <w:tcMar>
              <w:top w:w="57" w:type="dxa"/>
              <w:bottom w:w="57" w:type="dxa"/>
            </w:tcMar>
          </w:tcPr>
          <w:p w14:paraId="011D2169" w14:textId="77777777" w:rsidR="00911466" w:rsidRPr="00272180" w:rsidRDefault="00911466" w:rsidP="00911466">
            <w:pPr>
              <w:tabs>
                <w:tab w:val="center" w:pos="3152"/>
              </w:tabs>
              <w:rPr>
                <w:rFonts w:cs="Arial"/>
                <w:szCs w:val="19"/>
                <w:lang w:val="en-US"/>
              </w:rPr>
            </w:pPr>
            <w:r w:rsidRPr="00831BA8">
              <w:rPr>
                <w:rFonts w:cs="Arial"/>
                <w:szCs w:val="19"/>
                <w:lang w:val="en-US"/>
              </w:rPr>
              <w:t xml:space="preserve">Treatment of </w:t>
            </w:r>
            <w:r>
              <w:rPr>
                <w:rFonts w:cs="Arial"/>
                <w:szCs w:val="19"/>
                <w:lang w:val="en-US"/>
              </w:rPr>
              <w:t>pulmonary arterial hypertension in p</w:t>
            </w:r>
            <w:r w:rsidRPr="00831BA8">
              <w:rPr>
                <w:rFonts w:cs="Arial"/>
                <w:szCs w:val="19"/>
                <w:lang w:val="en-US"/>
              </w:rPr>
              <w:t xml:space="preserve">aediatric patients aged </w:t>
            </w:r>
            <w:r>
              <w:rPr>
                <w:rFonts w:cs="Arial"/>
                <w:szCs w:val="19"/>
                <w:lang w:val="en-US"/>
              </w:rPr>
              <w:t>&lt;</w:t>
            </w:r>
            <w:r w:rsidRPr="00831BA8">
              <w:rPr>
                <w:rFonts w:cs="Arial"/>
                <w:szCs w:val="19"/>
                <w:lang w:val="en-US"/>
              </w:rPr>
              <w:t>18 years and body weight ≥50 kg with WHO Functional Class II to III in combination with endothelin receptor antagonists</w:t>
            </w:r>
            <w:r>
              <w:rPr>
                <w:rFonts w:cs="Arial"/>
                <w:szCs w:val="19"/>
                <w:lang w:val="en-US"/>
              </w:rPr>
              <w:t xml:space="preserve"> </w:t>
            </w:r>
            <w:r w:rsidRPr="00831BA8">
              <w:rPr>
                <w:rFonts w:cs="Arial"/>
                <w:sz w:val="16"/>
                <w:szCs w:val="16"/>
                <w:lang w:val="en-US"/>
              </w:rPr>
              <w:t xml:space="preserve">[EU] [new </w:t>
            </w:r>
            <w:r>
              <w:rPr>
                <w:rFonts w:cs="Arial"/>
                <w:sz w:val="16"/>
                <w:szCs w:val="16"/>
                <w:lang w:val="en-US"/>
              </w:rPr>
              <w:t xml:space="preserve">granules for </w:t>
            </w:r>
            <w:r w:rsidRPr="00831BA8">
              <w:rPr>
                <w:rFonts w:cs="Arial"/>
                <w:sz w:val="16"/>
                <w:szCs w:val="16"/>
                <w:lang w:val="en-US"/>
              </w:rPr>
              <w:t>oral suspension formulation]</w:t>
            </w:r>
          </w:p>
        </w:tc>
      </w:tr>
      <w:tr w:rsidR="00911466" w:rsidRPr="000F19E1" w14:paraId="7F6A199C" w14:textId="77777777" w:rsidTr="0016265D">
        <w:tc>
          <w:tcPr>
            <w:tcW w:w="1360" w:type="pct"/>
            <w:gridSpan w:val="3"/>
            <w:shd w:val="clear" w:color="auto" w:fill="auto"/>
            <w:tcMar>
              <w:top w:w="0" w:type="dxa"/>
              <w:bottom w:w="0" w:type="dxa"/>
            </w:tcMar>
          </w:tcPr>
          <w:p w14:paraId="2F0377DB" w14:textId="77777777" w:rsidR="00911466" w:rsidRPr="000F19E1" w:rsidRDefault="00911466" w:rsidP="00911466">
            <w:pPr>
              <w:rPr>
                <w:rFonts w:cs="Arial"/>
                <w:bCs/>
                <w:sz w:val="8"/>
                <w:szCs w:val="8"/>
              </w:rPr>
            </w:pPr>
          </w:p>
        </w:tc>
        <w:tc>
          <w:tcPr>
            <w:tcW w:w="3640" w:type="pct"/>
            <w:shd w:val="clear" w:color="auto" w:fill="auto"/>
            <w:tcMar>
              <w:top w:w="0" w:type="dxa"/>
              <w:bottom w:w="0" w:type="dxa"/>
            </w:tcMar>
          </w:tcPr>
          <w:p w14:paraId="3319CA13" w14:textId="77777777" w:rsidR="00911466" w:rsidRPr="000F19E1" w:rsidRDefault="00911466" w:rsidP="00911466">
            <w:pPr>
              <w:tabs>
                <w:tab w:val="center" w:pos="3152"/>
              </w:tabs>
              <w:rPr>
                <w:rFonts w:cs="Arial"/>
                <w:sz w:val="8"/>
                <w:szCs w:val="8"/>
                <w:lang w:val="en-US"/>
              </w:rPr>
            </w:pPr>
          </w:p>
        </w:tc>
      </w:tr>
      <w:tr w:rsidR="00911466" w:rsidRPr="000F19E1" w14:paraId="0A71505D" w14:textId="77777777" w:rsidTr="0016265D">
        <w:tc>
          <w:tcPr>
            <w:tcW w:w="1152" w:type="pct"/>
            <w:shd w:val="clear" w:color="auto" w:fill="DAEEF3"/>
            <w:tcMar>
              <w:top w:w="0" w:type="dxa"/>
              <w:bottom w:w="0" w:type="dxa"/>
            </w:tcMar>
          </w:tcPr>
          <w:p w14:paraId="2465664B" w14:textId="77777777" w:rsidR="00911466" w:rsidRPr="000F19E1" w:rsidRDefault="00911466" w:rsidP="00911466">
            <w:pPr>
              <w:rPr>
                <w:rFonts w:cs="Arial"/>
                <w:bCs/>
                <w:sz w:val="8"/>
                <w:szCs w:val="8"/>
              </w:rPr>
            </w:pPr>
          </w:p>
        </w:tc>
        <w:tc>
          <w:tcPr>
            <w:tcW w:w="3848" w:type="pct"/>
            <w:gridSpan w:val="3"/>
            <w:shd w:val="clear" w:color="auto" w:fill="DAEEF3"/>
            <w:tcMar>
              <w:top w:w="0" w:type="dxa"/>
              <w:bottom w:w="0" w:type="dxa"/>
            </w:tcMar>
          </w:tcPr>
          <w:p w14:paraId="6111FF05" w14:textId="77777777" w:rsidR="00911466" w:rsidRPr="000F19E1" w:rsidRDefault="00911466" w:rsidP="00911466">
            <w:pPr>
              <w:tabs>
                <w:tab w:val="center" w:pos="3152"/>
              </w:tabs>
              <w:rPr>
                <w:rFonts w:cs="Arial"/>
                <w:sz w:val="8"/>
                <w:szCs w:val="8"/>
                <w:lang w:val="en-US"/>
              </w:rPr>
            </w:pPr>
          </w:p>
        </w:tc>
      </w:tr>
      <w:tr w:rsidR="00911466" w:rsidRPr="00126CCD" w14:paraId="7633FE06" w14:textId="77777777" w:rsidTr="0016265D">
        <w:tc>
          <w:tcPr>
            <w:tcW w:w="5000" w:type="pct"/>
            <w:gridSpan w:val="4"/>
            <w:shd w:val="clear" w:color="auto" w:fill="00B050"/>
            <w:tcMar>
              <w:top w:w="57" w:type="dxa"/>
              <w:bottom w:w="57" w:type="dxa"/>
            </w:tcMar>
          </w:tcPr>
          <w:p w14:paraId="3824C8B1" w14:textId="77777777" w:rsidR="00911466" w:rsidRPr="004642B4" w:rsidRDefault="00911466" w:rsidP="00911466">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p>
        </w:tc>
      </w:tr>
      <w:tr w:rsidR="00911466" w14:paraId="73FE18CC" w14:textId="77777777" w:rsidTr="0016265D">
        <w:tc>
          <w:tcPr>
            <w:tcW w:w="1360" w:type="pct"/>
            <w:gridSpan w:val="3"/>
            <w:shd w:val="clear" w:color="auto" w:fill="auto"/>
            <w:tcMar>
              <w:top w:w="57" w:type="dxa"/>
              <w:bottom w:w="57" w:type="dxa"/>
            </w:tcMar>
          </w:tcPr>
          <w:p w14:paraId="43A51036" w14:textId="77777777" w:rsidR="00911466" w:rsidRDefault="00911466" w:rsidP="00911466">
            <w:pPr>
              <w:rPr>
                <w:rFonts w:cs="Arial"/>
                <w:szCs w:val="19"/>
              </w:rPr>
            </w:pPr>
            <w:r>
              <w:rPr>
                <w:rFonts w:cs="Arial"/>
                <w:szCs w:val="19"/>
              </w:rPr>
              <w:t>ATL001</w:t>
            </w:r>
          </w:p>
        </w:tc>
        <w:tc>
          <w:tcPr>
            <w:tcW w:w="3640" w:type="pct"/>
            <w:shd w:val="clear" w:color="auto" w:fill="auto"/>
            <w:tcMar>
              <w:top w:w="57" w:type="dxa"/>
              <w:bottom w:w="57" w:type="dxa"/>
            </w:tcMar>
          </w:tcPr>
          <w:p w14:paraId="2E6BADFA" w14:textId="77777777" w:rsidR="00911466" w:rsidRPr="00FB3B00" w:rsidRDefault="00911466" w:rsidP="00911466">
            <w:pPr>
              <w:tabs>
                <w:tab w:val="center" w:pos="3152"/>
              </w:tabs>
              <w:rPr>
                <w:rFonts w:cs="Arial"/>
                <w:szCs w:val="19"/>
                <w:lang w:val="en-US"/>
              </w:rPr>
            </w:pPr>
            <w:r>
              <w:rPr>
                <w:rFonts w:cs="Arial"/>
                <w:szCs w:val="19"/>
                <w:lang w:val="en-US"/>
              </w:rPr>
              <w:t>A</w:t>
            </w:r>
            <w:r w:rsidRPr="00BC3764">
              <w:rPr>
                <w:rFonts w:cs="Arial"/>
                <w:szCs w:val="19"/>
                <w:lang w:val="en-US"/>
              </w:rPr>
              <w:t>dvanced</w:t>
            </w:r>
            <w:r>
              <w:rPr>
                <w:rFonts w:cs="Arial"/>
                <w:szCs w:val="19"/>
                <w:lang w:val="en-US"/>
              </w:rPr>
              <w:t>,</w:t>
            </w:r>
            <w:r w:rsidRPr="00BC3764">
              <w:rPr>
                <w:rFonts w:cs="Arial"/>
                <w:szCs w:val="19"/>
                <w:lang w:val="en-US"/>
              </w:rPr>
              <w:t xml:space="preserve"> smoking-related</w:t>
            </w:r>
            <w:r>
              <w:rPr>
                <w:rFonts w:cs="Arial"/>
                <w:szCs w:val="19"/>
                <w:lang w:val="en-US"/>
              </w:rPr>
              <w:t xml:space="preserve"> n</w:t>
            </w:r>
            <w:r w:rsidRPr="00BC3764">
              <w:rPr>
                <w:rFonts w:cs="Arial"/>
                <w:szCs w:val="19"/>
                <w:lang w:val="en-US"/>
              </w:rPr>
              <w:t>on-small cell lung cancer in adults</w:t>
            </w:r>
            <w:r>
              <w:rPr>
                <w:rFonts w:cs="Arial"/>
                <w:szCs w:val="19"/>
                <w:lang w:val="en-US"/>
              </w:rPr>
              <w:t xml:space="preserve"> – development discontinued (company decision)</w:t>
            </w:r>
          </w:p>
        </w:tc>
      </w:tr>
      <w:tr w:rsidR="00911466" w14:paraId="06EB763A" w14:textId="77777777" w:rsidTr="0016265D">
        <w:tc>
          <w:tcPr>
            <w:tcW w:w="1360" w:type="pct"/>
            <w:gridSpan w:val="3"/>
            <w:shd w:val="clear" w:color="auto" w:fill="auto"/>
            <w:tcMar>
              <w:top w:w="57" w:type="dxa"/>
              <w:bottom w:w="57" w:type="dxa"/>
            </w:tcMar>
          </w:tcPr>
          <w:p w14:paraId="760A4729" w14:textId="77777777" w:rsidR="00911466" w:rsidRDefault="00911466" w:rsidP="00911466">
            <w:pPr>
              <w:rPr>
                <w:rFonts w:cs="Arial"/>
                <w:szCs w:val="19"/>
              </w:rPr>
            </w:pPr>
            <w:r>
              <w:rPr>
                <w:rFonts w:cs="Arial"/>
                <w:szCs w:val="19"/>
              </w:rPr>
              <w:t>ATL001</w:t>
            </w:r>
          </w:p>
        </w:tc>
        <w:tc>
          <w:tcPr>
            <w:tcW w:w="3640" w:type="pct"/>
            <w:shd w:val="clear" w:color="auto" w:fill="auto"/>
            <w:tcMar>
              <w:top w:w="57" w:type="dxa"/>
              <w:bottom w:w="57" w:type="dxa"/>
            </w:tcMar>
          </w:tcPr>
          <w:p w14:paraId="0358F63F" w14:textId="77777777" w:rsidR="00911466" w:rsidRDefault="00911466" w:rsidP="00911466">
            <w:pPr>
              <w:tabs>
                <w:tab w:val="center" w:pos="3152"/>
              </w:tabs>
              <w:rPr>
                <w:rFonts w:cs="Arial"/>
                <w:szCs w:val="19"/>
                <w:lang w:val="en-US"/>
              </w:rPr>
            </w:pPr>
            <w:r w:rsidRPr="00FB3B00">
              <w:rPr>
                <w:rFonts w:cs="Arial"/>
                <w:szCs w:val="19"/>
                <w:lang w:val="en-US"/>
              </w:rPr>
              <w:t xml:space="preserve">Metastatic or recurrent </w:t>
            </w:r>
            <w:r>
              <w:rPr>
                <w:rFonts w:cs="Arial"/>
                <w:szCs w:val="19"/>
                <w:lang w:val="en-US"/>
              </w:rPr>
              <w:t xml:space="preserve">melanoma </w:t>
            </w:r>
            <w:r w:rsidRPr="00FB3B00">
              <w:rPr>
                <w:rFonts w:cs="Arial"/>
                <w:szCs w:val="19"/>
                <w:lang w:val="en-US"/>
              </w:rPr>
              <w:t>in adults</w:t>
            </w:r>
            <w:r>
              <w:rPr>
                <w:rFonts w:cs="Arial"/>
                <w:szCs w:val="19"/>
                <w:lang w:val="en-US"/>
              </w:rPr>
              <w:t>,</w:t>
            </w:r>
            <w:r w:rsidRPr="00FB3B00">
              <w:rPr>
                <w:rFonts w:cs="Arial"/>
                <w:szCs w:val="19"/>
                <w:lang w:val="en-US"/>
              </w:rPr>
              <w:t xml:space="preserve"> second-line or later after PD-1/PD-L1 inhibitor</w:t>
            </w:r>
            <w:r>
              <w:rPr>
                <w:rFonts w:cs="Arial"/>
                <w:szCs w:val="19"/>
                <w:lang w:val="en-US"/>
              </w:rPr>
              <w:t xml:space="preserve"> – development discontinued (company decision)</w:t>
            </w:r>
          </w:p>
        </w:tc>
      </w:tr>
      <w:tr w:rsidR="00911466" w14:paraId="027A8E17" w14:textId="77777777" w:rsidTr="0016265D">
        <w:tc>
          <w:tcPr>
            <w:tcW w:w="1360" w:type="pct"/>
            <w:gridSpan w:val="3"/>
            <w:shd w:val="clear" w:color="auto" w:fill="auto"/>
            <w:tcMar>
              <w:top w:w="57" w:type="dxa"/>
              <w:bottom w:w="57" w:type="dxa"/>
            </w:tcMar>
          </w:tcPr>
          <w:p w14:paraId="0864DE00" w14:textId="77777777" w:rsidR="00911466" w:rsidRPr="00067CE4" w:rsidRDefault="00911466" w:rsidP="00911466">
            <w:pPr>
              <w:rPr>
                <w:rFonts w:cs="Arial"/>
                <w:szCs w:val="19"/>
              </w:rPr>
            </w:pPr>
            <w:proofErr w:type="spellStart"/>
            <w:r>
              <w:rPr>
                <w:rFonts w:cs="Arial"/>
                <w:szCs w:val="19"/>
              </w:rPr>
              <w:t>Coacillium</w:t>
            </w:r>
            <w:proofErr w:type="spellEnd"/>
            <w:r>
              <w:rPr>
                <w:rFonts w:cs="Arial"/>
                <w:szCs w:val="19"/>
              </w:rPr>
              <w:t xml:space="preserve"> (</w:t>
            </w:r>
            <w:proofErr w:type="spellStart"/>
            <w:r w:rsidRPr="00DB6BA1">
              <w:rPr>
                <w:rFonts w:cs="Arial"/>
                <w:i/>
                <w:iCs/>
                <w:szCs w:val="19"/>
              </w:rPr>
              <w:t>Cinainu</w:t>
            </w:r>
            <w:proofErr w:type="spellEnd"/>
            <w:r>
              <w:rPr>
                <w:rFonts w:cs="Arial"/>
                <w:szCs w:val="19"/>
              </w:rPr>
              <w:t>)</w:t>
            </w:r>
          </w:p>
        </w:tc>
        <w:tc>
          <w:tcPr>
            <w:tcW w:w="3640" w:type="pct"/>
            <w:shd w:val="clear" w:color="auto" w:fill="auto"/>
            <w:tcMar>
              <w:top w:w="57" w:type="dxa"/>
              <w:bottom w:w="57" w:type="dxa"/>
            </w:tcMar>
          </w:tcPr>
          <w:p w14:paraId="20A55A01" w14:textId="3F929055" w:rsidR="00911466" w:rsidRDefault="009F53AD" w:rsidP="00911466">
            <w:pPr>
              <w:tabs>
                <w:tab w:val="center" w:pos="3152"/>
              </w:tabs>
              <w:rPr>
                <w:rFonts w:cs="Arial"/>
                <w:szCs w:val="19"/>
                <w:lang w:val="en-US"/>
              </w:rPr>
            </w:pPr>
            <w:r>
              <w:rPr>
                <w:rFonts w:cs="Arial"/>
                <w:szCs w:val="19"/>
                <w:lang w:val="en-US"/>
              </w:rPr>
              <w:t>A</w:t>
            </w:r>
            <w:r w:rsidR="00911466" w:rsidRPr="00DB6BA1">
              <w:rPr>
                <w:rFonts w:cs="Arial"/>
                <w:szCs w:val="19"/>
                <w:lang w:val="en-US"/>
              </w:rPr>
              <w:t>lopecia areata in children</w:t>
            </w:r>
            <w:r w:rsidR="00911466">
              <w:rPr>
                <w:rFonts w:cs="Arial"/>
                <w:szCs w:val="19"/>
                <w:lang w:val="en-US"/>
              </w:rPr>
              <w:t xml:space="preserve"> and adolescents – EU negative opinion</w:t>
            </w:r>
          </w:p>
        </w:tc>
      </w:tr>
      <w:tr w:rsidR="00911466" w14:paraId="58F86BE2" w14:textId="77777777" w:rsidTr="0016265D">
        <w:tc>
          <w:tcPr>
            <w:tcW w:w="1360" w:type="pct"/>
            <w:gridSpan w:val="3"/>
            <w:shd w:val="clear" w:color="auto" w:fill="auto"/>
            <w:tcMar>
              <w:top w:w="57" w:type="dxa"/>
              <w:bottom w:w="57" w:type="dxa"/>
            </w:tcMar>
          </w:tcPr>
          <w:p w14:paraId="32A9C4E6" w14:textId="77777777" w:rsidR="00911466" w:rsidRDefault="00911466" w:rsidP="00911466">
            <w:pPr>
              <w:rPr>
                <w:rFonts w:cs="Arial"/>
                <w:szCs w:val="19"/>
              </w:rPr>
            </w:pPr>
            <w:proofErr w:type="spellStart"/>
            <w:r w:rsidRPr="00067CE4">
              <w:rPr>
                <w:rFonts w:cs="Arial"/>
                <w:szCs w:val="19"/>
              </w:rPr>
              <w:t>Cobitolimod</w:t>
            </w:r>
            <w:proofErr w:type="spellEnd"/>
            <w:r>
              <w:rPr>
                <w:rFonts w:cs="Arial"/>
                <w:szCs w:val="19"/>
              </w:rPr>
              <w:t xml:space="preserve"> (</w:t>
            </w:r>
            <w:proofErr w:type="spellStart"/>
            <w:r>
              <w:rPr>
                <w:rFonts w:cs="Arial"/>
                <w:i/>
                <w:iCs/>
                <w:szCs w:val="19"/>
              </w:rPr>
              <w:t>Kappaproct</w:t>
            </w:r>
            <w:proofErr w:type="spellEnd"/>
            <w:r>
              <w:rPr>
                <w:rFonts w:cs="Arial"/>
                <w:szCs w:val="19"/>
              </w:rPr>
              <w:t>)</w:t>
            </w:r>
          </w:p>
        </w:tc>
        <w:tc>
          <w:tcPr>
            <w:tcW w:w="3640" w:type="pct"/>
            <w:shd w:val="clear" w:color="auto" w:fill="auto"/>
            <w:tcMar>
              <w:top w:w="57" w:type="dxa"/>
              <w:bottom w:w="57" w:type="dxa"/>
            </w:tcMar>
          </w:tcPr>
          <w:p w14:paraId="35F37C68" w14:textId="77777777" w:rsidR="00911466" w:rsidRPr="00C05FAF" w:rsidRDefault="00911466" w:rsidP="00911466">
            <w:pPr>
              <w:tabs>
                <w:tab w:val="center" w:pos="3152"/>
              </w:tabs>
              <w:rPr>
                <w:rFonts w:cs="Arial"/>
                <w:szCs w:val="19"/>
                <w:lang w:val="en-US"/>
              </w:rPr>
            </w:pPr>
            <w:r>
              <w:rPr>
                <w:rFonts w:cs="Arial"/>
                <w:szCs w:val="19"/>
                <w:lang w:val="en-US"/>
              </w:rPr>
              <w:t>Refractory u</w:t>
            </w:r>
            <w:r w:rsidRPr="00067CE4">
              <w:rPr>
                <w:rFonts w:cs="Arial"/>
                <w:szCs w:val="19"/>
                <w:lang w:val="en-US"/>
              </w:rPr>
              <w:t xml:space="preserve">lcerative colitis </w:t>
            </w:r>
            <w:r>
              <w:rPr>
                <w:rFonts w:cs="Arial"/>
                <w:szCs w:val="19"/>
                <w:lang w:val="en-US"/>
              </w:rPr>
              <w:t>– development discontinued (lack of efficacy)</w:t>
            </w:r>
          </w:p>
        </w:tc>
      </w:tr>
      <w:tr w:rsidR="00911466" w14:paraId="570F1320" w14:textId="77777777" w:rsidTr="0016265D">
        <w:tc>
          <w:tcPr>
            <w:tcW w:w="1360" w:type="pct"/>
            <w:gridSpan w:val="3"/>
            <w:shd w:val="clear" w:color="auto" w:fill="auto"/>
            <w:tcMar>
              <w:top w:w="57" w:type="dxa"/>
              <w:bottom w:w="57" w:type="dxa"/>
            </w:tcMar>
          </w:tcPr>
          <w:p w14:paraId="4D4FAF97" w14:textId="77777777" w:rsidR="00911466" w:rsidRPr="00067CE4" w:rsidRDefault="00911466" w:rsidP="00911466">
            <w:pPr>
              <w:rPr>
                <w:rFonts w:cs="Arial"/>
                <w:szCs w:val="19"/>
              </w:rPr>
            </w:pPr>
            <w:proofErr w:type="spellStart"/>
            <w:r w:rsidRPr="003C5BC1">
              <w:rPr>
                <w:rFonts w:cs="Arial"/>
                <w:szCs w:val="19"/>
              </w:rPr>
              <w:t>Domofenogene</w:t>
            </w:r>
            <w:proofErr w:type="spellEnd"/>
            <w:r w:rsidRPr="003C5BC1">
              <w:rPr>
                <w:rFonts w:cs="Arial"/>
                <w:szCs w:val="19"/>
              </w:rPr>
              <w:t xml:space="preserve"> </w:t>
            </w:r>
            <w:proofErr w:type="spellStart"/>
            <w:r w:rsidRPr="003C5BC1">
              <w:rPr>
                <w:rFonts w:cs="Arial"/>
                <w:szCs w:val="19"/>
              </w:rPr>
              <w:t>zalfaparvovec</w:t>
            </w:r>
            <w:proofErr w:type="spellEnd"/>
            <w:r w:rsidRPr="003C5BC1">
              <w:rPr>
                <w:rFonts w:cs="Arial"/>
                <w:szCs w:val="19"/>
              </w:rPr>
              <w:t> </w:t>
            </w:r>
          </w:p>
        </w:tc>
        <w:tc>
          <w:tcPr>
            <w:tcW w:w="3640" w:type="pct"/>
            <w:shd w:val="clear" w:color="auto" w:fill="auto"/>
            <w:tcMar>
              <w:top w:w="57" w:type="dxa"/>
              <w:bottom w:w="57" w:type="dxa"/>
            </w:tcMar>
          </w:tcPr>
          <w:p w14:paraId="051022AE" w14:textId="77777777" w:rsidR="00911466" w:rsidRDefault="00911466" w:rsidP="00911466">
            <w:pPr>
              <w:tabs>
                <w:tab w:val="center" w:pos="3152"/>
              </w:tabs>
              <w:rPr>
                <w:rFonts w:cs="Arial"/>
                <w:szCs w:val="19"/>
                <w:lang w:val="en-US"/>
              </w:rPr>
            </w:pPr>
            <w:r w:rsidRPr="003C5BC1">
              <w:rPr>
                <w:rFonts w:cs="Arial"/>
                <w:szCs w:val="19"/>
                <w:lang w:val="en-US"/>
              </w:rPr>
              <w:t>Phenylketonuria in adults with phenylalanine hydroxylase</w:t>
            </w:r>
            <w:r>
              <w:rPr>
                <w:rFonts w:cs="Arial"/>
                <w:szCs w:val="19"/>
                <w:lang w:val="en-US"/>
              </w:rPr>
              <w:t xml:space="preserve"> </w:t>
            </w:r>
            <w:r w:rsidRPr="003C5BC1">
              <w:rPr>
                <w:rFonts w:cs="Arial"/>
                <w:szCs w:val="19"/>
                <w:lang w:val="en-US"/>
              </w:rPr>
              <w:t>deficiency</w:t>
            </w:r>
            <w:r>
              <w:rPr>
                <w:rFonts w:cs="Arial"/>
                <w:szCs w:val="19"/>
                <w:lang w:val="en-US"/>
              </w:rPr>
              <w:t xml:space="preserve"> – development discontinued (company decision)</w:t>
            </w:r>
          </w:p>
        </w:tc>
      </w:tr>
      <w:tr w:rsidR="00911466" w14:paraId="371DAA56" w14:textId="77777777" w:rsidTr="0016265D">
        <w:tc>
          <w:tcPr>
            <w:tcW w:w="1360" w:type="pct"/>
            <w:gridSpan w:val="3"/>
            <w:shd w:val="clear" w:color="auto" w:fill="auto"/>
            <w:tcMar>
              <w:top w:w="57" w:type="dxa"/>
              <w:bottom w:w="57" w:type="dxa"/>
            </w:tcMar>
          </w:tcPr>
          <w:p w14:paraId="785D8904" w14:textId="77777777" w:rsidR="00911466" w:rsidRPr="00067CE4" w:rsidRDefault="00911466" w:rsidP="00911466">
            <w:pPr>
              <w:rPr>
                <w:rFonts w:cs="Arial"/>
                <w:szCs w:val="19"/>
              </w:rPr>
            </w:pPr>
            <w:proofErr w:type="spellStart"/>
            <w:r w:rsidRPr="00F54934">
              <w:rPr>
                <w:rFonts w:cs="Arial"/>
                <w:szCs w:val="19"/>
              </w:rPr>
              <w:t>Ganaxolone</w:t>
            </w:r>
            <w:proofErr w:type="spellEnd"/>
            <w:r>
              <w:rPr>
                <w:rFonts w:cs="Arial"/>
                <w:szCs w:val="19"/>
              </w:rPr>
              <w:t xml:space="preserve"> (</w:t>
            </w:r>
            <w:proofErr w:type="spellStart"/>
            <w:r>
              <w:rPr>
                <w:rFonts w:cs="Arial"/>
                <w:i/>
                <w:iCs/>
                <w:szCs w:val="19"/>
              </w:rPr>
              <w:t>Ztalmy</w:t>
            </w:r>
            <w:proofErr w:type="spellEnd"/>
            <w:r>
              <w:rPr>
                <w:rFonts w:cs="Arial"/>
                <w:szCs w:val="19"/>
              </w:rPr>
              <w:t>)</w:t>
            </w:r>
          </w:p>
        </w:tc>
        <w:tc>
          <w:tcPr>
            <w:tcW w:w="3640" w:type="pct"/>
            <w:shd w:val="clear" w:color="auto" w:fill="auto"/>
            <w:tcMar>
              <w:top w:w="57" w:type="dxa"/>
              <w:bottom w:w="57" w:type="dxa"/>
            </w:tcMar>
          </w:tcPr>
          <w:p w14:paraId="375E48DA" w14:textId="77777777" w:rsidR="00911466" w:rsidRDefault="00911466" w:rsidP="00911466">
            <w:pPr>
              <w:tabs>
                <w:tab w:val="center" w:pos="3152"/>
              </w:tabs>
              <w:rPr>
                <w:rFonts w:cs="Arial"/>
                <w:szCs w:val="19"/>
                <w:lang w:val="en-US"/>
              </w:rPr>
            </w:pPr>
            <w:r w:rsidRPr="00F54934">
              <w:rPr>
                <w:rFonts w:cs="Arial"/>
                <w:szCs w:val="19"/>
                <w:lang w:val="en-US"/>
              </w:rPr>
              <w:t xml:space="preserve">Tuberous sclerosis complex </w:t>
            </w:r>
            <w:r w:rsidRPr="00F54934">
              <w:rPr>
                <w:rFonts w:cs="Arial"/>
                <w:szCs w:val="19"/>
                <w:lang w:val="en-US"/>
              </w:rPr>
              <w:tab/>
              <w:t xml:space="preserve">in adults and children aged </w:t>
            </w:r>
            <w:r>
              <w:rPr>
                <w:rFonts w:cs="Arial"/>
                <w:szCs w:val="19"/>
                <w:lang w:val="en-US"/>
              </w:rPr>
              <w:t>≥</w:t>
            </w:r>
            <w:r w:rsidRPr="00F54934">
              <w:rPr>
                <w:rFonts w:cs="Arial"/>
                <w:szCs w:val="19"/>
                <w:lang w:val="en-US"/>
              </w:rPr>
              <w:t>1 year</w:t>
            </w:r>
            <w:r>
              <w:rPr>
                <w:rFonts w:cs="Arial"/>
                <w:szCs w:val="19"/>
                <w:lang w:val="en-US"/>
              </w:rPr>
              <w:t>,</w:t>
            </w:r>
            <w:r w:rsidRPr="00F54934">
              <w:rPr>
                <w:rFonts w:cs="Arial"/>
                <w:szCs w:val="19"/>
                <w:lang w:val="en-US"/>
              </w:rPr>
              <w:t xml:space="preserve"> add-on therapy for inadequately controlled seizures</w:t>
            </w:r>
            <w:r>
              <w:rPr>
                <w:rFonts w:cs="Arial"/>
                <w:szCs w:val="19"/>
                <w:lang w:val="en-US"/>
              </w:rPr>
              <w:t xml:space="preserve"> – development discontinued (lack of efficacy)</w:t>
            </w:r>
          </w:p>
        </w:tc>
      </w:tr>
      <w:tr w:rsidR="00911466" w14:paraId="1F2EE8C4" w14:textId="77777777" w:rsidTr="0016265D">
        <w:tc>
          <w:tcPr>
            <w:tcW w:w="1360" w:type="pct"/>
            <w:gridSpan w:val="3"/>
            <w:shd w:val="clear" w:color="auto" w:fill="auto"/>
            <w:tcMar>
              <w:top w:w="57" w:type="dxa"/>
              <w:bottom w:w="57" w:type="dxa"/>
            </w:tcMar>
          </w:tcPr>
          <w:p w14:paraId="081C889A" w14:textId="77777777" w:rsidR="00911466" w:rsidRDefault="00911466" w:rsidP="00911466">
            <w:pPr>
              <w:rPr>
                <w:rFonts w:cs="Arial"/>
                <w:szCs w:val="19"/>
              </w:rPr>
            </w:pPr>
            <w:r w:rsidRPr="009F6FC5">
              <w:rPr>
                <w:rFonts w:cs="Arial"/>
                <w:szCs w:val="19"/>
              </w:rPr>
              <w:t>Cedazuridine + decitabine </w:t>
            </w:r>
          </w:p>
          <w:p w14:paraId="49B129E0" w14:textId="77777777" w:rsidR="00911466" w:rsidRPr="009F6FC5" w:rsidRDefault="00911466" w:rsidP="00911466">
            <w:pPr>
              <w:rPr>
                <w:rFonts w:cs="Arial"/>
                <w:szCs w:val="19"/>
              </w:rPr>
            </w:pPr>
            <w:r>
              <w:rPr>
                <w:rFonts w:cs="Arial"/>
                <w:szCs w:val="19"/>
              </w:rPr>
              <w:t>(</w:t>
            </w:r>
            <w:r>
              <w:rPr>
                <w:rFonts w:cs="Arial"/>
                <w:i/>
                <w:iCs/>
                <w:szCs w:val="19"/>
              </w:rPr>
              <w:t>Inaqovi</w:t>
            </w:r>
            <w:r>
              <w:rPr>
                <w:rFonts w:cs="Arial"/>
                <w:szCs w:val="19"/>
              </w:rPr>
              <w:t>)</w:t>
            </w:r>
          </w:p>
        </w:tc>
        <w:tc>
          <w:tcPr>
            <w:tcW w:w="3640" w:type="pct"/>
            <w:shd w:val="clear" w:color="auto" w:fill="auto"/>
            <w:tcMar>
              <w:top w:w="57" w:type="dxa"/>
              <w:bottom w:w="57" w:type="dxa"/>
            </w:tcMar>
          </w:tcPr>
          <w:p w14:paraId="2CA05D7A" w14:textId="7F44ED65" w:rsidR="00911466" w:rsidRPr="00C05FAF" w:rsidRDefault="009F53AD" w:rsidP="00911466">
            <w:pPr>
              <w:tabs>
                <w:tab w:val="center" w:pos="3152"/>
              </w:tabs>
              <w:rPr>
                <w:rFonts w:cs="Arial"/>
                <w:szCs w:val="19"/>
                <w:lang w:val="en-US"/>
              </w:rPr>
            </w:pPr>
            <w:r>
              <w:rPr>
                <w:rFonts w:cs="Arial"/>
                <w:szCs w:val="19"/>
                <w:lang w:val="en-US"/>
              </w:rPr>
              <w:t>H</w:t>
            </w:r>
            <w:r w:rsidR="00911466">
              <w:rPr>
                <w:rFonts w:cs="Arial"/>
                <w:szCs w:val="19"/>
                <w:lang w:val="en-US"/>
              </w:rPr>
              <w:t>igher risk</w:t>
            </w:r>
            <w:r w:rsidR="00911466" w:rsidRPr="009F6FC5">
              <w:rPr>
                <w:rFonts w:cs="Arial"/>
                <w:szCs w:val="19"/>
                <w:lang w:val="en-US"/>
              </w:rPr>
              <w:t xml:space="preserve"> myelodysplastic syndromes</w:t>
            </w:r>
            <w:r>
              <w:rPr>
                <w:rFonts w:cs="Arial"/>
                <w:szCs w:val="19"/>
                <w:lang w:val="en-US"/>
              </w:rPr>
              <w:t xml:space="preserve"> in adults</w:t>
            </w:r>
            <w:r w:rsidR="00911466">
              <w:rPr>
                <w:rFonts w:cs="Arial"/>
                <w:szCs w:val="19"/>
                <w:lang w:val="en-US"/>
              </w:rPr>
              <w:t xml:space="preserve"> – EU filing withdrawn</w:t>
            </w:r>
          </w:p>
        </w:tc>
      </w:tr>
      <w:tr w:rsidR="00911466" w14:paraId="6F10D4E9" w14:textId="77777777" w:rsidTr="0016265D">
        <w:tc>
          <w:tcPr>
            <w:tcW w:w="1360" w:type="pct"/>
            <w:gridSpan w:val="3"/>
            <w:shd w:val="clear" w:color="auto" w:fill="auto"/>
            <w:tcMar>
              <w:top w:w="57" w:type="dxa"/>
              <w:bottom w:w="57" w:type="dxa"/>
            </w:tcMar>
          </w:tcPr>
          <w:p w14:paraId="65A459B4" w14:textId="77777777" w:rsidR="00911466" w:rsidRDefault="00911466" w:rsidP="00911466">
            <w:pPr>
              <w:rPr>
                <w:rFonts w:cs="Arial"/>
                <w:szCs w:val="19"/>
              </w:rPr>
            </w:pPr>
            <w:proofErr w:type="spellStart"/>
            <w:r w:rsidRPr="006E6EDC">
              <w:rPr>
                <w:rFonts w:cs="Arial"/>
                <w:szCs w:val="19"/>
              </w:rPr>
              <w:t>Dianhydrogalactitol</w:t>
            </w:r>
            <w:proofErr w:type="spellEnd"/>
            <w:r>
              <w:rPr>
                <w:rFonts w:cs="Arial"/>
                <w:szCs w:val="19"/>
              </w:rPr>
              <w:t xml:space="preserve"> </w:t>
            </w:r>
          </w:p>
        </w:tc>
        <w:tc>
          <w:tcPr>
            <w:tcW w:w="3640" w:type="pct"/>
            <w:shd w:val="clear" w:color="auto" w:fill="auto"/>
            <w:tcMar>
              <w:top w:w="57" w:type="dxa"/>
              <w:bottom w:w="57" w:type="dxa"/>
            </w:tcMar>
          </w:tcPr>
          <w:p w14:paraId="6D123890" w14:textId="77777777" w:rsidR="00911466" w:rsidRDefault="00911466" w:rsidP="00911466">
            <w:pPr>
              <w:tabs>
                <w:tab w:val="center" w:pos="3152"/>
              </w:tabs>
              <w:rPr>
                <w:rFonts w:cs="Arial"/>
                <w:szCs w:val="19"/>
                <w:lang w:val="en-US"/>
              </w:rPr>
            </w:pPr>
            <w:r>
              <w:rPr>
                <w:rFonts w:cs="Arial"/>
                <w:szCs w:val="19"/>
                <w:lang w:val="en-US"/>
              </w:rPr>
              <w:t>N</w:t>
            </w:r>
            <w:r w:rsidRPr="006E6EDC">
              <w:rPr>
                <w:rFonts w:cs="Arial"/>
                <w:szCs w:val="19"/>
                <w:lang w:val="en-US"/>
              </w:rPr>
              <w:t>ewly diagnosed or recurrent, MGMT-methylated or unmethylated</w:t>
            </w:r>
            <w:r>
              <w:rPr>
                <w:rFonts w:cs="Arial"/>
                <w:szCs w:val="19"/>
                <w:lang w:val="en-US"/>
              </w:rPr>
              <w:t xml:space="preserve"> g</w:t>
            </w:r>
            <w:r w:rsidRPr="006E6EDC">
              <w:rPr>
                <w:rFonts w:cs="Arial"/>
                <w:szCs w:val="19"/>
                <w:lang w:val="en-US"/>
              </w:rPr>
              <w:t>lioblastoma in adults</w:t>
            </w:r>
            <w:r>
              <w:rPr>
                <w:rFonts w:cs="Arial"/>
                <w:szCs w:val="19"/>
                <w:lang w:val="en-US"/>
              </w:rPr>
              <w:t xml:space="preserve"> – development discontinued (lack of efficacy)</w:t>
            </w:r>
          </w:p>
        </w:tc>
      </w:tr>
      <w:tr w:rsidR="00911466" w14:paraId="4C312A41" w14:textId="77777777" w:rsidTr="0016265D">
        <w:tc>
          <w:tcPr>
            <w:tcW w:w="1360" w:type="pct"/>
            <w:gridSpan w:val="3"/>
            <w:shd w:val="clear" w:color="auto" w:fill="auto"/>
            <w:tcMar>
              <w:top w:w="57" w:type="dxa"/>
              <w:bottom w:w="57" w:type="dxa"/>
            </w:tcMar>
          </w:tcPr>
          <w:p w14:paraId="73C4DE5C" w14:textId="77777777" w:rsidR="00911466" w:rsidRPr="00CF647F" w:rsidRDefault="00911466" w:rsidP="00911466">
            <w:pPr>
              <w:rPr>
                <w:rFonts w:cs="Arial"/>
                <w:szCs w:val="19"/>
              </w:rPr>
            </w:pPr>
            <w:r w:rsidRPr="00CF647F">
              <w:rPr>
                <w:rFonts w:cs="Arial"/>
                <w:szCs w:val="19"/>
              </w:rPr>
              <w:t>Human allogeneic liver-derived progenitor cells </w:t>
            </w:r>
            <w:r>
              <w:rPr>
                <w:rFonts w:cs="Arial"/>
                <w:szCs w:val="19"/>
              </w:rPr>
              <w:t>(</w:t>
            </w:r>
            <w:proofErr w:type="spellStart"/>
            <w:r>
              <w:rPr>
                <w:rFonts w:cs="Arial"/>
                <w:i/>
                <w:iCs/>
                <w:szCs w:val="19"/>
              </w:rPr>
              <w:t>HepaStem</w:t>
            </w:r>
            <w:proofErr w:type="spellEnd"/>
            <w:r>
              <w:rPr>
                <w:rFonts w:cs="Arial"/>
                <w:szCs w:val="19"/>
              </w:rPr>
              <w:t>)</w:t>
            </w:r>
          </w:p>
        </w:tc>
        <w:tc>
          <w:tcPr>
            <w:tcW w:w="3640" w:type="pct"/>
            <w:shd w:val="clear" w:color="auto" w:fill="auto"/>
            <w:tcMar>
              <w:top w:w="57" w:type="dxa"/>
              <w:bottom w:w="57" w:type="dxa"/>
            </w:tcMar>
          </w:tcPr>
          <w:p w14:paraId="62936907" w14:textId="77777777" w:rsidR="00911466" w:rsidRPr="00605F83" w:rsidRDefault="00911466" w:rsidP="00911466">
            <w:pPr>
              <w:tabs>
                <w:tab w:val="center" w:pos="3152"/>
              </w:tabs>
              <w:rPr>
                <w:rFonts w:cs="Arial"/>
                <w:szCs w:val="19"/>
                <w:lang w:val="en-US"/>
              </w:rPr>
            </w:pPr>
            <w:r>
              <w:rPr>
                <w:rFonts w:cs="Arial"/>
                <w:szCs w:val="19"/>
                <w:lang w:val="en-US"/>
              </w:rPr>
              <w:t>A</w:t>
            </w:r>
            <w:r w:rsidRPr="00CF647F">
              <w:rPr>
                <w:rFonts w:cs="Arial"/>
                <w:szCs w:val="19"/>
                <w:lang w:val="en-US"/>
              </w:rPr>
              <w:t>cute-on-chronic</w:t>
            </w:r>
            <w:r>
              <w:rPr>
                <w:rFonts w:cs="Arial"/>
                <w:szCs w:val="19"/>
                <w:lang w:val="en-US"/>
              </w:rPr>
              <w:t xml:space="preserve"> l</w:t>
            </w:r>
            <w:r w:rsidRPr="00CF647F">
              <w:rPr>
                <w:rFonts w:cs="Arial"/>
                <w:szCs w:val="19"/>
                <w:lang w:val="en-US"/>
              </w:rPr>
              <w:t>iver failure in adults</w:t>
            </w:r>
            <w:r>
              <w:rPr>
                <w:rFonts w:cs="Arial"/>
                <w:szCs w:val="19"/>
                <w:lang w:val="en-US"/>
              </w:rPr>
              <w:t xml:space="preserve"> – development discontinued (lack of efficacy)</w:t>
            </w:r>
          </w:p>
        </w:tc>
      </w:tr>
      <w:tr w:rsidR="00911466" w14:paraId="6C9E180D" w14:textId="77777777" w:rsidTr="0016265D">
        <w:tc>
          <w:tcPr>
            <w:tcW w:w="1360" w:type="pct"/>
            <w:gridSpan w:val="3"/>
            <w:shd w:val="clear" w:color="auto" w:fill="auto"/>
            <w:tcMar>
              <w:top w:w="57" w:type="dxa"/>
              <w:bottom w:w="57" w:type="dxa"/>
            </w:tcMar>
          </w:tcPr>
          <w:p w14:paraId="152ECAFE" w14:textId="77777777" w:rsidR="00911466" w:rsidRDefault="00911466" w:rsidP="00911466">
            <w:pPr>
              <w:rPr>
                <w:rFonts w:cs="Arial"/>
                <w:szCs w:val="19"/>
              </w:rPr>
            </w:pPr>
            <w:proofErr w:type="spellStart"/>
            <w:r>
              <w:rPr>
                <w:rFonts w:cs="Arial"/>
                <w:szCs w:val="19"/>
              </w:rPr>
              <w:t>Losmapimod</w:t>
            </w:r>
            <w:proofErr w:type="spellEnd"/>
            <w:r>
              <w:rPr>
                <w:rFonts w:cs="Arial"/>
                <w:szCs w:val="19"/>
              </w:rPr>
              <w:t xml:space="preserve"> </w:t>
            </w:r>
          </w:p>
        </w:tc>
        <w:tc>
          <w:tcPr>
            <w:tcW w:w="3640" w:type="pct"/>
            <w:shd w:val="clear" w:color="auto" w:fill="auto"/>
            <w:tcMar>
              <w:top w:w="57" w:type="dxa"/>
              <w:bottom w:w="57" w:type="dxa"/>
            </w:tcMar>
          </w:tcPr>
          <w:p w14:paraId="3F2E41C6" w14:textId="77777777" w:rsidR="00911466" w:rsidRDefault="00911466" w:rsidP="00911466">
            <w:pPr>
              <w:tabs>
                <w:tab w:val="center" w:pos="3152"/>
              </w:tabs>
              <w:rPr>
                <w:rFonts w:cs="Arial"/>
                <w:szCs w:val="19"/>
                <w:lang w:val="en-US"/>
              </w:rPr>
            </w:pPr>
            <w:r w:rsidRPr="00605F83">
              <w:rPr>
                <w:rFonts w:cs="Arial"/>
                <w:szCs w:val="19"/>
                <w:lang w:val="en-US"/>
              </w:rPr>
              <w:t xml:space="preserve">Facioscapulohumeral </w:t>
            </w:r>
            <w:r>
              <w:rPr>
                <w:rFonts w:cs="Arial"/>
                <w:szCs w:val="19"/>
                <w:lang w:val="en-US"/>
              </w:rPr>
              <w:t>m</w:t>
            </w:r>
            <w:r w:rsidRPr="00605F83">
              <w:rPr>
                <w:rFonts w:cs="Arial"/>
                <w:szCs w:val="19"/>
                <w:lang w:val="en-US"/>
              </w:rPr>
              <w:t xml:space="preserve">uscular dystrophy </w:t>
            </w:r>
            <w:r>
              <w:rPr>
                <w:rFonts w:cs="Arial"/>
                <w:szCs w:val="19"/>
                <w:lang w:val="en-US"/>
              </w:rPr>
              <w:t>– development discontinued (lack of efficacy)</w:t>
            </w:r>
          </w:p>
        </w:tc>
      </w:tr>
      <w:tr w:rsidR="00911466" w14:paraId="0D2EE454" w14:textId="77777777" w:rsidTr="0016265D">
        <w:tc>
          <w:tcPr>
            <w:tcW w:w="1360" w:type="pct"/>
            <w:gridSpan w:val="3"/>
            <w:shd w:val="clear" w:color="auto" w:fill="auto"/>
            <w:tcMar>
              <w:top w:w="57" w:type="dxa"/>
              <w:bottom w:w="57" w:type="dxa"/>
            </w:tcMar>
          </w:tcPr>
          <w:p w14:paraId="080DA3BC" w14:textId="77777777" w:rsidR="00911466" w:rsidRDefault="00911466" w:rsidP="00911466">
            <w:pPr>
              <w:rPr>
                <w:rFonts w:cs="Arial"/>
                <w:szCs w:val="19"/>
              </w:rPr>
            </w:pPr>
            <w:r>
              <w:rPr>
                <w:rFonts w:cs="Arial"/>
                <w:szCs w:val="19"/>
              </w:rPr>
              <w:t>SGT-001</w:t>
            </w:r>
          </w:p>
        </w:tc>
        <w:tc>
          <w:tcPr>
            <w:tcW w:w="3640" w:type="pct"/>
            <w:shd w:val="clear" w:color="auto" w:fill="auto"/>
            <w:tcMar>
              <w:top w:w="57" w:type="dxa"/>
              <w:bottom w:w="57" w:type="dxa"/>
            </w:tcMar>
          </w:tcPr>
          <w:p w14:paraId="0E4F2443" w14:textId="77777777" w:rsidR="00911466" w:rsidRPr="00D129EE" w:rsidRDefault="00911466" w:rsidP="00911466">
            <w:pPr>
              <w:tabs>
                <w:tab w:val="center" w:pos="3152"/>
              </w:tabs>
              <w:rPr>
                <w:rFonts w:cs="Arial"/>
                <w:szCs w:val="19"/>
                <w:lang w:val="en-US"/>
              </w:rPr>
            </w:pPr>
            <w:r w:rsidRPr="00FF712C">
              <w:rPr>
                <w:rFonts w:cs="Arial"/>
                <w:szCs w:val="19"/>
                <w:lang w:val="en-US"/>
              </w:rPr>
              <w:t xml:space="preserve">Duchenne muscular dystrophy </w:t>
            </w:r>
            <w:r w:rsidRPr="00FF712C">
              <w:rPr>
                <w:rFonts w:cs="Arial"/>
                <w:szCs w:val="19"/>
                <w:lang w:val="en-US"/>
              </w:rPr>
              <w:tab/>
              <w:t>in children aged 4 to 17 years</w:t>
            </w:r>
            <w:r>
              <w:rPr>
                <w:rFonts w:cs="Arial"/>
                <w:szCs w:val="19"/>
                <w:lang w:val="en-US"/>
              </w:rPr>
              <w:t xml:space="preserve"> – development discontinued (company decision)</w:t>
            </w:r>
          </w:p>
        </w:tc>
      </w:tr>
      <w:tr w:rsidR="00911466" w14:paraId="15E6FEC5" w14:textId="77777777" w:rsidTr="0016265D">
        <w:tc>
          <w:tcPr>
            <w:tcW w:w="1360" w:type="pct"/>
            <w:gridSpan w:val="3"/>
            <w:shd w:val="clear" w:color="auto" w:fill="auto"/>
            <w:tcMar>
              <w:top w:w="57" w:type="dxa"/>
              <w:bottom w:w="57" w:type="dxa"/>
            </w:tcMar>
          </w:tcPr>
          <w:p w14:paraId="5AFA10A7" w14:textId="77777777" w:rsidR="00911466" w:rsidRPr="00672A42" w:rsidRDefault="00911466" w:rsidP="00911466">
            <w:pPr>
              <w:rPr>
                <w:rFonts w:cs="Arial"/>
                <w:szCs w:val="19"/>
              </w:rPr>
            </w:pPr>
            <w:r>
              <w:rPr>
                <w:rFonts w:cs="Arial"/>
                <w:szCs w:val="19"/>
              </w:rPr>
              <w:t>TG6002</w:t>
            </w:r>
          </w:p>
        </w:tc>
        <w:tc>
          <w:tcPr>
            <w:tcW w:w="3640" w:type="pct"/>
            <w:shd w:val="clear" w:color="auto" w:fill="auto"/>
            <w:tcMar>
              <w:top w:w="57" w:type="dxa"/>
              <w:bottom w:w="57" w:type="dxa"/>
            </w:tcMar>
          </w:tcPr>
          <w:p w14:paraId="465DC1F7" w14:textId="77777777" w:rsidR="00911466" w:rsidRDefault="00911466" w:rsidP="00911466">
            <w:pPr>
              <w:tabs>
                <w:tab w:val="center" w:pos="3152"/>
              </w:tabs>
              <w:rPr>
                <w:rFonts w:cs="Arial"/>
                <w:szCs w:val="19"/>
                <w:lang w:val="en-US"/>
              </w:rPr>
            </w:pPr>
            <w:r w:rsidRPr="00D129EE">
              <w:rPr>
                <w:rFonts w:cs="Arial"/>
                <w:szCs w:val="19"/>
                <w:lang w:val="en-US"/>
              </w:rPr>
              <w:t xml:space="preserve">Colorectal cancer </w:t>
            </w:r>
            <w:r w:rsidRPr="00D129EE">
              <w:rPr>
                <w:rFonts w:cs="Arial"/>
                <w:szCs w:val="19"/>
                <w:lang w:val="en-US"/>
              </w:rPr>
              <w:tab/>
              <w:t>in adults with unresectable metastases</w:t>
            </w:r>
            <w:r>
              <w:rPr>
                <w:rFonts w:cs="Arial"/>
                <w:szCs w:val="19"/>
                <w:lang w:val="en-US"/>
              </w:rPr>
              <w:t xml:space="preserve"> – development discontinued (company decision)</w:t>
            </w:r>
          </w:p>
        </w:tc>
      </w:tr>
      <w:tr w:rsidR="00911466" w14:paraId="4E79BBCE" w14:textId="77777777" w:rsidTr="0016265D">
        <w:tc>
          <w:tcPr>
            <w:tcW w:w="1360" w:type="pct"/>
            <w:gridSpan w:val="3"/>
            <w:shd w:val="clear" w:color="auto" w:fill="auto"/>
            <w:tcMar>
              <w:top w:w="57" w:type="dxa"/>
              <w:bottom w:w="57" w:type="dxa"/>
            </w:tcMar>
          </w:tcPr>
          <w:p w14:paraId="59C87D78" w14:textId="77777777" w:rsidR="00911466" w:rsidRPr="00660B05" w:rsidRDefault="00911466" w:rsidP="00911466">
            <w:pPr>
              <w:rPr>
                <w:rFonts w:cs="Arial"/>
                <w:szCs w:val="19"/>
              </w:rPr>
            </w:pPr>
            <w:proofErr w:type="spellStart"/>
            <w:r w:rsidRPr="00296BFB">
              <w:rPr>
                <w:rFonts w:cs="Arial"/>
                <w:szCs w:val="19"/>
              </w:rPr>
              <w:t>Vesleteplirsen</w:t>
            </w:r>
            <w:proofErr w:type="spellEnd"/>
            <w:r>
              <w:rPr>
                <w:rFonts w:cs="Arial"/>
                <w:szCs w:val="19"/>
              </w:rPr>
              <w:t xml:space="preserve"> </w:t>
            </w:r>
          </w:p>
        </w:tc>
        <w:tc>
          <w:tcPr>
            <w:tcW w:w="3640" w:type="pct"/>
            <w:shd w:val="clear" w:color="auto" w:fill="auto"/>
            <w:tcMar>
              <w:top w:w="57" w:type="dxa"/>
              <w:bottom w:w="57" w:type="dxa"/>
            </w:tcMar>
          </w:tcPr>
          <w:p w14:paraId="7B823D61" w14:textId="77777777" w:rsidR="00911466" w:rsidRPr="008E641A" w:rsidRDefault="00911466" w:rsidP="00911466">
            <w:pPr>
              <w:tabs>
                <w:tab w:val="center" w:pos="3152"/>
              </w:tabs>
              <w:rPr>
                <w:rFonts w:cs="Arial"/>
                <w:szCs w:val="19"/>
                <w:lang w:val="en-US"/>
              </w:rPr>
            </w:pPr>
            <w:r w:rsidRPr="00296BFB">
              <w:rPr>
                <w:rFonts w:cs="Arial"/>
                <w:szCs w:val="19"/>
                <w:lang w:val="en-US"/>
              </w:rPr>
              <w:t xml:space="preserve">Duchenne muscular dystrophy </w:t>
            </w:r>
            <w:r w:rsidRPr="00296BFB">
              <w:rPr>
                <w:rFonts w:cs="Arial"/>
                <w:szCs w:val="19"/>
                <w:lang w:val="en-US"/>
              </w:rPr>
              <w:tab/>
              <w:t>in patients amenable to exon 51 skipping aged 7 to 21 years</w:t>
            </w:r>
            <w:r>
              <w:rPr>
                <w:rFonts w:cs="Arial"/>
                <w:szCs w:val="19"/>
                <w:lang w:val="en-US"/>
              </w:rPr>
              <w:t xml:space="preserve"> – development discontinued (company decision)</w:t>
            </w:r>
          </w:p>
        </w:tc>
      </w:tr>
      <w:tr w:rsidR="00911466" w14:paraId="6D5C2927" w14:textId="77777777" w:rsidTr="0016265D">
        <w:tc>
          <w:tcPr>
            <w:tcW w:w="1360" w:type="pct"/>
            <w:gridSpan w:val="3"/>
            <w:shd w:val="clear" w:color="auto" w:fill="auto"/>
            <w:tcMar>
              <w:top w:w="57" w:type="dxa"/>
              <w:bottom w:w="57" w:type="dxa"/>
            </w:tcMar>
          </w:tcPr>
          <w:p w14:paraId="2F26BA8F" w14:textId="77777777" w:rsidR="00911466" w:rsidRPr="008D37DE" w:rsidRDefault="00911466" w:rsidP="00911466">
            <w:pPr>
              <w:rPr>
                <w:rFonts w:cs="Arial"/>
                <w:szCs w:val="19"/>
              </w:rPr>
            </w:pPr>
            <w:proofErr w:type="spellStart"/>
            <w:r w:rsidRPr="008D37DE">
              <w:rPr>
                <w:rFonts w:cs="Arial"/>
                <w:szCs w:val="19"/>
              </w:rPr>
              <w:t>Zuranolone</w:t>
            </w:r>
            <w:proofErr w:type="spellEnd"/>
            <w:r>
              <w:rPr>
                <w:rFonts w:cs="Arial"/>
                <w:szCs w:val="19"/>
              </w:rPr>
              <w:t xml:space="preserve"> (</w:t>
            </w:r>
            <w:proofErr w:type="spellStart"/>
            <w:r>
              <w:rPr>
                <w:rFonts w:cs="Arial"/>
                <w:i/>
                <w:iCs/>
                <w:szCs w:val="19"/>
              </w:rPr>
              <w:t>Zurzuvae</w:t>
            </w:r>
            <w:proofErr w:type="spellEnd"/>
            <w:r>
              <w:rPr>
                <w:rFonts w:cs="Arial"/>
                <w:szCs w:val="19"/>
              </w:rPr>
              <w:t>)</w:t>
            </w:r>
          </w:p>
        </w:tc>
        <w:tc>
          <w:tcPr>
            <w:tcW w:w="3640" w:type="pct"/>
            <w:shd w:val="clear" w:color="auto" w:fill="auto"/>
            <w:tcMar>
              <w:top w:w="57" w:type="dxa"/>
              <w:bottom w:w="57" w:type="dxa"/>
            </w:tcMar>
          </w:tcPr>
          <w:p w14:paraId="7BCFC8ED" w14:textId="77777777" w:rsidR="00911466" w:rsidRDefault="00911466" w:rsidP="00911466">
            <w:pPr>
              <w:tabs>
                <w:tab w:val="center" w:pos="3152"/>
              </w:tabs>
              <w:rPr>
                <w:rFonts w:cs="Arial"/>
                <w:szCs w:val="19"/>
                <w:lang w:val="en-US"/>
              </w:rPr>
            </w:pPr>
            <w:r>
              <w:rPr>
                <w:rFonts w:cs="Arial"/>
                <w:szCs w:val="19"/>
                <w:lang w:val="en-US"/>
              </w:rPr>
              <w:t>Major d</w:t>
            </w:r>
            <w:r w:rsidRPr="008D37DE">
              <w:rPr>
                <w:rFonts w:cs="Arial"/>
                <w:szCs w:val="19"/>
                <w:lang w:val="en-US"/>
              </w:rPr>
              <w:t>epressive disorder in adults</w:t>
            </w:r>
            <w:r>
              <w:rPr>
                <w:rFonts w:cs="Arial"/>
                <w:szCs w:val="19"/>
                <w:lang w:val="en-US"/>
              </w:rPr>
              <w:t xml:space="preserve"> – development discontinued (company decision)</w:t>
            </w:r>
          </w:p>
        </w:tc>
      </w:tr>
      <w:tr w:rsidR="00911466" w:rsidRPr="000F19E1" w14:paraId="7ED16258" w14:textId="77777777" w:rsidTr="0016265D">
        <w:tc>
          <w:tcPr>
            <w:tcW w:w="1360" w:type="pct"/>
            <w:gridSpan w:val="3"/>
            <w:shd w:val="clear" w:color="auto" w:fill="auto"/>
            <w:tcMar>
              <w:top w:w="0" w:type="dxa"/>
              <w:bottom w:w="0" w:type="dxa"/>
            </w:tcMar>
          </w:tcPr>
          <w:p w14:paraId="03A39D28" w14:textId="77777777" w:rsidR="00911466" w:rsidRPr="000F19E1" w:rsidRDefault="00911466" w:rsidP="00911466">
            <w:pPr>
              <w:rPr>
                <w:rFonts w:cs="Arial"/>
                <w:bCs/>
                <w:sz w:val="8"/>
                <w:szCs w:val="8"/>
              </w:rPr>
            </w:pPr>
          </w:p>
        </w:tc>
        <w:tc>
          <w:tcPr>
            <w:tcW w:w="3640" w:type="pct"/>
            <w:shd w:val="clear" w:color="auto" w:fill="auto"/>
            <w:tcMar>
              <w:top w:w="0" w:type="dxa"/>
              <w:bottom w:w="0" w:type="dxa"/>
            </w:tcMar>
          </w:tcPr>
          <w:p w14:paraId="36D0AEDF" w14:textId="77777777" w:rsidR="00911466" w:rsidRPr="000F19E1" w:rsidRDefault="00911466" w:rsidP="00911466">
            <w:pPr>
              <w:tabs>
                <w:tab w:val="center" w:pos="3152"/>
              </w:tabs>
              <w:rPr>
                <w:rFonts w:cs="Arial"/>
                <w:sz w:val="8"/>
                <w:szCs w:val="8"/>
                <w:lang w:val="en-US"/>
              </w:rPr>
            </w:pPr>
          </w:p>
        </w:tc>
      </w:tr>
      <w:tr w:rsidR="00911466" w:rsidRPr="000F19E1" w14:paraId="3B755F6D" w14:textId="77777777" w:rsidTr="0016265D">
        <w:tc>
          <w:tcPr>
            <w:tcW w:w="1355" w:type="pct"/>
            <w:gridSpan w:val="2"/>
            <w:shd w:val="clear" w:color="auto" w:fill="DAEEF3"/>
            <w:tcMar>
              <w:top w:w="0" w:type="dxa"/>
              <w:bottom w:w="0" w:type="dxa"/>
            </w:tcMar>
          </w:tcPr>
          <w:p w14:paraId="41B6D928" w14:textId="77777777" w:rsidR="00911466" w:rsidRPr="000F19E1" w:rsidRDefault="00911466" w:rsidP="00911466">
            <w:pPr>
              <w:rPr>
                <w:rFonts w:cs="Arial"/>
                <w:bCs/>
                <w:sz w:val="8"/>
                <w:szCs w:val="8"/>
              </w:rPr>
            </w:pPr>
          </w:p>
        </w:tc>
        <w:tc>
          <w:tcPr>
            <w:tcW w:w="3645" w:type="pct"/>
            <w:gridSpan w:val="2"/>
            <w:shd w:val="clear" w:color="auto" w:fill="DAEEF3"/>
            <w:tcMar>
              <w:top w:w="0" w:type="dxa"/>
              <w:bottom w:w="0" w:type="dxa"/>
            </w:tcMar>
          </w:tcPr>
          <w:p w14:paraId="1EB5B1DE" w14:textId="77777777" w:rsidR="00911466" w:rsidRPr="000F19E1" w:rsidRDefault="00911466" w:rsidP="00911466">
            <w:pPr>
              <w:tabs>
                <w:tab w:val="center" w:pos="3152"/>
              </w:tabs>
              <w:rPr>
                <w:rFonts w:cs="Arial"/>
                <w:sz w:val="8"/>
                <w:szCs w:val="8"/>
                <w:lang w:val="en-US"/>
              </w:rPr>
            </w:pPr>
          </w:p>
        </w:tc>
      </w:tr>
    </w:tbl>
    <w:p w14:paraId="1A27580B" w14:textId="77777777" w:rsidR="00AE7363" w:rsidRPr="008949EF" w:rsidRDefault="00AE7363" w:rsidP="003D16EF">
      <w:pPr>
        <w:rPr>
          <w:sz w:val="8"/>
          <w:szCs w:val="8"/>
        </w:rPr>
      </w:pPr>
    </w:p>
    <w:sectPr w:rsidR="00AE7363" w:rsidRPr="008949EF" w:rsidSect="00F566AB">
      <w:headerReference w:type="even" r:id="rId15"/>
      <w:headerReference w:type="default" r:id="rId16"/>
      <w:footerReference w:type="default" r:id="rId17"/>
      <w:headerReference w:type="first" r:id="rId18"/>
      <w:type w:val="evenPage"/>
      <w:pgSz w:w="11906" w:h="16838" w:code="9"/>
      <w:pgMar w:top="1021" w:right="851" w:bottom="102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8C27" w14:textId="77777777" w:rsidR="00C179FB" w:rsidRDefault="00C179FB">
      <w:r>
        <w:separator/>
      </w:r>
    </w:p>
  </w:endnote>
  <w:endnote w:type="continuationSeparator" w:id="0">
    <w:p w14:paraId="072681A6" w14:textId="77777777" w:rsidR="00C179FB" w:rsidRDefault="00C1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303" w:type="dxa"/>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0980"/>
    </w:tblGrid>
    <w:tr w:rsidR="000D44DB" w:rsidRPr="00710A1C" w14:paraId="0DBDE7E3" w14:textId="77777777">
      <w:tc>
        <w:tcPr>
          <w:tcW w:w="10980" w:type="dxa"/>
          <w:shd w:val="clear" w:color="auto" w:fill="3366FF"/>
          <w:tcMar>
            <w:top w:w="28" w:type="dxa"/>
            <w:left w:w="57" w:type="dxa"/>
            <w:bottom w:w="28" w:type="dxa"/>
            <w:right w:w="57" w:type="dxa"/>
          </w:tcMar>
        </w:tcPr>
        <w:p w14:paraId="050E396E" w14:textId="77777777" w:rsidR="000D44DB" w:rsidRPr="00710A1C" w:rsidRDefault="000D44DB" w:rsidP="00710A1C">
          <w:pPr>
            <w:spacing w:before="60" w:after="60"/>
            <w:ind w:right="57"/>
            <w:rPr>
              <w:rFonts w:ascii="Verdana" w:hAnsi="Verdana" w:cs="Arial"/>
              <w:b/>
              <w:bCs/>
              <w:color w:val="000080"/>
              <w:sz w:val="15"/>
              <w:szCs w:val="15"/>
              <w:lang w:val="en-US"/>
            </w:rPr>
          </w:pPr>
          <w:r w:rsidRPr="00710A1C">
            <w:rPr>
              <w:rFonts w:ascii="Verdana" w:hAnsi="Verdana" w:cs="Arial"/>
              <w:b/>
              <w:bCs/>
              <w:color w:val="FFFFFF"/>
              <w:sz w:val="15"/>
              <w:szCs w:val="15"/>
              <w:lang w:val="en-US"/>
            </w:rPr>
            <w:t xml:space="preserve">If you do not wish to continue receiving NDO </w:t>
          </w:r>
          <w:r w:rsidRPr="00710A1C">
            <w:rPr>
              <w:rFonts w:ascii="Verdana" w:hAnsi="Verdana" w:cs="Arial"/>
              <w:b/>
              <w:bCs/>
              <w:i/>
              <w:color w:val="FFFFFF"/>
              <w:sz w:val="15"/>
              <w:szCs w:val="15"/>
              <w:lang w:val="en-US"/>
            </w:rPr>
            <w:t>Newsletter</w:t>
          </w:r>
          <w:r w:rsidRPr="00710A1C">
            <w:rPr>
              <w:rFonts w:ascii="Verdana" w:hAnsi="Verdana" w:cs="Arial"/>
              <w:b/>
              <w:bCs/>
              <w:color w:val="FFFFFF"/>
              <w:sz w:val="15"/>
              <w:szCs w:val="15"/>
              <w:lang w:val="en-US"/>
            </w:rPr>
            <w:t xml:space="preserve"> log in and update your profile at </w:t>
          </w:r>
          <w:hyperlink r:id="rId1" w:history="1">
            <w:r w:rsidRPr="00710A1C">
              <w:rPr>
                <w:rStyle w:val="Hyperlink"/>
                <w:rFonts w:cs="Arial"/>
                <w:b/>
                <w:bCs/>
                <w:color w:val="FFFFFF"/>
                <w:sz w:val="15"/>
                <w:szCs w:val="15"/>
                <w:lang w:val="en-US"/>
              </w:rPr>
              <w:t>www.ukmi.nhs.uk/ndo</w:t>
            </w:r>
          </w:hyperlink>
        </w:p>
      </w:tc>
    </w:tr>
    <w:tr w:rsidR="000D44DB" w14:paraId="41CA9FC8" w14:textId="77777777">
      <w:tc>
        <w:tcPr>
          <w:tcW w:w="10980" w:type="dxa"/>
          <w:shd w:val="clear" w:color="auto" w:fill="auto"/>
          <w:tcMar>
            <w:left w:w="28" w:type="dxa"/>
            <w:right w:w="28" w:type="dxa"/>
          </w:tcMar>
        </w:tcPr>
        <w:p w14:paraId="4975A869" w14:textId="77777777" w:rsidR="000D44DB" w:rsidRPr="00710A1C" w:rsidRDefault="000D44DB" w:rsidP="00710A1C">
          <w:pPr>
            <w:spacing w:before="120" w:after="60"/>
            <w:ind w:left="57" w:right="57"/>
            <w:rPr>
              <w:sz w:val="15"/>
              <w:szCs w:val="15"/>
            </w:rPr>
          </w:pPr>
          <w:r w:rsidRPr="00710A1C">
            <w:rPr>
              <w:rFonts w:ascii="Verdana" w:hAnsi="Verdana" w:cs="Arial"/>
              <w:b/>
              <w:bCs/>
              <w:color w:val="333399"/>
              <w:sz w:val="15"/>
              <w:szCs w:val="15"/>
              <w:lang w:val="en-US"/>
            </w:rPr>
            <w:t>In September 2011</w:t>
          </w:r>
          <w:r w:rsidRPr="00710A1C">
            <w:rPr>
              <w:rFonts w:ascii="Verdana" w:hAnsi="Verdana" w:cs="Arial"/>
              <w:bCs/>
              <w:color w:val="000000"/>
              <w:sz w:val="15"/>
              <w:szCs w:val="15"/>
              <w:lang w:val="en-US"/>
            </w:rPr>
            <w:t xml:space="preserve"> </w:t>
          </w:r>
          <w:r w:rsidRPr="00710A1C">
            <w:rPr>
              <w:rFonts w:ascii="Verdana" w:hAnsi="Verdana" w:cs="Arial"/>
              <w:b/>
              <w:bCs/>
              <w:color w:val="000000"/>
              <w:sz w:val="15"/>
              <w:szCs w:val="15"/>
              <w:lang w:val="en-US"/>
            </w:rPr>
            <w:t>| 229 monographs updated | 14 evidence-based evaluations added | 2,200 registered NDO users</w:t>
          </w:r>
        </w:p>
      </w:tc>
    </w:tr>
  </w:tbl>
  <w:p w14:paraId="15609B1E" w14:textId="77777777" w:rsidR="000D44DB" w:rsidRDefault="000D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58E3DE49" w14:textId="77777777" w:rsidTr="001734BF">
      <w:trPr>
        <w:trHeight w:val="262"/>
      </w:trPr>
      <w:tc>
        <w:tcPr>
          <w:tcW w:w="10774" w:type="dxa"/>
          <w:shd w:val="clear" w:color="auto" w:fill="0070C0"/>
          <w:tcMar>
            <w:top w:w="28" w:type="dxa"/>
            <w:left w:w="57" w:type="dxa"/>
            <w:bottom w:w="28" w:type="dxa"/>
            <w:right w:w="57" w:type="dxa"/>
          </w:tcMar>
        </w:tcPr>
        <w:p w14:paraId="406AB664"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29C81D3C" w14:textId="77777777" w:rsidTr="001734BF">
      <w:trPr>
        <w:trHeight w:val="331"/>
      </w:trPr>
      <w:tc>
        <w:tcPr>
          <w:tcW w:w="10774" w:type="dxa"/>
          <w:shd w:val="clear" w:color="auto" w:fill="DAEEF3"/>
          <w:tcMar>
            <w:left w:w="28" w:type="dxa"/>
            <w:right w:w="28" w:type="dxa"/>
          </w:tcMar>
        </w:tcPr>
        <w:p w14:paraId="38D38D0F"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w:t>
          </w:r>
          <w:proofErr w:type="spellStart"/>
          <w:r w:rsidRPr="00114EBA">
            <w:rPr>
              <w:rFonts w:cs="Arial"/>
              <w:bCs/>
              <w:color w:val="000000"/>
              <w:sz w:val="17"/>
              <w:szCs w:val="17"/>
              <w:lang w:val="en-US"/>
            </w:rPr>
            <w:t>organisations</w:t>
          </w:r>
          <w:proofErr w:type="spellEnd"/>
          <w:r w:rsidRPr="00114EBA">
            <w:rPr>
              <w:rFonts w:cs="Arial"/>
              <w:bCs/>
              <w:color w:val="000000"/>
              <w:sz w:val="17"/>
              <w:szCs w:val="17"/>
              <w:lang w:val="en-US"/>
            </w:rPr>
            <w:t xml:space="preserve"> develop medicines management policies and to inform prescribing decisions when a product has been launched. </w:t>
          </w:r>
        </w:p>
        <w:p w14:paraId="26D73990"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7D164B0E" w14:textId="77777777" w:rsidR="000D44DB" w:rsidRDefault="000D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36869D32" w14:textId="77777777" w:rsidTr="001734BF">
      <w:trPr>
        <w:trHeight w:val="262"/>
      </w:trPr>
      <w:tc>
        <w:tcPr>
          <w:tcW w:w="10774" w:type="dxa"/>
          <w:shd w:val="clear" w:color="auto" w:fill="0070C0"/>
          <w:tcMar>
            <w:top w:w="28" w:type="dxa"/>
            <w:left w:w="57" w:type="dxa"/>
            <w:bottom w:w="28" w:type="dxa"/>
            <w:right w:w="57" w:type="dxa"/>
          </w:tcMar>
        </w:tcPr>
        <w:p w14:paraId="5DF90D78"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294B73B7" w14:textId="77777777" w:rsidTr="001734BF">
      <w:trPr>
        <w:trHeight w:val="331"/>
      </w:trPr>
      <w:tc>
        <w:tcPr>
          <w:tcW w:w="10774" w:type="dxa"/>
          <w:shd w:val="clear" w:color="auto" w:fill="DAEEF3"/>
          <w:tcMar>
            <w:left w:w="28" w:type="dxa"/>
            <w:right w:w="28" w:type="dxa"/>
          </w:tcMar>
        </w:tcPr>
        <w:p w14:paraId="65495084"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w:t>
          </w:r>
          <w:proofErr w:type="spellStart"/>
          <w:r w:rsidRPr="00114EBA">
            <w:rPr>
              <w:rFonts w:cs="Arial"/>
              <w:bCs/>
              <w:color w:val="000000"/>
              <w:sz w:val="17"/>
              <w:szCs w:val="17"/>
              <w:lang w:val="en-US"/>
            </w:rPr>
            <w:t>organisations</w:t>
          </w:r>
          <w:proofErr w:type="spellEnd"/>
          <w:r w:rsidRPr="00114EBA">
            <w:rPr>
              <w:rFonts w:cs="Arial"/>
              <w:bCs/>
              <w:color w:val="000000"/>
              <w:sz w:val="17"/>
              <w:szCs w:val="17"/>
              <w:lang w:val="en-US"/>
            </w:rPr>
            <w:t xml:space="preserve"> develop medicines management policies and to inform prescribing decisions when a product has been launched. </w:t>
          </w:r>
        </w:p>
        <w:p w14:paraId="48A2D17D"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4EA2FC03" w14:textId="77777777" w:rsidR="000D44DB" w:rsidRPr="00862949" w:rsidRDefault="000D44DB" w:rsidP="00F95449">
    <w:pPr>
      <w:spacing w:before="60" w:after="60"/>
      <w:ind w:left="57" w:right="57"/>
      <w:jc w:val="center"/>
      <w:rPr>
        <w:rFonts w:cs="Arial"/>
        <w:bCs/>
        <w:color w:val="333399"/>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79A6" w14:textId="77777777" w:rsidR="00C179FB" w:rsidRDefault="00C179FB">
      <w:r>
        <w:separator/>
      </w:r>
    </w:p>
  </w:footnote>
  <w:footnote w:type="continuationSeparator" w:id="0">
    <w:p w14:paraId="6ECEF22E" w14:textId="77777777" w:rsidR="00C179FB" w:rsidRDefault="00C1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FF0A" w14:textId="5DD1D3C2" w:rsidR="000D44DB" w:rsidRPr="00CD021E" w:rsidRDefault="00CD021E" w:rsidP="009A09B7">
    <w:pPr>
      <w:pStyle w:val="Header"/>
      <w:rPr>
        <w:rFonts w:ascii="Verdana" w:hAnsi="Verdana" w:cs="Arial"/>
        <w:b/>
        <w:bCs/>
        <w:i/>
        <w:color w:val="33CCCC"/>
        <w:sz w:val="52"/>
        <w:szCs w:val="5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216" behindDoc="1" locked="0" layoutInCell="1" allowOverlap="1" wp14:anchorId="76B8FB76" wp14:editId="3193DA2D">
          <wp:simplePos x="0" y="0"/>
          <wp:positionH relativeFrom="column">
            <wp:posOffset>5715000</wp:posOffset>
          </wp:positionH>
          <wp:positionV relativeFrom="paragraph">
            <wp:posOffset>10795</wp:posOffset>
          </wp:positionV>
          <wp:extent cx="816610" cy="463550"/>
          <wp:effectExtent l="0" t="0" r="2540" b="0"/>
          <wp:wrapTight wrapText="bothSides">
            <wp:wrapPolygon edited="0">
              <wp:start x="0" y="0"/>
              <wp:lineTo x="0" y="20416"/>
              <wp:lineTo x="21163" y="20416"/>
              <wp:lineTo x="21163" y="0"/>
              <wp:lineTo x="0" y="0"/>
            </wp:wrapPolygon>
          </wp:wrapTight>
          <wp:docPr id="18" name="Picture 18" descr="UKMi logo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Mi logo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1025B104" wp14:editId="11049091">
          <wp:simplePos x="0" y="0"/>
          <wp:positionH relativeFrom="column">
            <wp:posOffset>5193665</wp:posOffset>
          </wp:positionH>
          <wp:positionV relativeFrom="paragraph">
            <wp:posOffset>116205</wp:posOffset>
          </wp:positionV>
          <wp:extent cx="533400" cy="219075"/>
          <wp:effectExtent l="0" t="0" r="0" b="9525"/>
          <wp:wrapTight wrapText="bothSides">
            <wp:wrapPolygon edited="0">
              <wp:start x="0" y="0"/>
              <wp:lineTo x="0" y="20661"/>
              <wp:lineTo x="20829" y="20661"/>
              <wp:lineTo x="20829" y="0"/>
              <wp:lineTo x="0" y="0"/>
            </wp:wrapPolygon>
          </wp:wrapTight>
          <wp:docPr id="19" name="Picture 1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72AC14C" wp14:editId="3E466A69">
          <wp:extent cx="1075055" cy="467995"/>
          <wp:effectExtent l="0" t="0" r="0" b="8255"/>
          <wp:docPr id="20" name="Picture 20" descr="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055" cy="467995"/>
                  </a:xfrm>
                  <a:prstGeom prst="rect">
                    <a:avLst/>
                  </a:prstGeom>
                  <a:noFill/>
                  <a:ln>
                    <a:noFill/>
                  </a:ln>
                </pic:spPr>
              </pic:pic>
            </a:graphicData>
          </a:graphic>
        </wp:inline>
      </w:drawing>
    </w:r>
    <w:r w:rsidR="000D44DB" w:rsidRPr="00CD021E">
      <w:rPr>
        <w:rFonts w:ascii="Verdana" w:hAnsi="Verdana" w:cs="Arial"/>
        <w:b/>
        <w:bCs/>
        <w:i/>
        <w:color w:val="33CCCC"/>
        <w:sz w:val="44"/>
        <w:szCs w:val="44"/>
        <w14:shadow w14:blurRad="50800" w14:dist="38100" w14:dir="2700000" w14:sx="100000" w14:sy="100000" w14:kx="0" w14:ky="0" w14:algn="tl">
          <w14:srgbClr w14:val="000000">
            <w14:alpha w14:val="60000"/>
          </w14:srgbClr>
        </w14:shadow>
      </w:rPr>
      <w:t>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AA2A" w14:textId="55B5B003" w:rsidR="000D44DB" w:rsidRPr="00CD021E" w:rsidRDefault="00A75BCB" w:rsidP="00BA65A9">
    <w:pPr>
      <w:pStyle w:val="Header"/>
      <w:ind w:left="-142"/>
      <w:rPr>
        <w:rFonts w:cs="Arial"/>
        <w:b/>
        <w:bCs/>
        <w:color w:val="244061"/>
        <w:sz w:val="32"/>
        <w:szCs w:val="32"/>
        <w14:shadow w14:blurRad="50800" w14:dist="38100" w14:dir="2700000" w14:sx="100000" w14:sy="100000" w14:kx="0" w14:ky="0" w14:algn="tl">
          <w14:srgbClr w14:val="000000">
            <w14:alpha w14:val="60000"/>
          </w14:srgbClr>
        </w14:shadow>
      </w:rPr>
    </w:pPr>
    <w:r>
      <w:rPr>
        <w:noProof/>
        <w:color w:val="00B050"/>
        <w:sz w:val="32"/>
        <w:szCs w:val="32"/>
      </w:rPr>
      <w:drawing>
        <wp:anchor distT="0" distB="0" distL="114300" distR="114300" simplePos="0" relativeHeight="251654144" behindDoc="0" locked="0" layoutInCell="1" allowOverlap="1" wp14:anchorId="2E6D03E7" wp14:editId="273B92E1">
          <wp:simplePos x="0" y="0"/>
          <wp:positionH relativeFrom="column">
            <wp:posOffset>6073775</wp:posOffset>
          </wp:positionH>
          <wp:positionV relativeFrom="paragraph">
            <wp:posOffset>-21590</wp:posOffset>
          </wp:positionV>
          <wp:extent cx="521335" cy="213995"/>
          <wp:effectExtent l="0" t="0" r="0" b="0"/>
          <wp:wrapNone/>
          <wp:docPr id="21" name="Picture 21"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C6B9" w14:textId="77777777" w:rsidR="000D44DB" w:rsidRPr="00CD021E" w:rsidRDefault="00CD021E" w:rsidP="00C3217F">
    <w:pPr>
      <w:pStyle w:val="Header"/>
      <w:tabs>
        <w:tab w:val="clear" w:pos="8306"/>
        <w:tab w:val="left" w:pos="7830"/>
      </w:tabs>
      <w:ind w:left="-255" w:hanging="142"/>
      <w:rPr>
        <w:rFonts w:cs="Arial"/>
        <w:b/>
        <w:bCs/>
        <w:i/>
        <w:color w:val="244061"/>
        <w:sz w:val="72"/>
        <w:szCs w:val="72"/>
        <w14:shadow w14:blurRad="50800" w14:dist="38100" w14:dir="2700000" w14:sx="100000" w14:sy="100000" w14:kx="0" w14:ky="0" w14:algn="tl">
          <w14:srgbClr w14:val="000000">
            <w14:alpha w14:val="60000"/>
          </w14:srgbClr>
        </w14:shadow>
      </w:rPr>
    </w:pPr>
    <w:r>
      <w:rPr>
        <w:rFonts w:cs="Arial"/>
        <w:b/>
        <w:bCs/>
        <w:noProof/>
        <w:color w:val="00B050"/>
        <w:sz w:val="72"/>
        <w:szCs w:val="72"/>
      </w:rPr>
      <w:drawing>
        <wp:anchor distT="0" distB="0" distL="114300" distR="114300" simplePos="0" relativeHeight="251661312" behindDoc="1" locked="0" layoutInCell="1" allowOverlap="1" wp14:anchorId="19DB9D2F" wp14:editId="1929D08B">
          <wp:simplePos x="0" y="0"/>
          <wp:positionH relativeFrom="column">
            <wp:posOffset>-360045</wp:posOffset>
          </wp:positionH>
          <wp:positionV relativeFrom="paragraph">
            <wp:posOffset>34925</wp:posOffset>
          </wp:positionV>
          <wp:extent cx="1051560" cy="448945"/>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44894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t xml:space="preserve">      New Medicines</w:t>
    </w:r>
    <w:r w:rsidR="000D44DB" w:rsidRPr="00CD021E">
      <w:rPr>
        <w:rFonts w:cs="Arial"/>
        <w:b/>
        <w:bCs/>
        <w:i/>
        <w:color w:val="244061"/>
        <w:sz w:val="72"/>
        <w:szCs w:val="72"/>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72"/>
        <w:szCs w:val="72"/>
        <w14:shadow w14:blurRad="50800" w14:dist="38100" w14:dir="2700000" w14:sx="100000" w14:sy="100000" w14:kx="0" w14:ky="0" w14:algn="tl">
          <w14:srgbClr w14:val="000000">
            <w14:alpha w14:val="60000"/>
          </w14:srgbClr>
        </w14:shadow>
      </w:rPr>
      <w:t>News</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D44DB" w:rsidRPr="00CD021E" w14:paraId="722BC3E2" w14:textId="77777777" w:rsidTr="002772ED">
      <w:tc>
        <w:tcPr>
          <w:tcW w:w="10774" w:type="dxa"/>
          <w:tcBorders>
            <w:top w:val="nil"/>
            <w:left w:val="nil"/>
            <w:bottom w:val="nil"/>
            <w:right w:val="nil"/>
          </w:tcBorders>
          <w:shd w:val="clear" w:color="auto" w:fill="DAEEF3"/>
        </w:tcPr>
        <w:p w14:paraId="01C4B3A0" w14:textId="3A7AC5BC" w:rsidR="000D44DB" w:rsidRPr="00CD021E" w:rsidRDefault="00347705" w:rsidP="00EB3E6F">
          <w:pPr>
            <w:pStyle w:val="Header"/>
            <w:spacing w:before="60" w:after="60"/>
            <w:rPr>
              <w:rFonts w:cs="Arial"/>
              <w:b/>
              <w:bCs/>
              <w:color w:val="000000"/>
              <w:sz w:val="36"/>
              <w:szCs w:val="36"/>
              <w14:shadow w14:blurRad="50800" w14:dist="38100" w14:dir="2700000" w14:sx="100000" w14:sy="100000" w14:kx="0" w14:ky="0" w14:algn="tl">
                <w14:srgbClr w14:val="000000">
                  <w14:alpha w14:val="60000"/>
                </w14:srgbClr>
              </w14:shadow>
            </w:rPr>
          </w:pPr>
          <w:r>
            <w:rPr>
              <w:rFonts w:cs="Arial"/>
              <w:b/>
              <w:bCs/>
              <w:color w:val="0070C0"/>
              <w:sz w:val="36"/>
              <w:szCs w:val="36"/>
              <w14:shadow w14:blurRad="50800" w14:dist="38100" w14:dir="2700000" w14:sx="100000" w14:sy="100000" w14:kx="0" w14:ky="0" w14:algn="tl">
                <w14:srgbClr w14:val="000000">
                  <w14:alpha w14:val="60000"/>
                </w14:srgbClr>
              </w14:shadow>
            </w:rPr>
            <w:t>November</w:t>
          </w:r>
          <w:r w:rsidR="00A75BCB">
            <w:rPr>
              <w:rFonts w:cs="Arial"/>
              <w:b/>
              <w:bCs/>
              <w:color w:val="0070C0"/>
              <w:sz w:val="36"/>
              <w:szCs w:val="36"/>
              <w14:shadow w14:blurRad="50800" w14:dist="38100" w14:dir="2700000" w14:sx="100000" w14:sy="100000" w14:kx="0" w14:ky="0" w14:algn="tl">
                <w14:srgbClr w14:val="000000">
                  <w14:alpha w14:val="60000"/>
                </w14:srgbClr>
              </w14:shadow>
            </w:rPr>
            <w:t xml:space="preserve"> 202</w:t>
          </w:r>
          <w:r w:rsidR="001D7529">
            <w:rPr>
              <w:rFonts w:cs="Arial"/>
              <w:b/>
              <w:bCs/>
              <w:color w:val="0070C0"/>
              <w:sz w:val="36"/>
              <w:szCs w:val="36"/>
              <w14:shadow w14:blurRad="50800" w14:dist="38100" w14:dir="2700000" w14:sx="100000" w14:sy="100000" w14:kx="0" w14:ky="0" w14:algn="tl">
                <w14:srgbClr w14:val="000000">
                  <w14:alpha w14:val="60000"/>
                </w14:srgbClr>
              </w14:shadow>
            </w:rPr>
            <w:t>4</w:t>
          </w:r>
        </w:p>
      </w:tc>
    </w:tr>
    <w:tr w:rsidR="000D44DB" w:rsidRPr="00CD021E" w14:paraId="5F7D848F" w14:textId="77777777" w:rsidTr="002772ED">
      <w:tc>
        <w:tcPr>
          <w:tcW w:w="10774" w:type="dxa"/>
          <w:tcBorders>
            <w:top w:val="nil"/>
            <w:left w:val="nil"/>
            <w:bottom w:val="nil"/>
            <w:right w:val="nil"/>
          </w:tcBorders>
          <w:shd w:val="clear" w:color="auto" w:fill="0070C0"/>
        </w:tcPr>
        <w:p w14:paraId="1406AF3D" w14:textId="77777777" w:rsidR="000D44DB" w:rsidRPr="00CD021E" w:rsidRDefault="000D44DB" w:rsidP="00395D20">
          <w:pPr>
            <w:pStyle w:val="Header"/>
            <w:tabs>
              <w:tab w:val="clear" w:pos="4153"/>
              <w:tab w:val="clear" w:pos="8306"/>
              <w:tab w:val="left" w:pos="2197"/>
            </w:tabs>
            <w:rPr>
              <w:rFonts w:cs="Arial"/>
              <w:b/>
              <w:bCs/>
              <w:color w:val="0070C0"/>
              <w:sz w:val="8"/>
              <w:szCs w:val="8"/>
              <w14:shadow w14:blurRad="50800" w14:dist="38100" w14:dir="2700000" w14:sx="100000" w14:sy="100000" w14:kx="0" w14:ky="0" w14:algn="tl">
                <w14:srgbClr w14:val="000000">
                  <w14:alpha w14:val="60000"/>
                </w14:srgbClr>
              </w14:shadow>
            </w:rPr>
          </w:pPr>
          <w:r w:rsidRPr="00CD021E">
            <w:rPr>
              <w:rFonts w:cs="Arial"/>
              <w:b/>
              <w:bCs/>
              <w:color w:val="0070C0"/>
              <w:sz w:val="28"/>
              <w:szCs w:val="28"/>
              <w14:shadow w14:blurRad="50800" w14:dist="38100" w14:dir="2700000" w14:sx="100000" w14:sy="100000" w14:kx="0" w14:ky="0" w14:algn="tl">
                <w14:srgbClr w14:val="000000">
                  <w14:alpha w14:val="60000"/>
                </w14:srgbClr>
              </w14:shadow>
            </w:rPr>
            <w:tab/>
          </w:r>
        </w:p>
      </w:tc>
    </w:tr>
    <w:tr w:rsidR="000D44DB" w:rsidRPr="00CD021E" w14:paraId="30CFBC06" w14:textId="77777777" w:rsidTr="002772ED">
      <w:tc>
        <w:tcPr>
          <w:tcW w:w="10774" w:type="dxa"/>
          <w:tcBorders>
            <w:top w:val="nil"/>
            <w:left w:val="nil"/>
            <w:bottom w:val="nil"/>
            <w:right w:val="nil"/>
          </w:tcBorders>
          <w:shd w:val="clear" w:color="auto" w:fill="DAEEF3"/>
        </w:tcPr>
        <w:p w14:paraId="6D535423" w14:textId="77777777" w:rsidR="000D44DB" w:rsidRPr="00C315D6" w:rsidRDefault="00885CAE" w:rsidP="00CB6344">
          <w:pPr>
            <w:pStyle w:val="Header"/>
            <w:tabs>
              <w:tab w:val="clear" w:pos="4153"/>
              <w:tab w:val="clear" w:pos="8306"/>
              <w:tab w:val="left" w:pos="2197"/>
            </w:tabs>
            <w:spacing w:before="120" w:after="120"/>
            <w:rPr>
              <w:rFonts w:cs="Arial"/>
              <w:b/>
              <w:bCs/>
              <w:color w:val="0070C0"/>
              <w:sz w:val="18"/>
              <w:szCs w:val="18"/>
            </w:rPr>
          </w:pPr>
          <w:r w:rsidRPr="009B0BCE">
            <w:rPr>
              <w:rFonts w:cs="Arial"/>
              <w:b/>
              <w:bCs/>
              <w:color w:val="0070C0"/>
              <w:sz w:val="18"/>
              <w:szCs w:val="18"/>
            </w:rPr>
            <w:t xml:space="preserve">This newsletter is produced by </w:t>
          </w:r>
          <w:hyperlink r:id="rId3" w:history="1">
            <w:r w:rsidRPr="00551321">
              <w:rPr>
                <w:rStyle w:val="Hyperlink"/>
                <w:rFonts w:ascii="Arial" w:hAnsi="Arial" w:cs="Arial"/>
                <w:b/>
                <w:bCs/>
              </w:rPr>
              <w:t xml:space="preserve">SPS </w:t>
            </w:r>
            <w:r w:rsidR="003C4624">
              <w:rPr>
                <w:rStyle w:val="Hyperlink"/>
                <w:rFonts w:ascii="Arial" w:hAnsi="Arial" w:cs="Arial"/>
                <w:b/>
                <w:bCs/>
              </w:rPr>
              <w:t>H</w:t>
            </w:r>
            <w:r w:rsidRPr="00551321">
              <w:rPr>
                <w:rStyle w:val="Hyperlink"/>
                <w:rFonts w:ascii="Arial" w:hAnsi="Arial" w:cs="Arial"/>
                <w:b/>
                <w:bCs/>
              </w:rPr>
              <w:t xml:space="preserve">orizon </w:t>
            </w:r>
            <w:r w:rsidR="003C4624">
              <w:rPr>
                <w:rStyle w:val="Hyperlink"/>
                <w:rFonts w:ascii="Arial" w:hAnsi="Arial" w:cs="Arial"/>
                <w:b/>
                <w:bCs/>
              </w:rPr>
              <w:t>S</w:t>
            </w:r>
            <w:r w:rsidRPr="00551321">
              <w:rPr>
                <w:rStyle w:val="Hyperlink"/>
                <w:rFonts w:ascii="Arial" w:hAnsi="Arial" w:cs="Arial"/>
                <w:b/>
                <w:bCs/>
              </w:rPr>
              <w:t>canning</w:t>
            </w:r>
          </w:hyperlink>
          <w:r w:rsidRPr="009B0BCE">
            <w:rPr>
              <w:rFonts w:cs="Arial"/>
              <w:b/>
              <w:bCs/>
              <w:color w:val="0070C0"/>
              <w:sz w:val="18"/>
              <w:szCs w:val="18"/>
            </w:rPr>
            <w:t xml:space="preserve"> and highlights recent</w:t>
          </w:r>
          <w:r>
            <w:rPr>
              <w:rFonts w:cs="Arial"/>
              <w:b/>
              <w:bCs/>
              <w:color w:val="0070C0"/>
              <w:sz w:val="18"/>
              <w:szCs w:val="18"/>
            </w:rPr>
            <w:t xml:space="preserve"> new product launches and </w:t>
          </w:r>
          <w:r w:rsidRPr="009B0BCE">
            <w:rPr>
              <w:rFonts w:cs="Arial"/>
              <w:b/>
              <w:bCs/>
              <w:color w:val="0070C0"/>
              <w:sz w:val="18"/>
              <w:szCs w:val="18"/>
            </w:rPr>
            <w:t xml:space="preserve">medicines regulatory changes. More detailed information on medicines </w:t>
          </w:r>
          <w:r>
            <w:rPr>
              <w:rFonts w:cs="Arial"/>
              <w:b/>
              <w:bCs/>
              <w:color w:val="0070C0"/>
              <w:sz w:val="18"/>
              <w:szCs w:val="18"/>
            </w:rPr>
            <w:t>estimated</w:t>
          </w:r>
          <w:r w:rsidRPr="009B0BCE">
            <w:rPr>
              <w:rFonts w:cs="Arial"/>
              <w:b/>
              <w:bCs/>
              <w:color w:val="0070C0"/>
              <w:sz w:val="18"/>
              <w:szCs w:val="18"/>
            </w:rPr>
            <w:t xml:space="preserve"> to </w:t>
          </w:r>
          <w:r>
            <w:rPr>
              <w:rFonts w:cs="Arial"/>
              <w:b/>
              <w:bCs/>
              <w:color w:val="0070C0"/>
              <w:sz w:val="18"/>
              <w:szCs w:val="18"/>
            </w:rPr>
            <w:t>become available for use</w:t>
          </w:r>
          <w:r w:rsidRPr="009B0BCE">
            <w:rPr>
              <w:rFonts w:cs="Arial"/>
              <w:b/>
              <w:bCs/>
              <w:color w:val="0070C0"/>
              <w:sz w:val="18"/>
              <w:szCs w:val="18"/>
            </w:rPr>
            <w:t xml:space="preserve"> in the next 2</w:t>
          </w:r>
          <w:r>
            <w:rPr>
              <w:rFonts w:cs="Arial"/>
              <w:b/>
              <w:bCs/>
              <w:color w:val="0070C0"/>
              <w:sz w:val="18"/>
              <w:szCs w:val="18"/>
            </w:rPr>
            <w:t xml:space="preserve"> financial years</w:t>
          </w:r>
          <w:r w:rsidRPr="009B0BCE">
            <w:rPr>
              <w:rFonts w:cs="Arial"/>
              <w:b/>
              <w:bCs/>
              <w:color w:val="0070C0"/>
              <w:sz w:val="18"/>
              <w:szCs w:val="18"/>
            </w:rPr>
            <w:t xml:space="preserve"> and on marketed medicines expected to have major new indications approved</w:t>
          </w:r>
          <w:r>
            <w:rPr>
              <w:rFonts w:cs="Arial"/>
              <w:b/>
              <w:bCs/>
              <w:color w:val="0070C0"/>
              <w:sz w:val="18"/>
              <w:szCs w:val="18"/>
            </w:rPr>
            <w:t xml:space="preserve"> is</w:t>
          </w:r>
          <w:r w:rsidRPr="009B0BCE">
            <w:rPr>
              <w:rFonts w:cs="Arial"/>
              <w:b/>
              <w:bCs/>
              <w:color w:val="0070C0"/>
              <w:sz w:val="18"/>
              <w:szCs w:val="18"/>
            </w:rPr>
            <w:t xml:space="preserve"> in </w:t>
          </w:r>
          <w:hyperlink r:id="rId4" w:history="1">
            <w:r w:rsidRPr="009B0BCE">
              <w:rPr>
                <w:rStyle w:val="Hyperlink"/>
                <w:rFonts w:ascii="Arial" w:hAnsi="Arial" w:cs="Arial"/>
                <w:b/>
                <w:bCs/>
              </w:rPr>
              <w:t>Prescribing Outlook</w:t>
            </w:r>
          </w:hyperlink>
          <w:r w:rsidRPr="009B0BCE">
            <w:rPr>
              <w:rFonts w:cs="Arial"/>
              <w:b/>
              <w:bCs/>
              <w:color w:val="0070C0"/>
              <w:sz w:val="18"/>
              <w:szCs w:val="18"/>
            </w:rPr>
            <w:t>.</w:t>
          </w:r>
        </w:p>
      </w:tc>
    </w:tr>
  </w:tbl>
  <w:p w14:paraId="2C6D0F04" w14:textId="77777777" w:rsidR="000D44DB" w:rsidRPr="00CD021E" w:rsidRDefault="000D44DB" w:rsidP="00A56726">
    <w:pPr>
      <w:pStyle w:val="Header"/>
      <w:rPr>
        <w:rFonts w:cs="Arial"/>
        <w:b/>
        <w:bCs/>
        <w:color w:val="244061"/>
        <w:sz w:val="8"/>
        <w:szCs w:val="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A37E" w14:textId="5F691830" w:rsidR="0090527B" w:rsidRDefault="0090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5248" w14:textId="28EF7099" w:rsidR="0090527B" w:rsidRDefault="00905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6A6B" w14:textId="04BF61D8" w:rsidR="000D44DB" w:rsidRPr="00CD021E" w:rsidRDefault="00A75BCB" w:rsidP="00AC0996">
    <w:pPr>
      <w:pStyle w:val="Header"/>
      <w:tabs>
        <w:tab w:val="clear" w:pos="8306"/>
        <w:tab w:val="left" w:pos="7830"/>
      </w:tabs>
      <w:spacing w:before="120"/>
      <w:ind w:left="-170"/>
      <w:rPr>
        <w:rFonts w:cs="Arial"/>
        <w:b/>
        <w:bCs/>
        <w:i/>
        <w:color w:val="31849B"/>
        <w:sz w:val="44"/>
        <w:szCs w:val="44"/>
        <w14:shadow w14:blurRad="50800" w14:dist="38100" w14:dir="2700000" w14:sx="100000" w14:sy="100000" w14:kx="0" w14:ky="0" w14:algn="tl">
          <w14:srgbClr w14:val="000000">
            <w14:alpha w14:val="60000"/>
          </w14:srgbClr>
        </w14:shadow>
      </w:rPr>
    </w:pPr>
    <w:r>
      <w:rPr>
        <w:rFonts w:cs="Arial"/>
        <w:noProof/>
        <w:color w:val="00A249"/>
        <w:sz w:val="40"/>
        <w:szCs w:val="40"/>
      </w:rPr>
      <w:drawing>
        <wp:anchor distT="0" distB="0" distL="114300" distR="114300" simplePos="0" relativeHeight="251658240" behindDoc="0" locked="0" layoutInCell="1" allowOverlap="1" wp14:anchorId="18E0E1C3" wp14:editId="0641C7F7">
          <wp:simplePos x="0" y="0"/>
          <wp:positionH relativeFrom="column">
            <wp:posOffset>6182360</wp:posOffset>
          </wp:positionH>
          <wp:positionV relativeFrom="paragraph">
            <wp:posOffset>93345</wp:posOffset>
          </wp:positionV>
          <wp:extent cx="469265" cy="192405"/>
          <wp:effectExtent l="0" t="0" r="6985" b="0"/>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1E">
      <w:rPr>
        <w:noProof/>
      </w:rPr>
      <w:drawing>
        <wp:anchor distT="0" distB="0" distL="114300" distR="114300" simplePos="0" relativeHeight="251660288" behindDoc="0" locked="0" layoutInCell="1" allowOverlap="1" wp14:anchorId="505177C1" wp14:editId="606BF51D">
          <wp:simplePos x="0" y="0"/>
          <wp:positionH relativeFrom="column">
            <wp:posOffset>-286385</wp:posOffset>
          </wp:positionH>
          <wp:positionV relativeFrom="paragraph">
            <wp:posOffset>8890</wp:posOffset>
          </wp:positionV>
          <wp:extent cx="940435" cy="40195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0195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A249"/>
        <w:sz w:val="44"/>
        <w:szCs w:val="44"/>
        <w14:shadow w14:blurRad="50800" w14:dist="38100" w14:dir="2700000" w14:sx="100000" w14:sy="100000" w14:kx="0" w14:ky="0" w14:algn="tl">
          <w14:srgbClr w14:val="000000">
            <w14:alpha w14:val="60000"/>
          </w14:srgbClr>
        </w14:shadow>
      </w:rPr>
      <w:t>New Medicines</w:t>
    </w:r>
    <w:r w:rsidR="000D44DB" w:rsidRPr="00CD021E">
      <w:rPr>
        <w:rFonts w:cs="Arial"/>
        <w:b/>
        <w:bCs/>
        <w:i/>
        <w:color w:val="244061"/>
        <w:sz w:val="44"/>
        <w:szCs w:val="44"/>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44"/>
        <w:szCs w:val="44"/>
        <w14:shadow w14:blurRad="50800" w14:dist="38100" w14:dir="2700000" w14:sx="100000" w14:sy="100000" w14:kx="0" w14:ky="0" w14:algn="tl">
          <w14:srgbClr w14:val="000000">
            <w14:alpha w14:val="60000"/>
          </w14:srgbClr>
        </w14:shadow>
      </w:rPr>
      <w:t>News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FF83" w14:textId="362E4A91" w:rsidR="0090527B" w:rsidRDefault="009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6EF9"/>
    <w:multiLevelType w:val="multilevel"/>
    <w:tmpl w:val="29F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55FA1"/>
    <w:multiLevelType w:val="hybridMultilevel"/>
    <w:tmpl w:val="BCF48EAE"/>
    <w:lvl w:ilvl="0" w:tplc="1AB04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4711">
    <w:abstractNumId w:val="1"/>
  </w:num>
  <w:num w:numId="2" w16cid:durableId="4269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FB"/>
    <w:rsid w:val="0000035C"/>
    <w:rsid w:val="000005B6"/>
    <w:rsid w:val="000005EF"/>
    <w:rsid w:val="00000A0A"/>
    <w:rsid w:val="00000BE4"/>
    <w:rsid w:val="00000F87"/>
    <w:rsid w:val="0000199C"/>
    <w:rsid w:val="00001F19"/>
    <w:rsid w:val="0000290B"/>
    <w:rsid w:val="00002A08"/>
    <w:rsid w:val="00003329"/>
    <w:rsid w:val="00003421"/>
    <w:rsid w:val="000034B3"/>
    <w:rsid w:val="00003C95"/>
    <w:rsid w:val="00003D95"/>
    <w:rsid w:val="000042E9"/>
    <w:rsid w:val="00005014"/>
    <w:rsid w:val="00005119"/>
    <w:rsid w:val="00005271"/>
    <w:rsid w:val="000052F0"/>
    <w:rsid w:val="00005673"/>
    <w:rsid w:val="00005703"/>
    <w:rsid w:val="000057D2"/>
    <w:rsid w:val="00005CE9"/>
    <w:rsid w:val="00006527"/>
    <w:rsid w:val="000065F4"/>
    <w:rsid w:val="000072EC"/>
    <w:rsid w:val="0000751E"/>
    <w:rsid w:val="000075ED"/>
    <w:rsid w:val="0000769C"/>
    <w:rsid w:val="000102A1"/>
    <w:rsid w:val="000102E8"/>
    <w:rsid w:val="00010447"/>
    <w:rsid w:val="0001067C"/>
    <w:rsid w:val="00010B1D"/>
    <w:rsid w:val="00011176"/>
    <w:rsid w:val="000111C5"/>
    <w:rsid w:val="000114B1"/>
    <w:rsid w:val="00011D4B"/>
    <w:rsid w:val="00011E5B"/>
    <w:rsid w:val="00012B74"/>
    <w:rsid w:val="00012BA7"/>
    <w:rsid w:val="00012DCA"/>
    <w:rsid w:val="00012E19"/>
    <w:rsid w:val="00012E28"/>
    <w:rsid w:val="000132A0"/>
    <w:rsid w:val="00013575"/>
    <w:rsid w:val="000135BF"/>
    <w:rsid w:val="00013853"/>
    <w:rsid w:val="00013B16"/>
    <w:rsid w:val="00013CD9"/>
    <w:rsid w:val="00013E21"/>
    <w:rsid w:val="00014028"/>
    <w:rsid w:val="00014115"/>
    <w:rsid w:val="00014240"/>
    <w:rsid w:val="0001441B"/>
    <w:rsid w:val="00014631"/>
    <w:rsid w:val="00014657"/>
    <w:rsid w:val="000148ED"/>
    <w:rsid w:val="00014AFE"/>
    <w:rsid w:val="00015455"/>
    <w:rsid w:val="000158C2"/>
    <w:rsid w:val="00015915"/>
    <w:rsid w:val="000159C6"/>
    <w:rsid w:val="00015A48"/>
    <w:rsid w:val="00015B43"/>
    <w:rsid w:val="000165BE"/>
    <w:rsid w:val="000166D7"/>
    <w:rsid w:val="0001694F"/>
    <w:rsid w:val="00016C87"/>
    <w:rsid w:val="00016CDC"/>
    <w:rsid w:val="00016E17"/>
    <w:rsid w:val="000171BC"/>
    <w:rsid w:val="000173BA"/>
    <w:rsid w:val="0001791D"/>
    <w:rsid w:val="00017CA2"/>
    <w:rsid w:val="00017D66"/>
    <w:rsid w:val="00020261"/>
    <w:rsid w:val="000202B3"/>
    <w:rsid w:val="000202FE"/>
    <w:rsid w:val="000203F6"/>
    <w:rsid w:val="000207FB"/>
    <w:rsid w:val="00020D00"/>
    <w:rsid w:val="0002143C"/>
    <w:rsid w:val="0002181A"/>
    <w:rsid w:val="000225BB"/>
    <w:rsid w:val="000225EE"/>
    <w:rsid w:val="0002265E"/>
    <w:rsid w:val="0002269F"/>
    <w:rsid w:val="00022775"/>
    <w:rsid w:val="0002291B"/>
    <w:rsid w:val="000229C8"/>
    <w:rsid w:val="00022CCE"/>
    <w:rsid w:val="00022FB9"/>
    <w:rsid w:val="0002372C"/>
    <w:rsid w:val="00023B87"/>
    <w:rsid w:val="00023E2E"/>
    <w:rsid w:val="00023FBB"/>
    <w:rsid w:val="00025142"/>
    <w:rsid w:val="00025A1E"/>
    <w:rsid w:val="00025AD9"/>
    <w:rsid w:val="00025B8F"/>
    <w:rsid w:val="00026E35"/>
    <w:rsid w:val="00026FAE"/>
    <w:rsid w:val="0002715B"/>
    <w:rsid w:val="00027AC3"/>
    <w:rsid w:val="00027B21"/>
    <w:rsid w:val="00027C1C"/>
    <w:rsid w:val="00027D1D"/>
    <w:rsid w:val="00027E7C"/>
    <w:rsid w:val="00030002"/>
    <w:rsid w:val="0003000F"/>
    <w:rsid w:val="000305BA"/>
    <w:rsid w:val="00030663"/>
    <w:rsid w:val="0003082E"/>
    <w:rsid w:val="0003092A"/>
    <w:rsid w:val="00030ADE"/>
    <w:rsid w:val="00030B98"/>
    <w:rsid w:val="00030E87"/>
    <w:rsid w:val="00031218"/>
    <w:rsid w:val="00031336"/>
    <w:rsid w:val="00031909"/>
    <w:rsid w:val="00031E46"/>
    <w:rsid w:val="000320DC"/>
    <w:rsid w:val="000322AB"/>
    <w:rsid w:val="000327BA"/>
    <w:rsid w:val="00032BD9"/>
    <w:rsid w:val="0003313C"/>
    <w:rsid w:val="00033349"/>
    <w:rsid w:val="0003344C"/>
    <w:rsid w:val="000341CF"/>
    <w:rsid w:val="0003447E"/>
    <w:rsid w:val="0003499B"/>
    <w:rsid w:val="00034BCE"/>
    <w:rsid w:val="00034E8C"/>
    <w:rsid w:val="00035436"/>
    <w:rsid w:val="0003552B"/>
    <w:rsid w:val="00035B23"/>
    <w:rsid w:val="00035CA7"/>
    <w:rsid w:val="00035D82"/>
    <w:rsid w:val="00035DBD"/>
    <w:rsid w:val="00036A16"/>
    <w:rsid w:val="000373F3"/>
    <w:rsid w:val="0003742D"/>
    <w:rsid w:val="000374FF"/>
    <w:rsid w:val="000375C8"/>
    <w:rsid w:val="000378F6"/>
    <w:rsid w:val="000379EB"/>
    <w:rsid w:val="00037AE9"/>
    <w:rsid w:val="00037BAB"/>
    <w:rsid w:val="00037BE4"/>
    <w:rsid w:val="00040013"/>
    <w:rsid w:val="0004019A"/>
    <w:rsid w:val="000401A1"/>
    <w:rsid w:val="00040734"/>
    <w:rsid w:val="00040B83"/>
    <w:rsid w:val="00040CA3"/>
    <w:rsid w:val="000416FC"/>
    <w:rsid w:val="00041AC8"/>
    <w:rsid w:val="00041BDC"/>
    <w:rsid w:val="0004243E"/>
    <w:rsid w:val="000427D5"/>
    <w:rsid w:val="00042CCD"/>
    <w:rsid w:val="00043342"/>
    <w:rsid w:val="000435DE"/>
    <w:rsid w:val="00043A2D"/>
    <w:rsid w:val="00043ED2"/>
    <w:rsid w:val="00044148"/>
    <w:rsid w:val="00044204"/>
    <w:rsid w:val="00044475"/>
    <w:rsid w:val="00044C33"/>
    <w:rsid w:val="000452E2"/>
    <w:rsid w:val="00045745"/>
    <w:rsid w:val="0004575D"/>
    <w:rsid w:val="000457B4"/>
    <w:rsid w:val="00045D5B"/>
    <w:rsid w:val="00045DDF"/>
    <w:rsid w:val="0004601F"/>
    <w:rsid w:val="00046375"/>
    <w:rsid w:val="00046777"/>
    <w:rsid w:val="00046940"/>
    <w:rsid w:val="00046C42"/>
    <w:rsid w:val="00046CCE"/>
    <w:rsid w:val="0004702B"/>
    <w:rsid w:val="0004733A"/>
    <w:rsid w:val="00047608"/>
    <w:rsid w:val="00050249"/>
    <w:rsid w:val="000507C3"/>
    <w:rsid w:val="00050920"/>
    <w:rsid w:val="0005105D"/>
    <w:rsid w:val="000515F0"/>
    <w:rsid w:val="00051791"/>
    <w:rsid w:val="000518A6"/>
    <w:rsid w:val="000519EA"/>
    <w:rsid w:val="00051B61"/>
    <w:rsid w:val="00051F32"/>
    <w:rsid w:val="000523FE"/>
    <w:rsid w:val="00052436"/>
    <w:rsid w:val="000529B6"/>
    <w:rsid w:val="00052AD4"/>
    <w:rsid w:val="00052BA6"/>
    <w:rsid w:val="00053F21"/>
    <w:rsid w:val="00054462"/>
    <w:rsid w:val="0005460C"/>
    <w:rsid w:val="00056696"/>
    <w:rsid w:val="000566A1"/>
    <w:rsid w:val="00056809"/>
    <w:rsid w:val="00056DB0"/>
    <w:rsid w:val="000570FC"/>
    <w:rsid w:val="0005783A"/>
    <w:rsid w:val="00057C03"/>
    <w:rsid w:val="00057FA2"/>
    <w:rsid w:val="0006026C"/>
    <w:rsid w:val="0006036B"/>
    <w:rsid w:val="00060AC6"/>
    <w:rsid w:val="00060BB0"/>
    <w:rsid w:val="0006109A"/>
    <w:rsid w:val="0006141D"/>
    <w:rsid w:val="00061A5F"/>
    <w:rsid w:val="00061B9D"/>
    <w:rsid w:val="00061FEF"/>
    <w:rsid w:val="00062740"/>
    <w:rsid w:val="00062834"/>
    <w:rsid w:val="00062B47"/>
    <w:rsid w:val="00062F98"/>
    <w:rsid w:val="0006320B"/>
    <w:rsid w:val="00063C19"/>
    <w:rsid w:val="000646B3"/>
    <w:rsid w:val="00064C77"/>
    <w:rsid w:val="00064E8C"/>
    <w:rsid w:val="00064EB7"/>
    <w:rsid w:val="00064EF7"/>
    <w:rsid w:val="0006514E"/>
    <w:rsid w:val="000652C1"/>
    <w:rsid w:val="00065458"/>
    <w:rsid w:val="00066145"/>
    <w:rsid w:val="0006622F"/>
    <w:rsid w:val="00066787"/>
    <w:rsid w:val="00066A42"/>
    <w:rsid w:val="00066B48"/>
    <w:rsid w:val="00067279"/>
    <w:rsid w:val="000672F8"/>
    <w:rsid w:val="0006730B"/>
    <w:rsid w:val="00067942"/>
    <w:rsid w:val="00067CE4"/>
    <w:rsid w:val="00067D4E"/>
    <w:rsid w:val="00067D5B"/>
    <w:rsid w:val="000702DB"/>
    <w:rsid w:val="00070948"/>
    <w:rsid w:val="00070A7A"/>
    <w:rsid w:val="00071178"/>
    <w:rsid w:val="0007155B"/>
    <w:rsid w:val="000719B7"/>
    <w:rsid w:val="000719C8"/>
    <w:rsid w:val="00071A86"/>
    <w:rsid w:val="00071BD9"/>
    <w:rsid w:val="00071DB1"/>
    <w:rsid w:val="0007203F"/>
    <w:rsid w:val="0007204B"/>
    <w:rsid w:val="00072F47"/>
    <w:rsid w:val="00073808"/>
    <w:rsid w:val="00074396"/>
    <w:rsid w:val="0007446E"/>
    <w:rsid w:val="00074745"/>
    <w:rsid w:val="00074951"/>
    <w:rsid w:val="00074F67"/>
    <w:rsid w:val="000752E8"/>
    <w:rsid w:val="000755B8"/>
    <w:rsid w:val="00075D05"/>
    <w:rsid w:val="00075D4B"/>
    <w:rsid w:val="0007679E"/>
    <w:rsid w:val="00077371"/>
    <w:rsid w:val="00077C0C"/>
    <w:rsid w:val="00080116"/>
    <w:rsid w:val="000808F9"/>
    <w:rsid w:val="00080A6B"/>
    <w:rsid w:val="00080EE8"/>
    <w:rsid w:val="0008125C"/>
    <w:rsid w:val="00081277"/>
    <w:rsid w:val="000813E4"/>
    <w:rsid w:val="00081417"/>
    <w:rsid w:val="0008159C"/>
    <w:rsid w:val="0008195B"/>
    <w:rsid w:val="00081CFF"/>
    <w:rsid w:val="0008258A"/>
    <w:rsid w:val="00082DF6"/>
    <w:rsid w:val="00082E64"/>
    <w:rsid w:val="0008303B"/>
    <w:rsid w:val="00083231"/>
    <w:rsid w:val="000834AE"/>
    <w:rsid w:val="00083FAC"/>
    <w:rsid w:val="0008405B"/>
    <w:rsid w:val="00084760"/>
    <w:rsid w:val="00085243"/>
    <w:rsid w:val="00085268"/>
    <w:rsid w:val="00085475"/>
    <w:rsid w:val="0008576B"/>
    <w:rsid w:val="000858D1"/>
    <w:rsid w:val="000859AA"/>
    <w:rsid w:val="00085A04"/>
    <w:rsid w:val="00085C5D"/>
    <w:rsid w:val="00085CCC"/>
    <w:rsid w:val="00085DA5"/>
    <w:rsid w:val="000863E2"/>
    <w:rsid w:val="000864A2"/>
    <w:rsid w:val="0008668D"/>
    <w:rsid w:val="00086F97"/>
    <w:rsid w:val="00087308"/>
    <w:rsid w:val="00087474"/>
    <w:rsid w:val="0008785C"/>
    <w:rsid w:val="00087A3E"/>
    <w:rsid w:val="00090233"/>
    <w:rsid w:val="000906FB"/>
    <w:rsid w:val="000907E5"/>
    <w:rsid w:val="00091245"/>
    <w:rsid w:val="00091EAA"/>
    <w:rsid w:val="00092238"/>
    <w:rsid w:val="0009266A"/>
    <w:rsid w:val="00092AEC"/>
    <w:rsid w:val="000933A6"/>
    <w:rsid w:val="00093CB7"/>
    <w:rsid w:val="0009414D"/>
    <w:rsid w:val="00094388"/>
    <w:rsid w:val="00094B31"/>
    <w:rsid w:val="00094FC6"/>
    <w:rsid w:val="0009514E"/>
    <w:rsid w:val="0009515F"/>
    <w:rsid w:val="000951E1"/>
    <w:rsid w:val="000954DD"/>
    <w:rsid w:val="000955AC"/>
    <w:rsid w:val="000957EA"/>
    <w:rsid w:val="00095818"/>
    <w:rsid w:val="00095974"/>
    <w:rsid w:val="000959A5"/>
    <w:rsid w:val="00095B4D"/>
    <w:rsid w:val="00095EE7"/>
    <w:rsid w:val="000966BB"/>
    <w:rsid w:val="00096800"/>
    <w:rsid w:val="00096BBF"/>
    <w:rsid w:val="00096C4B"/>
    <w:rsid w:val="0009792A"/>
    <w:rsid w:val="00097B79"/>
    <w:rsid w:val="00097E17"/>
    <w:rsid w:val="000A0040"/>
    <w:rsid w:val="000A02AD"/>
    <w:rsid w:val="000A0B38"/>
    <w:rsid w:val="000A1199"/>
    <w:rsid w:val="000A22E9"/>
    <w:rsid w:val="000A241E"/>
    <w:rsid w:val="000A2810"/>
    <w:rsid w:val="000A289B"/>
    <w:rsid w:val="000A2C52"/>
    <w:rsid w:val="000A2E37"/>
    <w:rsid w:val="000A36D0"/>
    <w:rsid w:val="000A3B1E"/>
    <w:rsid w:val="000A41D4"/>
    <w:rsid w:val="000A421F"/>
    <w:rsid w:val="000A4BCB"/>
    <w:rsid w:val="000A4BE4"/>
    <w:rsid w:val="000A5077"/>
    <w:rsid w:val="000A50F2"/>
    <w:rsid w:val="000A534D"/>
    <w:rsid w:val="000A5ABE"/>
    <w:rsid w:val="000A5B0D"/>
    <w:rsid w:val="000A60E1"/>
    <w:rsid w:val="000A60F4"/>
    <w:rsid w:val="000A61FB"/>
    <w:rsid w:val="000A7A40"/>
    <w:rsid w:val="000A7AD6"/>
    <w:rsid w:val="000A7C5A"/>
    <w:rsid w:val="000B001D"/>
    <w:rsid w:val="000B015F"/>
    <w:rsid w:val="000B0274"/>
    <w:rsid w:val="000B038E"/>
    <w:rsid w:val="000B08CB"/>
    <w:rsid w:val="000B08D1"/>
    <w:rsid w:val="000B0A95"/>
    <w:rsid w:val="000B0ADF"/>
    <w:rsid w:val="000B0C23"/>
    <w:rsid w:val="000B18C2"/>
    <w:rsid w:val="000B1AAB"/>
    <w:rsid w:val="000B1C18"/>
    <w:rsid w:val="000B1C59"/>
    <w:rsid w:val="000B2C16"/>
    <w:rsid w:val="000B2FC7"/>
    <w:rsid w:val="000B310F"/>
    <w:rsid w:val="000B38C0"/>
    <w:rsid w:val="000B3DAA"/>
    <w:rsid w:val="000B3EEB"/>
    <w:rsid w:val="000B466E"/>
    <w:rsid w:val="000B4681"/>
    <w:rsid w:val="000B4763"/>
    <w:rsid w:val="000B4E20"/>
    <w:rsid w:val="000B4EDC"/>
    <w:rsid w:val="000B5120"/>
    <w:rsid w:val="000B515F"/>
    <w:rsid w:val="000B5605"/>
    <w:rsid w:val="000B57AA"/>
    <w:rsid w:val="000B5AF8"/>
    <w:rsid w:val="000B5F2C"/>
    <w:rsid w:val="000B6184"/>
    <w:rsid w:val="000B6843"/>
    <w:rsid w:val="000B6EB2"/>
    <w:rsid w:val="000B706F"/>
    <w:rsid w:val="000B77F8"/>
    <w:rsid w:val="000B78CC"/>
    <w:rsid w:val="000B7AE2"/>
    <w:rsid w:val="000C0203"/>
    <w:rsid w:val="000C041C"/>
    <w:rsid w:val="000C091B"/>
    <w:rsid w:val="000C0F48"/>
    <w:rsid w:val="000C0F5C"/>
    <w:rsid w:val="000C1356"/>
    <w:rsid w:val="000C18D0"/>
    <w:rsid w:val="000C1FB5"/>
    <w:rsid w:val="000C20E9"/>
    <w:rsid w:val="000C2555"/>
    <w:rsid w:val="000C25C3"/>
    <w:rsid w:val="000C2DF1"/>
    <w:rsid w:val="000C3692"/>
    <w:rsid w:val="000C37AC"/>
    <w:rsid w:val="000C3B1F"/>
    <w:rsid w:val="000C43D9"/>
    <w:rsid w:val="000C44B7"/>
    <w:rsid w:val="000C458C"/>
    <w:rsid w:val="000C4D1E"/>
    <w:rsid w:val="000C5329"/>
    <w:rsid w:val="000C5D43"/>
    <w:rsid w:val="000C5F42"/>
    <w:rsid w:val="000C60E6"/>
    <w:rsid w:val="000C6548"/>
    <w:rsid w:val="000C6591"/>
    <w:rsid w:val="000C6D2E"/>
    <w:rsid w:val="000C709F"/>
    <w:rsid w:val="000C72CA"/>
    <w:rsid w:val="000C7872"/>
    <w:rsid w:val="000C7AFF"/>
    <w:rsid w:val="000C7BA9"/>
    <w:rsid w:val="000C7C7C"/>
    <w:rsid w:val="000C7CAA"/>
    <w:rsid w:val="000D0476"/>
    <w:rsid w:val="000D04C1"/>
    <w:rsid w:val="000D0624"/>
    <w:rsid w:val="000D0DF7"/>
    <w:rsid w:val="000D0E50"/>
    <w:rsid w:val="000D1171"/>
    <w:rsid w:val="000D13A6"/>
    <w:rsid w:val="000D2113"/>
    <w:rsid w:val="000D2266"/>
    <w:rsid w:val="000D2736"/>
    <w:rsid w:val="000D2C27"/>
    <w:rsid w:val="000D30E7"/>
    <w:rsid w:val="000D35F7"/>
    <w:rsid w:val="000D3646"/>
    <w:rsid w:val="000D3760"/>
    <w:rsid w:val="000D3BCC"/>
    <w:rsid w:val="000D43AC"/>
    <w:rsid w:val="000D44DB"/>
    <w:rsid w:val="000D4645"/>
    <w:rsid w:val="000D467B"/>
    <w:rsid w:val="000D5420"/>
    <w:rsid w:val="000D58C9"/>
    <w:rsid w:val="000D5DA8"/>
    <w:rsid w:val="000D5F42"/>
    <w:rsid w:val="000D62F3"/>
    <w:rsid w:val="000D6630"/>
    <w:rsid w:val="000D682D"/>
    <w:rsid w:val="000D7E24"/>
    <w:rsid w:val="000D7EAD"/>
    <w:rsid w:val="000E06CA"/>
    <w:rsid w:val="000E07FC"/>
    <w:rsid w:val="000E0B79"/>
    <w:rsid w:val="000E0C92"/>
    <w:rsid w:val="000E0D69"/>
    <w:rsid w:val="000E0ECF"/>
    <w:rsid w:val="000E0F57"/>
    <w:rsid w:val="000E12A8"/>
    <w:rsid w:val="000E184E"/>
    <w:rsid w:val="000E1A44"/>
    <w:rsid w:val="000E1DE0"/>
    <w:rsid w:val="000E21D3"/>
    <w:rsid w:val="000E247B"/>
    <w:rsid w:val="000E247C"/>
    <w:rsid w:val="000E27E9"/>
    <w:rsid w:val="000E2A6C"/>
    <w:rsid w:val="000E2DC9"/>
    <w:rsid w:val="000E2E4B"/>
    <w:rsid w:val="000E2FF1"/>
    <w:rsid w:val="000E3DFD"/>
    <w:rsid w:val="000E4477"/>
    <w:rsid w:val="000E45E9"/>
    <w:rsid w:val="000E4A24"/>
    <w:rsid w:val="000E5217"/>
    <w:rsid w:val="000E5C17"/>
    <w:rsid w:val="000E6471"/>
    <w:rsid w:val="000E69A5"/>
    <w:rsid w:val="000E721B"/>
    <w:rsid w:val="000E74D2"/>
    <w:rsid w:val="000E789D"/>
    <w:rsid w:val="000F0055"/>
    <w:rsid w:val="000F0481"/>
    <w:rsid w:val="000F04BF"/>
    <w:rsid w:val="000F0699"/>
    <w:rsid w:val="000F078E"/>
    <w:rsid w:val="000F0BA2"/>
    <w:rsid w:val="000F0F98"/>
    <w:rsid w:val="000F1485"/>
    <w:rsid w:val="000F19E1"/>
    <w:rsid w:val="000F1B61"/>
    <w:rsid w:val="000F2032"/>
    <w:rsid w:val="000F22ED"/>
    <w:rsid w:val="000F2362"/>
    <w:rsid w:val="000F35A9"/>
    <w:rsid w:val="000F377A"/>
    <w:rsid w:val="000F3964"/>
    <w:rsid w:val="000F3BFE"/>
    <w:rsid w:val="000F3C1E"/>
    <w:rsid w:val="000F3DE4"/>
    <w:rsid w:val="000F3EC1"/>
    <w:rsid w:val="000F40FF"/>
    <w:rsid w:val="000F4C32"/>
    <w:rsid w:val="000F4C9B"/>
    <w:rsid w:val="000F52A7"/>
    <w:rsid w:val="000F58A1"/>
    <w:rsid w:val="000F5AA4"/>
    <w:rsid w:val="000F5AC6"/>
    <w:rsid w:val="000F5C5A"/>
    <w:rsid w:val="000F5D25"/>
    <w:rsid w:val="000F613C"/>
    <w:rsid w:val="000F6985"/>
    <w:rsid w:val="000F715A"/>
    <w:rsid w:val="000F72CB"/>
    <w:rsid w:val="000F7AE5"/>
    <w:rsid w:val="000F7B5F"/>
    <w:rsid w:val="001007E8"/>
    <w:rsid w:val="0010093F"/>
    <w:rsid w:val="00100AA8"/>
    <w:rsid w:val="00100B3E"/>
    <w:rsid w:val="0010109D"/>
    <w:rsid w:val="00101327"/>
    <w:rsid w:val="001017B0"/>
    <w:rsid w:val="0010229B"/>
    <w:rsid w:val="00102869"/>
    <w:rsid w:val="00102BB5"/>
    <w:rsid w:val="001036A5"/>
    <w:rsid w:val="001044CC"/>
    <w:rsid w:val="00104591"/>
    <w:rsid w:val="00104765"/>
    <w:rsid w:val="00104B62"/>
    <w:rsid w:val="00104CAF"/>
    <w:rsid w:val="00104F3E"/>
    <w:rsid w:val="00105230"/>
    <w:rsid w:val="001054D4"/>
    <w:rsid w:val="00105520"/>
    <w:rsid w:val="0010589B"/>
    <w:rsid w:val="00105BB1"/>
    <w:rsid w:val="00105C0B"/>
    <w:rsid w:val="00105CAF"/>
    <w:rsid w:val="0010629A"/>
    <w:rsid w:val="00106609"/>
    <w:rsid w:val="00106691"/>
    <w:rsid w:val="00107637"/>
    <w:rsid w:val="001079F5"/>
    <w:rsid w:val="00107BCE"/>
    <w:rsid w:val="00107E98"/>
    <w:rsid w:val="00110139"/>
    <w:rsid w:val="00110B0E"/>
    <w:rsid w:val="00110D86"/>
    <w:rsid w:val="00110E83"/>
    <w:rsid w:val="00110F6A"/>
    <w:rsid w:val="00111092"/>
    <w:rsid w:val="00111226"/>
    <w:rsid w:val="00111231"/>
    <w:rsid w:val="00111769"/>
    <w:rsid w:val="00111903"/>
    <w:rsid w:val="001119E0"/>
    <w:rsid w:val="001122A8"/>
    <w:rsid w:val="00112340"/>
    <w:rsid w:val="00112FE4"/>
    <w:rsid w:val="0011301C"/>
    <w:rsid w:val="0011309C"/>
    <w:rsid w:val="00113644"/>
    <w:rsid w:val="00113D17"/>
    <w:rsid w:val="00113E55"/>
    <w:rsid w:val="00113F26"/>
    <w:rsid w:val="0011452F"/>
    <w:rsid w:val="001146D7"/>
    <w:rsid w:val="00114791"/>
    <w:rsid w:val="001149FA"/>
    <w:rsid w:val="00114A1E"/>
    <w:rsid w:val="00114AB9"/>
    <w:rsid w:val="00114DA9"/>
    <w:rsid w:val="00114EBA"/>
    <w:rsid w:val="00114F6B"/>
    <w:rsid w:val="0011546D"/>
    <w:rsid w:val="001155CF"/>
    <w:rsid w:val="00115872"/>
    <w:rsid w:val="00116043"/>
    <w:rsid w:val="001160C4"/>
    <w:rsid w:val="00116463"/>
    <w:rsid w:val="00116637"/>
    <w:rsid w:val="001168CC"/>
    <w:rsid w:val="001169DD"/>
    <w:rsid w:val="0011771E"/>
    <w:rsid w:val="00117F28"/>
    <w:rsid w:val="001200DD"/>
    <w:rsid w:val="0012045D"/>
    <w:rsid w:val="001209AC"/>
    <w:rsid w:val="00120B32"/>
    <w:rsid w:val="0012143F"/>
    <w:rsid w:val="00122124"/>
    <w:rsid w:val="001221E3"/>
    <w:rsid w:val="0012226D"/>
    <w:rsid w:val="0012281C"/>
    <w:rsid w:val="00122966"/>
    <w:rsid w:val="00122EC3"/>
    <w:rsid w:val="00123512"/>
    <w:rsid w:val="00123811"/>
    <w:rsid w:val="00123C6D"/>
    <w:rsid w:val="00123FBB"/>
    <w:rsid w:val="001241B1"/>
    <w:rsid w:val="00124603"/>
    <w:rsid w:val="0012477A"/>
    <w:rsid w:val="00124CBF"/>
    <w:rsid w:val="00124FE3"/>
    <w:rsid w:val="0012683D"/>
    <w:rsid w:val="00126CCD"/>
    <w:rsid w:val="00126E8C"/>
    <w:rsid w:val="00127081"/>
    <w:rsid w:val="001271F3"/>
    <w:rsid w:val="0012736E"/>
    <w:rsid w:val="00127A3E"/>
    <w:rsid w:val="00130301"/>
    <w:rsid w:val="001304D0"/>
    <w:rsid w:val="00130543"/>
    <w:rsid w:val="00130B6B"/>
    <w:rsid w:val="00130D1C"/>
    <w:rsid w:val="001314D3"/>
    <w:rsid w:val="001314E0"/>
    <w:rsid w:val="0013190B"/>
    <w:rsid w:val="00131942"/>
    <w:rsid w:val="00131B41"/>
    <w:rsid w:val="00131B76"/>
    <w:rsid w:val="00131CFA"/>
    <w:rsid w:val="00131D4C"/>
    <w:rsid w:val="001325E6"/>
    <w:rsid w:val="0013261A"/>
    <w:rsid w:val="00132D15"/>
    <w:rsid w:val="001338F8"/>
    <w:rsid w:val="00133EAF"/>
    <w:rsid w:val="00134027"/>
    <w:rsid w:val="0013460E"/>
    <w:rsid w:val="00134DB3"/>
    <w:rsid w:val="00134DB5"/>
    <w:rsid w:val="00135434"/>
    <w:rsid w:val="00135B8B"/>
    <w:rsid w:val="00135D8F"/>
    <w:rsid w:val="00136298"/>
    <w:rsid w:val="00136887"/>
    <w:rsid w:val="00136EE3"/>
    <w:rsid w:val="00136FC4"/>
    <w:rsid w:val="001370F3"/>
    <w:rsid w:val="001373C5"/>
    <w:rsid w:val="001375C8"/>
    <w:rsid w:val="00137605"/>
    <w:rsid w:val="00137C23"/>
    <w:rsid w:val="00137EA2"/>
    <w:rsid w:val="00140395"/>
    <w:rsid w:val="00140724"/>
    <w:rsid w:val="0014076F"/>
    <w:rsid w:val="00140EF1"/>
    <w:rsid w:val="0014109C"/>
    <w:rsid w:val="001410D6"/>
    <w:rsid w:val="00141534"/>
    <w:rsid w:val="00141635"/>
    <w:rsid w:val="00141796"/>
    <w:rsid w:val="001429B9"/>
    <w:rsid w:val="00142EAA"/>
    <w:rsid w:val="00144258"/>
    <w:rsid w:val="00144425"/>
    <w:rsid w:val="0014519F"/>
    <w:rsid w:val="00145426"/>
    <w:rsid w:val="001455B3"/>
    <w:rsid w:val="00145984"/>
    <w:rsid w:val="001459AF"/>
    <w:rsid w:val="00145A91"/>
    <w:rsid w:val="00145B63"/>
    <w:rsid w:val="00145CFD"/>
    <w:rsid w:val="00145DFA"/>
    <w:rsid w:val="00146059"/>
    <w:rsid w:val="001460E1"/>
    <w:rsid w:val="00146C32"/>
    <w:rsid w:val="00147177"/>
    <w:rsid w:val="001473E8"/>
    <w:rsid w:val="001474FC"/>
    <w:rsid w:val="00147874"/>
    <w:rsid w:val="00147DEE"/>
    <w:rsid w:val="00147E5F"/>
    <w:rsid w:val="00150038"/>
    <w:rsid w:val="00150095"/>
    <w:rsid w:val="00150374"/>
    <w:rsid w:val="00150648"/>
    <w:rsid w:val="001507BD"/>
    <w:rsid w:val="001508D4"/>
    <w:rsid w:val="001509A6"/>
    <w:rsid w:val="00150AB6"/>
    <w:rsid w:val="0015194F"/>
    <w:rsid w:val="0015213C"/>
    <w:rsid w:val="001521A6"/>
    <w:rsid w:val="00153126"/>
    <w:rsid w:val="00153942"/>
    <w:rsid w:val="00153ECC"/>
    <w:rsid w:val="00154281"/>
    <w:rsid w:val="0015493E"/>
    <w:rsid w:val="0015496C"/>
    <w:rsid w:val="00154F9D"/>
    <w:rsid w:val="00155081"/>
    <w:rsid w:val="001552E6"/>
    <w:rsid w:val="0015546F"/>
    <w:rsid w:val="00155BD9"/>
    <w:rsid w:val="00155D5A"/>
    <w:rsid w:val="00156078"/>
    <w:rsid w:val="00156870"/>
    <w:rsid w:val="00156AAF"/>
    <w:rsid w:val="00156CE9"/>
    <w:rsid w:val="00157445"/>
    <w:rsid w:val="001575AB"/>
    <w:rsid w:val="00157760"/>
    <w:rsid w:val="00157B8C"/>
    <w:rsid w:val="00157C96"/>
    <w:rsid w:val="00160A03"/>
    <w:rsid w:val="00160C3F"/>
    <w:rsid w:val="00160C4D"/>
    <w:rsid w:val="00160CE3"/>
    <w:rsid w:val="00161702"/>
    <w:rsid w:val="00161AC5"/>
    <w:rsid w:val="00162022"/>
    <w:rsid w:val="0016202E"/>
    <w:rsid w:val="001620E8"/>
    <w:rsid w:val="0016213C"/>
    <w:rsid w:val="00162453"/>
    <w:rsid w:val="00162626"/>
    <w:rsid w:val="00162C56"/>
    <w:rsid w:val="0016413C"/>
    <w:rsid w:val="001642D5"/>
    <w:rsid w:val="00164CA0"/>
    <w:rsid w:val="00164FB6"/>
    <w:rsid w:val="001650FE"/>
    <w:rsid w:val="001655B0"/>
    <w:rsid w:val="001655B4"/>
    <w:rsid w:val="001655F0"/>
    <w:rsid w:val="00165695"/>
    <w:rsid w:val="0016571D"/>
    <w:rsid w:val="00165736"/>
    <w:rsid w:val="001659BD"/>
    <w:rsid w:val="001659E9"/>
    <w:rsid w:val="0016613D"/>
    <w:rsid w:val="00166961"/>
    <w:rsid w:val="00166A99"/>
    <w:rsid w:val="00166B54"/>
    <w:rsid w:val="00166B7F"/>
    <w:rsid w:val="00166E75"/>
    <w:rsid w:val="00166FC3"/>
    <w:rsid w:val="00167172"/>
    <w:rsid w:val="00167697"/>
    <w:rsid w:val="0016788F"/>
    <w:rsid w:val="001678DC"/>
    <w:rsid w:val="00167A77"/>
    <w:rsid w:val="00167B77"/>
    <w:rsid w:val="00167C18"/>
    <w:rsid w:val="001705BD"/>
    <w:rsid w:val="00170609"/>
    <w:rsid w:val="00170759"/>
    <w:rsid w:val="001709F6"/>
    <w:rsid w:val="00170A84"/>
    <w:rsid w:val="00170FE8"/>
    <w:rsid w:val="0017100D"/>
    <w:rsid w:val="001714C4"/>
    <w:rsid w:val="00171709"/>
    <w:rsid w:val="00171736"/>
    <w:rsid w:val="001719DC"/>
    <w:rsid w:val="00171B78"/>
    <w:rsid w:val="00171F52"/>
    <w:rsid w:val="0017278A"/>
    <w:rsid w:val="001731F8"/>
    <w:rsid w:val="00173504"/>
    <w:rsid w:val="001736EE"/>
    <w:rsid w:val="001738EB"/>
    <w:rsid w:val="00173AE7"/>
    <w:rsid w:val="00173BE6"/>
    <w:rsid w:val="00173F9E"/>
    <w:rsid w:val="00174031"/>
    <w:rsid w:val="00174144"/>
    <w:rsid w:val="001745D3"/>
    <w:rsid w:val="00174929"/>
    <w:rsid w:val="0017531D"/>
    <w:rsid w:val="00175832"/>
    <w:rsid w:val="00175908"/>
    <w:rsid w:val="00175B07"/>
    <w:rsid w:val="001760AF"/>
    <w:rsid w:val="0017623C"/>
    <w:rsid w:val="00176569"/>
    <w:rsid w:val="001765B1"/>
    <w:rsid w:val="001766A3"/>
    <w:rsid w:val="00176A18"/>
    <w:rsid w:val="00176C78"/>
    <w:rsid w:val="00176D60"/>
    <w:rsid w:val="00176FAB"/>
    <w:rsid w:val="00177544"/>
    <w:rsid w:val="0017769E"/>
    <w:rsid w:val="0017782F"/>
    <w:rsid w:val="00177EF9"/>
    <w:rsid w:val="0018042E"/>
    <w:rsid w:val="001804CD"/>
    <w:rsid w:val="00180B42"/>
    <w:rsid w:val="00180D2E"/>
    <w:rsid w:val="00180F31"/>
    <w:rsid w:val="00181004"/>
    <w:rsid w:val="001812E2"/>
    <w:rsid w:val="001817C8"/>
    <w:rsid w:val="00181854"/>
    <w:rsid w:val="001819C5"/>
    <w:rsid w:val="00181FA9"/>
    <w:rsid w:val="00182666"/>
    <w:rsid w:val="00182900"/>
    <w:rsid w:val="00183709"/>
    <w:rsid w:val="00183750"/>
    <w:rsid w:val="001844DA"/>
    <w:rsid w:val="00184F1D"/>
    <w:rsid w:val="00185114"/>
    <w:rsid w:val="0018553B"/>
    <w:rsid w:val="00185C20"/>
    <w:rsid w:val="00185D40"/>
    <w:rsid w:val="0018631D"/>
    <w:rsid w:val="00186487"/>
    <w:rsid w:val="0018699B"/>
    <w:rsid w:val="00186F8A"/>
    <w:rsid w:val="001873D4"/>
    <w:rsid w:val="001877D8"/>
    <w:rsid w:val="0018793A"/>
    <w:rsid w:val="00187A70"/>
    <w:rsid w:val="00187BB1"/>
    <w:rsid w:val="00187C58"/>
    <w:rsid w:val="00187CDB"/>
    <w:rsid w:val="00190171"/>
    <w:rsid w:val="001905A1"/>
    <w:rsid w:val="00190606"/>
    <w:rsid w:val="00190876"/>
    <w:rsid w:val="00190C73"/>
    <w:rsid w:val="00190CC6"/>
    <w:rsid w:val="00190DD4"/>
    <w:rsid w:val="00191B7B"/>
    <w:rsid w:val="00191C5D"/>
    <w:rsid w:val="00192083"/>
    <w:rsid w:val="00192383"/>
    <w:rsid w:val="00192F26"/>
    <w:rsid w:val="00193B7B"/>
    <w:rsid w:val="00193CF3"/>
    <w:rsid w:val="00193F5C"/>
    <w:rsid w:val="00194127"/>
    <w:rsid w:val="00194410"/>
    <w:rsid w:val="00194557"/>
    <w:rsid w:val="001948CB"/>
    <w:rsid w:val="00194D95"/>
    <w:rsid w:val="00194D9C"/>
    <w:rsid w:val="00194F99"/>
    <w:rsid w:val="00195377"/>
    <w:rsid w:val="00195A3C"/>
    <w:rsid w:val="00195D18"/>
    <w:rsid w:val="00195E3A"/>
    <w:rsid w:val="0019676F"/>
    <w:rsid w:val="0019683F"/>
    <w:rsid w:val="00196A61"/>
    <w:rsid w:val="00196A8B"/>
    <w:rsid w:val="0019715F"/>
    <w:rsid w:val="001972B1"/>
    <w:rsid w:val="001974D4"/>
    <w:rsid w:val="001975FB"/>
    <w:rsid w:val="001977EC"/>
    <w:rsid w:val="001978AE"/>
    <w:rsid w:val="00197BE4"/>
    <w:rsid w:val="001A0763"/>
    <w:rsid w:val="001A1339"/>
    <w:rsid w:val="001A1527"/>
    <w:rsid w:val="001A1555"/>
    <w:rsid w:val="001A1661"/>
    <w:rsid w:val="001A175F"/>
    <w:rsid w:val="001A19B4"/>
    <w:rsid w:val="001A1B68"/>
    <w:rsid w:val="001A1BB2"/>
    <w:rsid w:val="001A27B9"/>
    <w:rsid w:val="001A2A37"/>
    <w:rsid w:val="001A2B11"/>
    <w:rsid w:val="001A2F36"/>
    <w:rsid w:val="001A2FFF"/>
    <w:rsid w:val="001A31FA"/>
    <w:rsid w:val="001A3496"/>
    <w:rsid w:val="001A381D"/>
    <w:rsid w:val="001A3DFA"/>
    <w:rsid w:val="001A3EF1"/>
    <w:rsid w:val="001A4093"/>
    <w:rsid w:val="001A42CE"/>
    <w:rsid w:val="001A43F6"/>
    <w:rsid w:val="001A453A"/>
    <w:rsid w:val="001A46DA"/>
    <w:rsid w:val="001A4757"/>
    <w:rsid w:val="001A4D97"/>
    <w:rsid w:val="001A4FB3"/>
    <w:rsid w:val="001A501A"/>
    <w:rsid w:val="001A52CF"/>
    <w:rsid w:val="001A5914"/>
    <w:rsid w:val="001A5BFF"/>
    <w:rsid w:val="001A5E41"/>
    <w:rsid w:val="001A6195"/>
    <w:rsid w:val="001A62CD"/>
    <w:rsid w:val="001A639A"/>
    <w:rsid w:val="001A6519"/>
    <w:rsid w:val="001A6715"/>
    <w:rsid w:val="001A6A70"/>
    <w:rsid w:val="001A6F06"/>
    <w:rsid w:val="001A719C"/>
    <w:rsid w:val="001A7324"/>
    <w:rsid w:val="001A7C03"/>
    <w:rsid w:val="001A7CE0"/>
    <w:rsid w:val="001A7D50"/>
    <w:rsid w:val="001A7E97"/>
    <w:rsid w:val="001B0F05"/>
    <w:rsid w:val="001B10C5"/>
    <w:rsid w:val="001B12D9"/>
    <w:rsid w:val="001B12FB"/>
    <w:rsid w:val="001B16C8"/>
    <w:rsid w:val="001B1A60"/>
    <w:rsid w:val="001B1CF8"/>
    <w:rsid w:val="001B20B3"/>
    <w:rsid w:val="001B20EC"/>
    <w:rsid w:val="001B3187"/>
    <w:rsid w:val="001B322B"/>
    <w:rsid w:val="001B3587"/>
    <w:rsid w:val="001B364C"/>
    <w:rsid w:val="001B38ED"/>
    <w:rsid w:val="001B3B03"/>
    <w:rsid w:val="001B3C11"/>
    <w:rsid w:val="001B3C27"/>
    <w:rsid w:val="001B3C2A"/>
    <w:rsid w:val="001B4020"/>
    <w:rsid w:val="001B406D"/>
    <w:rsid w:val="001B40C8"/>
    <w:rsid w:val="001B42D3"/>
    <w:rsid w:val="001B5580"/>
    <w:rsid w:val="001B5808"/>
    <w:rsid w:val="001B5AEE"/>
    <w:rsid w:val="001B5E4E"/>
    <w:rsid w:val="001B5EBE"/>
    <w:rsid w:val="001B608F"/>
    <w:rsid w:val="001B6210"/>
    <w:rsid w:val="001B630E"/>
    <w:rsid w:val="001B6498"/>
    <w:rsid w:val="001B6EB6"/>
    <w:rsid w:val="001B700A"/>
    <w:rsid w:val="001B7294"/>
    <w:rsid w:val="001B7AC1"/>
    <w:rsid w:val="001B7C4F"/>
    <w:rsid w:val="001B7CFF"/>
    <w:rsid w:val="001C0985"/>
    <w:rsid w:val="001C0BB4"/>
    <w:rsid w:val="001C0CFC"/>
    <w:rsid w:val="001C0F6D"/>
    <w:rsid w:val="001C12DF"/>
    <w:rsid w:val="001C162D"/>
    <w:rsid w:val="001C19C1"/>
    <w:rsid w:val="001C21C3"/>
    <w:rsid w:val="001C2379"/>
    <w:rsid w:val="001C24D1"/>
    <w:rsid w:val="001C26D4"/>
    <w:rsid w:val="001C29D1"/>
    <w:rsid w:val="001C304B"/>
    <w:rsid w:val="001C3113"/>
    <w:rsid w:val="001C3616"/>
    <w:rsid w:val="001C372A"/>
    <w:rsid w:val="001C38E9"/>
    <w:rsid w:val="001C3A55"/>
    <w:rsid w:val="001C3A64"/>
    <w:rsid w:val="001C3A6B"/>
    <w:rsid w:val="001C42F0"/>
    <w:rsid w:val="001C44CF"/>
    <w:rsid w:val="001C4891"/>
    <w:rsid w:val="001C491E"/>
    <w:rsid w:val="001C51D6"/>
    <w:rsid w:val="001C52EB"/>
    <w:rsid w:val="001C53CD"/>
    <w:rsid w:val="001C5587"/>
    <w:rsid w:val="001C5C58"/>
    <w:rsid w:val="001C5F2F"/>
    <w:rsid w:val="001C6350"/>
    <w:rsid w:val="001C6762"/>
    <w:rsid w:val="001C6A94"/>
    <w:rsid w:val="001C6F75"/>
    <w:rsid w:val="001C7BB7"/>
    <w:rsid w:val="001C7F0D"/>
    <w:rsid w:val="001D00BE"/>
    <w:rsid w:val="001D059B"/>
    <w:rsid w:val="001D0BAA"/>
    <w:rsid w:val="001D194C"/>
    <w:rsid w:val="001D19F8"/>
    <w:rsid w:val="001D1AC6"/>
    <w:rsid w:val="001D1BE1"/>
    <w:rsid w:val="001D1C22"/>
    <w:rsid w:val="001D1CB8"/>
    <w:rsid w:val="001D1EE8"/>
    <w:rsid w:val="001D25F7"/>
    <w:rsid w:val="001D2869"/>
    <w:rsid w:val="001D3504"/>
    <w:rsid w:val="001D3E33"/>
    <w:rsid w:val="001D44A9"/>
    <w:rsid w:val="001D477C"/>
    <w:rsid w:val="001D48C2"/>
    <w:rsid w:val="001D4F72"/>
    <w:rsid w:val="001D5156"/>
    <w:rsid w:val="001D51EE"/>
    <w:rsid w:val="001D553A"/>
    <w:rsid w:val="001D56D8"/>
    <w:rsid w:val="001D5D63"/>
    <w:rsid w:val="001D5E32"/>
    <w:rsid w:val="001D662A"/>
    <w:rsid w:val="001D6674"/>
    <w:rsid w:val="001D68A9"/>
    <w:rsid w:val="001D69F6"/>
    <w:rsid w:val="001D6ED1"/>
    <w:rsid w:val="001D73E9"/>
    <w:rsid w:val="001D7529"/>
    <w:rsid w:val="001D7622"/>
    <w:rsid w:val="001D7849"/>
    <w:rsid w:val="001E0988"/>
    <w:rsid w:val="001E0B4B"/>
    <w:rsid w:val="001E1104"/>
    <w:rsid w:val="001E17EE"/>
    <w:rsid w:val="001E2057"/>
    <w:rsid w:val="001E3126"/>
    <w:rsid w:val="001E342F"/>
    <w:rsid w:val="001E3641"/>
    <w:rsid w:val="001E3BB7"/>
    <w:rsid w:val="001E4075"/>
    <w:rsid w:val="001E4458"/>
    <w:rsid w:val="001E4A4E"/>
    <w:rsid w:val="001E4EC8"/>
    <w:rsid w:val="001E5296"/>
    <w:rsid w:val="001E52D0"/>
    <w:rsid w:val="001E5898"/>
    <w:rsid w:val="001E679C"/>
    <w:rsid w:val="001E6E9B"/>
    <w:rsid w:val="001E74A2"/>
    <w:rsid w:val="001E7571"/>
    <w:rsid w:val="001E79EC"/>
    <w:rsid w:val="001E7C9C"/>
    <w:rsid w:val="001E7D80"/>
    <w:rsid w:val="001F0064"/>
    <w:rsid w:val="001F019D"/>
    <w:rsid w:val="001F02C9"/>
    <w:rsid w:val="001F04C1"/>
    <w:rsid w:val="001F066B"/>
    <w:rsid w:val="001F06CB"/>
    <w:rsid w:val="001F0917"/>
    <w:rsid w:val="001F0E07"/>
    <w:rsid w:val="001F10BF"/>
    <w:rsid w:val="001F1264"/>
    <w:rsid w:val="001F265E"/>
    <w:rsid w:val="001F27EF"/>
    <w:rsid w:val="001F2A08"/>
    <w:rsid w:val="001F2AF4"/>
    <w:rsid w:val="001F2BDD"/>
    <w:rsid w:val="001F2EC3"/>
    <w:rsid w:val="001F3A14"/>
    <w:rsid w:val="001F3F6B"/>
    <w:rsid w:val="001F4031"/>
    <w:rsid w:val="001F4041"/>
    <w:rsid w:val="001F4283"/>
    <w:rsid w:val="001F4BC4"/>
    <w:rsid w:val="001F4FE5"/>
    <w:rsid w:val="001F51FB"/>
    <w:rsid w:val="001F526D"/>
    <w:rsid w:val="001F58A0"/>
    <w:rsid w:val="001F6640"/>
    <w:rsid w:val="001F668A"/>
    <w:rsid w:val="001F692A"/>
    <w:rsid w:val="001F6A76"/>
    <w:rsid w:val="001F6B79"/>
    <w:rsid w:val="001F70B0"/>
    <w:rsid w:val="001F7219"/>
    <w:rsid w:val="001F7299"/>
    <w:rsid w:val="001F739B"/>
    <w:rsid w:val="001F74EC"/>
    <w:rsid w:val="001F7675"/>
    <w:rsid w:val="001F78C4"/>
    <w:rsid w:val="001F7A57"/>
    <w:rsid w:val="001F7BE1"/>
    <w:rsid w:val="001F7FE3"/>
    <w:rsid w:val="0020001D"/>
    <w:rsid w:val="00200066"/>
    <w:rsid w:val="0020021E"/>
    <w:rsid w:val="00200846"/>
    <w:rsid w:val="002008F6"/>
    <w:rsid w:val="00200ACA"/>
    <w:rsid w:val="00200FAF"/>
    <w:rsid w:val="0020101A"/>
    <w:rsid w:val="002012D2"/>
    <w:rsid w:val="002014B8"/>
    <w:rsid w:val="002014D6"/>
    <w:rsid w:val="00201CE7"/>
    <w:rsid w:val="0020209C"/>
    <w:rsid w:val="00202205"/>
    <w:rsid w:val="002025B5"/>
    <w:rsid w:val="00202618"/>
    <w:rsid w:val="0020266D"/>
    <w:rsid w:val="00202F0E"/>
    <w:rsid w:val="002032D7"/>
    <w:rsid w:val="002035D3"/>
    <w:rsid w:val="00203771"/>
    <w:rsid w:val="002039C9"/>
    <w:rsid w:val="00203EAB"/>
    <w:rsid w:val="00203EED"/>
    <w:rsid w:val="0020407D"/>
    <w:rsid w:val="002048E5"/>
    <w:rsid w:val="00205930"/>
    <w:rsid w:val="00206439"/>
    <w:rsid w:val="00206457"/>
    <w:rsid w:val="00206A85"/>
    <w:rsid w:val="00206B8C"/>
    <w:rsid w:val="00206B91"/>
    <w:rsid w:val="00206F96"/>
    <w:rsid w:val="00207716"/>
    <w:rsid w:val="00210012"/>
    <w:rsid w:val="002103DD"/>
    <w:rsid w:val="00210665"/>
    <w:rsid w:val="00210E29"/>
    <w:rsid w:val="002116E1"/>
    <w:rsid w:val="00211AEA"/>
    <w:rsid w:val="00211DBE"/>
    <w:rsid w:val="00211E03"/>
    <w:rsid w:val="00211E9E"/>
    <w:rsid w:val="002122ED"/>
    <w:rsid w:val="002129BF"/>
    <w:rsid w:val="00212C2D"/>
    <w:rsid w:val="002136A6"/>
    <w:rsid w:val="00213AAA"/>
    <w:rsid w:val="0021490D"/>
    <w:rsid w:val="00214A82"/>
    <w:rsid w:val="00214C79"/>
    <w:rsid w:val="00214D19"/>
    <w:rsid w:val="00214DE3"/>
    <w:rsid w:val="00215003"/>
    <w:rsid w:val="002152D9"/>
    <w:rsid w:val="00215812"/>
    <w:rsid w:val="00215CD2"/>
    <w:rsid w:val="00215D95"/>
    <w:rsid w:val="002164C7"/>
    <w:rsid w:val="0021683B"/>
    <w:rsid w:val="00216A24"/>
    <w:rsid w:val="00216A67"/>
    <w:rsid w:val="00216AC5"/>
    <w:rsid w:val="002170B5"/>
    <w:rsid w:val="00217308"/>
    <w:rsid w:val="002173B6"/>
    <w:rsid w:val="00217568"/>
    <w:rsid w:val="00217608"/>
    <w:rsid w:val="002176E7"/>
    <w:rsid w:val="00217885"/>
    <w:rsid w:val="002178E0"/>
    <w:rsid w:val="00217AF0"/>
    <w:rsid w:val="00217B22"/>
    <w:rsid w:val="00217C37"/>
    <w:rsid w:val="00217D57"/>
    <w:rsid w:val="00217E5F"/>
    <w:rsid w:val="00220199"/>
    <w:rsid w:val="00221008"/>
    <w:rsid w:val="00221168"/>
    <w:rsid w:val="00221460"/>
    <w:rsid w:val="00221936"/>
    <w:rsid w:val="002222EC"/>
    <w:rsid w:val="00222562"/>
    <w:rsid w:val="00222611"/>
    <w:rsid w:val="0022269C"/>
    <w:rsid w:val="00223048"/>
    <w:rsid w:val="002230B3"/>
    <w:rsid w:val="00223499"/>
    <w:rsid w:val="00223525"/>
    <w:rsid w:val="00223BD2"/>
    <w:rsid w:val="002243B2"/>
    <w:rsid w:val="00224558"/>
    <w:rsid w:val="002250B5"/>
    <w:rsid w:val="00225968"/>
    <w:rsid w:val="00226AC8"/>
    <w:rsid w:val="00226B8B"/>
    <w:rsid w:val="00227007"/>
    <w:rsid w:val="00227831"/>
    <w:rsid w:val="00227D77"/>
    <w:rsid w:val="00227D9A"/>
    <w:rsid w:val="00227EE4"/>
    <w:rsid w:val="0023026E"/>
    <w:rsid w:val="002306DA"/>
    <w:rsid w:val="002308E6"/>
    <w:rsid w:val="00230AC9"/>
    <w:rsid w:val="00230ADF"/>
    <w:rsid w:val="00230D85"/>
    <w:rsid w:val="00230ED9"/>
    <w:rsid w:val="002313E1"/>
    <w:rsid w:val="0023181D"/>
    <w:rsid w:val="0023182B"/>
    <w:rsid w:val="00231D41"/>
    <w:rsid w:val="00232009"/>
    <w:rsid w:val="00232690"/>
    <w:rsid w:val="00232775"/>
    <w:rsid w:val="002328B4"/>
    <w:rsid w:val="00232CE9"/>
    <w:rsid w:val="00233281"/>
    <w:rsid w:val="00233467"/>
    <w:rsid w:val="002337E3"/>
    <w:rsid w:val="00233F46"/>
    <w:rsid w:val="002344C2"/>
    <w:rsid w:val="00234984"/>
    <w:rsid w:val="00234F01"/>
    <w:rsid w:val="002351A0"/>
    <w:rsid w:val="00235925"/>
    <w:rsid w:val="00235CCC"/>
    <w:rsid w:val="00236081"/>
    <w:rsid w:val="00236831"/>
    <w:rsid w:val="00236B8C"/>
    <w:rsid w:val="00236D6E"/>
    <w:rsid w:val="00236DF8"/>
    <w:rsid w:val="00236F7D"/>
    <w:rsid w:val="00237301"/>
    <w:rsid w:val="00237491"/>
    <w:rsid w:val="002375C3"/>
    <w:rsid w:val="00237742"/>
    <w:rsid w:val="002377CA"/>
    <w:rsid w:val="00237E30"/>
    <w:rsid w:val="002401AA"/>
    <w:rsid w:val="002403AB"/>
    <w:rsid w:val="00240540"/>
    <w:rsid w:val="002406C1"/>
    <w:rsid w:val="00240970"/>
    <w:rsid w:val="002413F9"/>
    <w:rsid w:val="002418C5"/>
    <w:rsid w:val="00241952"/>
    <w:rsid w:val="00241CE5"/>
    <w:rsid w:val="00242508"/>
    <w:rsid w:val="002428CD"/>
    <w:rsid w:val="00242E99"/>
    <w:rsid w:val="0024358F"/>
    <w:rsid w:val="002436C3"/>
    <w:rsid w:val="0024378C"/>
    <w:rsid w:val="00243B48"/>
    <w:rsid w:val="002442D2"/>
    <w:rsid w:val="002446F5"/>
    <w:rsid w:val="002452CD"/>
    <w:rsid w:val="00245778"/>
    <w:rsid w:val="002459A7"/>
    <w:rsid w:val="00245CD4"/>
    <w:rsid w:val="002461A0"/>
    <w:rsid w:val="00246381"/>
    <w:rsid w:val="0024647E"/>
    <w:rsid w:val="00246488"/>
    <w:rsid w:val="002464D6"/>
    <w:rsid w:val="00246D42"/>
    <w:rsid w:val="002474BB"/>
    <w:rsid w:val="00247547"/>
    <w:rsid w:val="0024757C"/>
    <w:rsid w:val="0024791E"/>
    <w:rsid w:val="00247DA9"/>
    <w:rsid w:val="00247EEF"/>
    <w:rsid w:val="00250008"/>
    <w:rsid w:val="00250197"/>
    <w:rsid w:val="00250199"/>
    <w:rsid w:val="00250BBC"/>
    <w:rsid w:val="0025166D"/>
    <w:rsid w:val="002517D6"/>
    <w:rsid w:val="00251857"/>
    <w:rsid w:val="00251CAD"/>
    <w:rsid w:val="00251CDB"/>
    <w:rsid w:val="00251F27"/>
    <w:rsid w:val="0025288D"/>
    <w:rsid w:val="0025295F"/>
    <w:rsid w:val="00252CAC"/>
    <w:rsid w:val="00252F03"/>
    <w:rsid w:val="00254068"/>
    <w:rsid w:val="00254132"/>
    <w:rsid w:val="0025437F"/>
    <w:rsid w:val="002543B7"/>
    <w:rsid w:val="002543E4"/>
    <w:rsid w:val="0025491D"/>
    <w:rsid w:val="00254C66"/>
    <w:rsid w:val="00254F01"/>
    <w:rsid w:val="00255EE8"/>
    <w:rsid w:val="00255FCE"/>
    <w:rsid w:val="00256194"/>
    <w:rsid w:val="002561EB"/>
    <w:rsid w:val="002562FC"/>
    <w:rsid w:val="0025655B"/>
    <w:rsid w:val="00256DF7"/>
    <w:rsid w:val="0025779A"/>
    <w:rsid w:val="0025779D"/>
    <w:rsid w:val="0026029A"/>
    <w:rsid w:val="00260D15"/>
    <w:rsid w:val="00260E67"/>
    <w:rsid w:val="00260F20"/>
    <w:rsid w:val="00261176"/>
    <w:rsid w:val="00261393"/>
    <w:rsid w:val="002613DB"/>
    <w:rsid w:val="002618A3"/>
    <w:rsid w:val="00262123"/>
    <w:rsid w:val="00262646"/>
    <w:rsid w:val="00262D2B"/>
    <w:rsid w:val="002636FF"/>
    <w:rsid w:val="002645DA"/>
    <w:rsid w:val="00264E7D"/>
    <w:rsid w:val="002657DE"/>
    <w:rsid w:val="002664C8"/>
    <w:rsid w:val="00266664"/>
    <w:rsid w:val="00266C14"/>
    <w:rsid w:val="00266FD1"/>
    <w:rsid w:val="00267219"/>
    <w:rsid w:val="002676F0"/>
    <w:rsid w:val="002678EF"/>
    <w:rsid w:val="00270446"/>
    <w:rsid w:val="002709C0"/>
    <w:rsid w:val="00270D16"/>
    <w:rsid w:val="00270ED1"/>
    <w:rsid w:val="0027103B"/>
    <w:rsid w:val="0027108A"/>
    <w:rsid w:val="0027121E"/>
    <w:rsid w:val="00271908"/>
    <w:rsid w:val="002719B4"/>
    <w:rsid w:val="00271DA3"/>
    <w:rsid w:val="00272180"/>
    <w:rsid w:val="00272224"/>
    <w:rsid w:val="0027239D"/>
    <w:rsid w:val="00272821"/>
    <w:rsid w:val="00272AB6"/>
    <w:rsid w:val="00272F4D"/>
    <w:rsid w:val="0027343A"/>
    <w:rsid w:val="0027364E"/>
    <w:rsid w:val="00273CD5"/>
    <w:rsid w:val="00274631"/>
    <w:rsid w:val="00274945"/>
    <w:rsid w:val="00274BBF"/>
    <w:rsid w:val="0027520A"/>
    <w:rsid w:val="00275496"/>
    <w:rsid w:val="0027561D"/>
    <w:rsid w:val="0027585D"/>
    <w:rsid w:val="00275FB4"/>
    <w:rsid w:val="00276E24"/>
    <w:rsid w:val="002772ED"/>
    <w:rsid w:val="00277358"/>
    <w:rsid w:val="00277383"/>
    <w:rsid w:val="0027787A"/>
    <w:rsid w:val="00277E59"/>
    <w:rsid w:val="00277F37"/>
    <w:rsid w:val="00277FA6"/>
    <w:rsid w:val="002803B0"/>
    <w:rsid w:val="0028083E"/>
    <w:rsid w:val="002808C0"/>
    <w:rsid w:val="00280A17"/>
    <w:rsid w:val="002810C1"/>
    <w:rsid w:val="0028153E"/>
    <w:rsid w:val="00281667"/>
    <w:rsid w:val="00281697"/>
    <w:rsid w:val="00281FAA"/>
    <w:rsid w:val="00281FDB"/>
    <w:rsid w:val="0028231C"/>
    <w:rsid w:val="002823E7"/>
    <w:rsid w:val="002824CF"/>
    <w:rsid w:val="002832D4"/>
    <w:rsid w:val="00283478"/>
    <w:rsid w:val="00283911"/>
    <w:rsid w:val="00283CB0"/>
    <w:rsid w:val="00283F18"/>
    <w:rsid w:val="00283F7A"/>
    <w:rsid w:val="00283F89"/>
    <w:rsid w:val="00284054"/>
    <w:rsid w:val="00284309"/>
    <w:rsid w:val="0028484C"/>
    <w:rsid w:val="00284A2D"/>
    <w:rsid w:val="00284AC3"/>
    <w:rsid w:val="00284BAB"/>
    <w:rsid w:val="00284BEB"/>
    <w:rsid w:val="00285217"/>
    <w:rsid w:val="00285391"/>
    <w:rsid w:val="00285468"/>
    <w:rsid w:val="00285C95"/>
    <w:rsid w:val="00285DB7"/>
    <w:rsid w:val="0028600C"/>
    <w:rsid w:val="00286614"/>
    <w:rsid w:val="0028663B"/>
    <w:rsid w:val="002872FD"/>
    <w:rsid w:val="002873A1"/>
    <w:rsid w:val="00287719"/>
    <w:rsid w:val="00287779"/>
    <w:rsid w:val="002879F7"/>
    <w:rsid w:val="00287E8A"/>
    <w:rsid w:val="00290279"/>
    <w:rsid w:val="00290C6C"/>
    <w:rsid w:val="002910D9"/>
    <w:rsid w:val="00291C64"/>
    <w:rsid w:val="00291ECE"/>
    <w:rsid w:val="00292281"/>
    <w:rsid w:val="002922FD"/>
    <w:rsid w:val="002928CE"/>
    <w:rsid w:val="00292D97"/>
    <w:rsid w:val="00293126"/>
    <w:rsid w:val="002931D4"/>
    <w:rsid w:val="00293C95"/>
    <w:rsid w:val="00293CD8"/>
    <w:rsid w:val="002941AC"/>
    <w:rsid w:val="002944E5"/>
    <w:rsid w:val="00294DEF"/>
    <w:rsid w:val="00295028"/>
    <w:rsid w:val="00295262"/>
    <w:rsid w:val="002955A7"/>
    <w:rsid w:val="002958D3"/>
    <w:rsid w:val="00295902"/>
    <w:rsid w:val="00295BB7"/>
    <w:rsid w:val="00295F1E"/>
    <w:rsid w:val="00295FEA"/>
    <w:rsid w:val="00296333"/>
    <w:rsid w:val="00296462"/>
    <w:rsid w:val="0029646F"/>
    <w:rsid w:val="00296630"/>
    <w:rsid w:val="00296802"/>
    <w:rsid w:val="002968A9"/>
    <w:rsid w:val="00296B5F"/>
    <w:rsid w:val="00296BAF"/>
    <w:rsid w:val="00296BFB"/>
    <w:rsid w:val="00296FDD"/>
    <w:rsid w:val="0029703E"/>
    <w:rsid w:val="002970D6"/>
    <w:rsid w:val="002970ED"/>
    <w:rsid w:val="00297669"/>
    <w:rsid w:val="00297711"/>
    <w:rsid w:val="00297BDD"/>
    <w:rsid w:val="00297D57"/>
    <w:rsid w:val="002A005D"/>
    <w:rsid w:val="002A0275"/>
    <w:rsid w:val="002A0C6D"/>
    <w:rsid w:val="002A0DC3"/>
    <w:rsid w:val="002A113E"/>
    <w:rsid w:val="002A13AA"/>
    <w:rsid w:val="002A1658"/>
    <w:rsid w:val="002A1691"/>
    <w:rsid w:val="002A1C66"/>
    <w:rsid w:val="002A1C73"/>
    <w:rsid w:val="002A2277"/>
    <w:rsid w:val="002A27A0"/>
    <w:rsid w:val="002A3751"/>
    <w:rsid w:val="002A38A0"/>
    <w:rsid w:val="002A3F2C"/>
    <w:rsid w:val="002A4093"/>
    <w:rsid w:val="002A4128"/>
    <w:rsid w:val="002A4668"/>
    <w:rsid w:val="002A48F7"/>
    <w:rsid w:val="002A4A88"/>
    <w:rsid w:val="002A5138"/>
    <w:rsid w:val="002A5147"/>
    <w:rsid w:val="002A552B"/>
    <w:rsid w:val="002A55E2"/>
    <w:rsid w:val="002A56EA"/>
    <w:rsid w:val="002A57FC"/>
    <w:rsid w:val="002A5875"/>
    <w:rsid w:val="002A59D9"/>
    <w:rsid w:val="002A6072"/>
    <w:rsid w:val="002A64C7"/>
    <w:rsid w:val="002A6761"/>
    <w:rsid w:val="002A6BD3"/>
    <w:rsid w:val="002A6DA7"/>
    <w:rsid w:val="002A72AF"/>
    <w:rsid w:val="002A72DE"/>
    <w:rsid w:val="002A75FA"/>
    <w:rsid w:val="002A7722"/>
    <w:rsid w:val="002A7C62"/>
    <w:rsid w:val="002A7FD3"/>
    <w:rsid w:val="002B0125"/>
    <w:rsid w:val="002B0601"/>
    <w:rsid w:val="002B0C0C"/>
    <w:rsid w:val="002B0D66"/>
    <w:rsid w:val="002B10C1"/>
    <w:rsid w:val="002B10D7"/>
    <w:rsid w:val="002B1B71"/>
    <w:rsid w:val="002B1C28"/>
    <w:rsid w:val="002B1D1D"/>
    <w:rsid w:val="002B2009"/>
    <w:rsid w:val="002B20ED"/>
    <w:rsid w:val="002B23C6"/>
    <w:rsid w:val="002B2526"/>
    <w:rsid w:val="002B28AE"/>
    <w:rsid w:val="002B2EDF"/>
    <w:rsid w:val="002B2FC0"/>
    <w:rsid w:val="002B2FD5"/>
    <w:rsid w:val="002B30EB"/>
    <w:rsid w:val="002B31A3"/>
    <w:rsid w:val="002B336E"/>
    <w:rsid w:val="002B34B2"/>
    <w:rsid w:val="002B38F1"/>
    <w:rsid w:val="002B3C01"/>
    <w:rsid w:val="002B3D58"/>
    <w:rsid w:val="002B435F"/>
    <w:rsid w:val="002B43A2"/>
    <w:rsid w:val="002B43C9"/>
    <w:rsid w:val="002B5110"/>
    <w:rsid w:val="002B51FD"/>
    <w:rsid w:val="002B5479"/>
    <w:rsid w:val="002B5C09"/>
    <w:rsid w:val="002B602B"/>
    <w:rsid w:val="002B64DB"/>
    <w:rsid w:val="002B6B56"/>
    <w:rsid w:val="002B6C12"/>
    <w:rsid w:val="002B72BD"/>
    <w:rsid w:val="002B7E68"/>
    <w:rsid w:val="002B7FAB"/>
    <w:rsid w:val="002C002D"/>
    <w:rsid w:val="002C029E"/>
    <w:rsid w:val="002C02C7"/>
    <w:rsid w:val="002C0380"/>
    <w:rsid w:val="002C077D"/>
    <w:rsid w:val="002C0931"/>
    <w:rsid w:val="002C10CE"/>
    <w:rsid w:val="002C1246"/>
    <w:rsid w:val="002C1393"/>
    <w:rsid w:val="002C179E"/>
    <w:rsid w:val="002C1B55"/>
    <w:rsid w:val="002C1C98"/>
    <w:rsid w:val="002C1ED9"/>
    <w:rsid w:val="002C2AC0"/>
    <w:rsid w:val="002C362D"/>
    <w:rsid w:val="002C3BCC"/>
    <w:rsid w:val="002C420F"/>
    <w:rsid w:val="002C426A"/>
    <w:rsid w:val="002C47BE"/>
    <w:rsid w:val="002C48CD"/>
    <w:rsid w:val="002C4ACD"/>
    <w:rsid w:val="002C51FF"/>
    <w:rsid w:val="002C5267"/>
    <w:rsid w:val="002C5815"/>
    <w:rsid w:val="002C5863"/>
    <w:rsid w:val="002C5BCB"/>
    <w:rsid w:val="002C5C27"/>
    <w:rsid w:val="002C5EC5"/>
    <w:rsid w:val="002C6327"/>
    <w:rsid w:val="002C656E"/>
    <w:rsid w:val="002C686F"/>
    <w:rsid w:val="002C6B91"/>
    <w:rsid w:val="002C6BA2"/>
    <w:rsid w:val="002C6CA2"/>
    <w:rsid w:val="002C6F2A"/>
    <w:rsid w:val="002C70B9"/>
    <w:rsid w:val="002C716C"/>
    <w:rsid w:val="002C78F7"/>
    <w:rsid w:val="002C7C1C"/>
    <w:rsid w:val="002D02AE"/>
    <w:rsid w:val="002D06D3"/>
    <w:rsid w:val="002D074A"/>
    <w:rsid w:val="002D0A34"/>
    <w:rsid w:val="002D13A2"/>
    <w:rsid w:val="002D1513"/>
    <w:rsid w:val="002D1592"/>
    <w:rsid w:val="002D1932"/>
    <w:rsid w:val="002D194C"/>
    <w:rsid w:val="002D1A4A"/>
    <w:rsid w:val="002D202D"/>
    <w:rsid w:val="002D219F"/>
    <w:rsid w:val="002D2442"/>
    <w:rsid w:val="002D26ED"/>
    <w:rsid w:val="002D2901"/>
    <w:rsid w:val="002D2BDD"/>
    <w:rsid w:val="002D2D26"/>
    <w:rsid w:val="002D2F9B"/>
    <w:rsid w:val="002D3267"/>
    <w:rsid w:val="002D33E0"/>
    <w:rsid w:val="002D3400"/>
    <w:rsid w:val="002D3674"/>
    <w:rsid w:val="002D38C8"/>
    <w:rsid w:val="002D4119"/>
    <w:rsid w:val="002D424E"/>
    <w:rsid w:val="002D432D"/>
    <w:rsid w:val="002D4FCA"/>
    <w:rsid w:val="002D53FA"/>
    <w:rsid w:val="002D5439"/>
    <w:rsid w:val="002D5710"/>
    <w:rsid w:val="002D57DD"/>
    <w:rsid w:val="002D582F"/>
    <w:rsid w:val="002D5B8B"/>
    <w:rsid w:val="002D5BE6"/>
    <w:rsid w:val="002D655C"/>
    <w:rsid w:val="002D69C3"/>
    <w:rsid w:val="002D6EB1"/>
    <w:rsid w:val="002D7226"/>
    <w:rsid w:val="002D779F"/>
    <w:rsid w:val="002D77A7"/>
    <w:rsid w:val="002D7C5E"/>
    <w:rsid w:val="002E070D"/>
    <w:rsid w:val="002E073E"/>
    <w:rsid w:val="002E0DCF"/>
    <w:rsid w:val="002E1352"/>
    <w:rsid w:val="002E1417"/>
    <w:rsid w:val="002E1873"/>
    <w:rsid w:val="002E2774"/>
    <w:rsid w:val="002E27E7"/>
    <w:rsid w:val="002E29CE"/>
    <w:rsid w:val="002E2B15"/>
    <w:rsid w:val="002E30EE"/>
    <w:rsid w:val="002E3651"/>
    <w:rsid w:val="002E367B"/>
    <w:rsid w:val="002E43EB"/>
    <w:rsid w:val="002E44A8"/>
    <w:rsid w:val="002E4627"/>
    <w:rsid w:val="002E4B6E"/>
    <w:rsid w:val="002E4E4E"/>
    <w:rsid w:val="002E5146"/>
    <w:rsid w:val="002E5748"/>
    <w:rsid w:val="002E57CF"/>
    <w:rsid w:val="002E595A"/>
    <w:rsid w:val="002E5991"/>
    <w:rsid w:val="002E5CE7"/>
    <w:rsid w:val="002E64B4"/>
    <w:rsid w:val="002E64FC"/>
    <w:rsid w:val="002E701E"/>
    <w:rsid w:val="002E7020"/>
    <w:rsid w:val="002E73C6"/>
    <w:rsid w:val="002E7CC8"/>
    <w:rsid w:val="002F0135"/>
    <w:rsid w:val="002F0446"/>
    <w:rsid w:val="002F0A87"/>
    <w:rsid w:val="002F0EA1"/>
    <w:rsid w:val="002F2242"/>
    <w:rsid w:val="002F244C"/>
    <w:rsid w:val="002F24CE"/>
    <w:rsid w:val="002F24D8"/>
    <w:rsid w:val="002F27FC"/>
    <w:rsid w:val="002F299B"/>
    <w:rsid w:val="002F2A3F"/>
    <w:rsid w:val="002F2C51"/>
    <w:rsid w:val="002F3890"/>
    <w:rsid w:val="002F3B20"/>
    <w:rsid w:val="002F4ABE"/>
    <w:rsid w:val="002F4AE9"/>
    <w:rsid w:val="002F51E1"/>
    <w:rsid w:val="002F561B"/>
    <w:rsid w:val="002F5B3D"/>
    <w:rsid w:val="002F697E"/>
    <w:rsid w:val="002F6A2E"/>
    <w:rsid w:val="002F6B4E"/>
    <w:rsid w:val="002F73AB"/>
    <w:rsid w:val="002F73AD"/>
    <w:rsid w:val="00300059"/>
    <w:rsid w:val="00300393"/>
    <w:rsid w:val="00300520"/>
    <w:rsid w:val="00300AE4"/>
    <w:rsid w:val="00300C62"/>
    <w:rsid w:val="00301756"/>
    <w:rsid w:val="0030185F"/>
    <w:rsid w:val="00302229"/>
    <w:rsid w:val="00302636"/>
    <w:rsid w:val="0030267A"/>
    <w:rsid w:val="00302715"/>
    <w:rsid w:val="00302957"/>
    <w:rsid w:val="00302C9E"/>
    <w:rsid w:val="003034DA"/>
    <w:rsid w:val="0030355A"/>
    <w:rsid w:val="00303866"/>
    <w:rsid w:val="00303CC6"/>
    <w:rsid w:val="00303CF1"/>
    <w:rsid w:val="0030453B"/>
    <w:rsid w:val="00304577"/>
    <w:rsid w:val="00304656"/>
    <w:rsid w:val="003048BD"/>
    <w:rsid w:val="00304ABA"/>
    <w:rsid w:val="00304D42"/>
    <w:rsid w:val="0030564B"/>
    <w:rsid w:val="00305A04"/>
    <w:rsid w:val="00305AD9"/>
    <w:rsid w:val="00305F70"/>
    <w:rsid w:val="00306641"/>
    <w:rsid w:val="003069A8"/>
    <w:rsid w:val="0030711A"/>
    <w:rsid w:val="003073A2"/>
    <w:rsid w:val="003078C4"/>
    <w:rsid w:val="00307E91"/>
    <w:rsid w:val="003102EC"/>
    <w:rsid w:val="00310786"/>
    <w:rsid w:val="003111E6"/>
    <w:rsid w:val="00311634"/>
    <w:rsid w:val="003117DF"/>
    <w:rsid w:val="00311D65"/>
    <w:rsid w:val="0031223E"/>
    <w:rsid w:val="00312ECF"/>
    <w:rsid w:val="00313BDB"/>
    <w:rsid w:val="00314148"/>
    <w:rsid w:val="00314648"/>
    <w:rsid w:val="0031470E"/>
    <w:rsid w:val="00314B94"/>
    <w:rsid w:val="0031590F"/>
    <w:rsid w:val="00315B98"/>
    <w:rsid w:val="00315BBF"/>
    <w:rsid w:val="00316376"/>
    <w:rsid w:val="003163DD"/>
    <w:rsid w:val="00316455"/>
    <w:rsid w:val="003168F4"/>
    <w:rsid w:val="00316FBB"/>
    <w:rsid w:val="00317A0A"/>
    <w:rsid w:val="00317AE6"/>
    <w:rsid w:val="00317CEC"/>
    <w:rsid w:val="0032048A"/>
    <w:rsid w:val="003206E0"/>
    <w:rsid w:val="003209CB"/>
    <w:rsid w:val="00320BAD"/>
    <w:rsid w:val="00320D0B"/>
    <w:rsid w:val="00320FE8"/>
    <w:rsid w:val="0032121F"/>
    <w:rsid w:val="00321788"/>
    <w:rsid w:val="00321BE4"/>
    <w:rsid w:val="00322892"/>
    <w:rsid w:val="0032292D"/>
    <w:rsid w:val="0032298C"/>
    <w:rsid w:val="003237A6"/>
    <w:rsid w:val="0032395B"/>
    <w:rsid w:val="00323C16"/>
    <w:rsid w:val="00323C42"/>
    <w:rsid w:val="00323E89"/>
    <w:rsid w:val="00324107"/>
    <w:rsid w:val="00324521"/>
    <w:rsid w:val="003247C9"/>
    <w:rsid w:val="00324E8B"/>
    <w:rsid w:val="00325027"/>
    <w:rsid w:val="0032527A"/>
    <w:rsid w:val="00325376"/>
    <w:rsid w:val="003253C8"/>
    <w:rsid w:val="00325C4E"/>
    <w:rsid w:val="00325D50"/>
    <w:rsid w:val="00325E0B"/>
    <w:rsid w:val="00325E3B"/>
    <w:rsid w:val="00326A49"/>
    <w:rsid w:val="00326D45"/>
    <w:rsid w:val="0032718E"/>
    <w:rsid w:val="003271F0"/>
    <w:rsid w:val="00327D5E"/>
    <w:rsid w:val="003304C7"/>
    <w:rsid w:val="00330516"/>
    <w:rsid w:val="00330519"/>
    <w:rsid w:val="003309C5"/>
    <w:rsid w:val="00330CB0"/>
    <w:rsid w:val="003316AF"/>
    <w:rsid w:val="00331E19"/>
    <w:rsid w:val="00332332"/>
    <w:rsid w:val="0033241E"/>
    <w:rsid w:val="003324DE"/>
    <w:rsid w:val="003326CC"/>
    <w:rsid w:val="003327C5"/>
    <w:rsid w:val="003328E3"/>
    <w:rsid w:val="00332D03"/>
    <w:rsid w:val="0033305D"/>
    <w:rsid w:val="003339B9"/>
    <w:rsid w:val="00333F11"/>
    <w:rsid w:val="0033402E"/>
    <w:rsid w:val="0033461F"/>
    <w:rsid w:val="003349B3"/>
    <w:rsid w:val="00334CFD"/>
    <w:rsid w:val="00334E1E"/>
    <w:rsid w:val="00335004"/>
    <w:rsid w:val="0033521F"/>
    <w:rsid w:val="00335FB8"/>
    <w:rsid w:val="00336166"/>
    <w:rsid w:val="003361B1"/>
    <w:rsid w:val="00336E33"/>
    <w:rsid w:val="00336EBB"/>
    <w:rsid w:val="0033762D"/>
    <w:rsid w:val="003379BA"/>
    <w:rsid w:val="00340303"/>
    <w:rsid w:val="0034038D"/>
    <w:rsid w:val="0034089C"/>
    <w:rsid w:val="00340BEA"/>
    <w:rsid w:val="00340F89"/>
    <w:rsid w:val="00341B3D"/>
    <w:rsid w:val="00341B8F"/>
    <w:rsid w:val="00341CA3"/>
    <w:rsid w:val="00341E5D"/>
    <w:rsid w:val="00341FEA"/>
    <w:rsid w:val="003420C4"/>
    <w:rsid w:val="00342233"/>
    <w:rsid w:val="00342728"/>
    <w:rsid w:val="00342C76"/>
    <w:rsid w:val="00342D6B"/>
    <w:rsid w:val="00343340"/>
    <w:rsid w:val="00343361"/>
    <w:rsid w:val="00343912"/>
    <w:rsid w:val="00343C82"/>
    <w:rsid w:val="0034409F"/>
    <w:rsid w:val="00344407"/>
    <w:rsid w:val="00344B74"/>
    <w:rsid w:val="00344C48"/>
    <w:rsid w:val="00344F44"/>
    <w:rsid w:val="00344FE7"/>
    <w:rsid w:val="00345955"/>
    <w:rsid w:val="00345C33"/>
    <w:rsid w:val="00345FAA"/>
    <w:rsid w:val="00346459"/>
    <w:rsid w:val="0034649F"/>
    <w:rsid w:val="003468F1"/>
    <w:rsid w:val="00346C32"/>
    <w:rsid w:val="00347072"/>
    <w:rsid w:val="00347414"/>
    <w:rsid w:val="003475C1"/>
    <w:rsid w:val="00347705"/>
    <w:rsid w:val="00347782"/>
    <w:rsid w:val="003479AF"/>
    <w:rsid w:val="00350390"/>
    <w:rsid w:val="003508FF"/>
    <w:rsid w:val="00350B83"/>
    <w:rsid w:val="00350E61"/>
    <w:rsid w:val="003512E5"/>
    <w:rsid w:val="0035147C"/>
    <w:rsid w:val="00351B63"/>
    <w:rsid w:val="00352144"/>
    <w:rsid w:val="003523AB"/>
    <w:rsid w:val="00352581"/>
    <w:rsid w:val="00352EA7"/>
    <w:rsid w:val="00353DAF"/>
    <w:rsid w:val="0035474A"/>
    <w:rsid w:val="00354CC4"/>
    <w:rsid w:val="00354D0C"/>
    <w:rsid w:val="00354DAE"/>
    <w:rsid w:val="00355241"/>
    <w:rsid w:val="0035528E"/>
    <w:rsid w:val="0035578E"/>
    <w:rsid w:val="00355825"/>
    <w:rsid w:val="00355A16"/>
    <w:rsid w:val="00355B51"/>
    <w:rsid w:val="00356626"/>
    <w:rsid w:val="00357023"/>
    <w:rsid w:val="003574E3"/>
    <w:rsid w:val="003575E6"/>
    <w:rsid w:val="00357E81"/>
    <w:rsid w:val="0036014A"/>
    <w:rsid w:val="00360153"/>
    <w:rsid w:val="00360316"/>
    <w:rsid w:val="00360AE9"/>
    <w:rsid w:val="00360F70"/>
    <w:rsid w:val="003610ED"/>
    <w:rsid w:val="00361DC0"/>
    <w:rsid w:val="00361F12"/>
    <w:rsid w:val="00362096"/>
    <w:rsid w:val="003620D8"/>
    <w:rsid w:val="00362421"/>
    <w:rsid w:val="00362C25"/>
    <w:rsid w:val="003630CC"/>
    <w:rsid w:val="0036312D"/>
    <w:rsid w:val="003634C1"/>
    <w:rsid w:val="00363BA7"/>
    <w:rsid w:val="0036427D"/>
    <w:rsid w:val="00364875"/>
    <w:rsid w:val="00364C1A"/>
    <w:rsid w:val="00365813"/>
    <w:rsid w:val="00365B22"/>
    <w:rsid w:val="00365B95"/>
    <w:rsid w:val="003661C5"/>
    <w:rsid w:val="003662E5"/>
    <w:rsid w:val="003666DC"/>
    <w:rsid w:val="00366B6A"/>
    <w:rsid w:val="00366D64"/>
    <w:rsid w:val="00367233"/>
    <w:rsid w:val="0036771C"/>
    <w:rsid w:val="0036792E"/>
    <w:rsid w:val="00367A5E"/>
    <w:rsid w:val="00367B65"/>
    <w:rsid w:val="00367BB1"/>
    <w:rsid w:val="00367D24"/>
    <w:rsid w:val="0037050D"/>
    <w:rsid w:val="003709D5"/>
    <w:rsid w:val="00370AA8"/>
    <w:rsid w:val="00370AE9"/>
    <w:rsid w:val="00370C38"/>
    <w:rsid w:val="00371254"/>
    <w:rsid w:val="003713AE"/>
    <w:rsid w:val="0037198B"/>
    <w:rsid w:val="003719D1"/>
    <w:rsid w:val="0037277E"/>
    <w:rsid w:val="0037294B"/>
    <w:rsid w:val="003729AD"/>
    <w:rsid w:val="00372E11"/>
    <w:rsid w:val="00372FAB"/>
    <w:rsid w:val="0037308D"/>
    <w:rsid w:val="003730B9"/>
    <w:rsid w:val="00373885"/>
    <w:rsid w:val="00373EB0"/>
    <w:rsid w:val="00374017"/>
    <w:rsid w:val="003745F4"/>
    <w:rsid w:val="00374661"/>
    <w:rsid w:val="00374992"/>
    <w:rsid w:val="00374E6B"/>
    <w:rsid w:val="00375D55"/>
    <w:rsid w:val="00375FF5"/>
    <w:rsid w:val="0037627E"/>
    <w:rsid w:val="003762D9"/>
    <w:rsid w:val="003765F0"/>
    <w:rsid w:val="00376A21"/>
    <w:rsid w:val="00376DA8"/>
    <w:rsid w:val="003770B5"/>
    <w:rsid w:val="003771CB"/>
    <w:rsid w:val="0037766D"/>
    <w:rsid w:val="00377B1E"/>
    <w:rsid w:val="00377BFB"/>
    <w:rsid w:val="00377DA9"/>
    <w:rsid w:val="0038016B"/>
    <w:rsid w:val="0038022C"/>
    <w:rsid w:val="00380683"/>
    <w:rsid w:val="003809C8"/>
    <w:rsid w:val="00380F9F"/>
    <w:rsid w:val="00381607"/>
    <w:rsid w:val="00381643"/>
    <w:rsid w:val="003818C6"/>
    <w:rsid w:val="0038195D"/>
    <w:rsid w:val="00382698"/>
    <w:rsid w:val="003826DB"/>
    <w:rsid w:val="00382762"/>
    <w:rsid w:val="00382D32"/>
    <w:rsid w:val="00382E6A"/>
    <w:rsid w:val="00382F7E"/>
    <w:rsid w:val="00383059"/>
    <w:rsid w:val="003834DF"/>
    <w:rsid w:val="00383A8F"/>
    <w:rsid w:val="00383C0F"/>
    <w:rsid w:val="00383CAB"/>
    <w:rsid w:val="00383D55"/>
    <w:rsid w:val="00383E25"/>
    <w:rsid w:val="00384120"/>
    <w:rsid w:val="0038419E"/>
    <w:rsid w:val="00384865"/>
    <w:rsid w:val="00384C56"/>
    <w:rsid w:val="00384CE5"/>
    <w:rsid w:val="003857F4"/>
    <w:rsid w:val="00385BC6"/>
    <w:rsid w:val="00385EF9"/>
    <w:rsid w:val="00386415"/>
    <w:rsid w:val="003865C8"/>
    <w:rsid w:val="00386C60"/>
    <w:rsid w:val="00386D01"/>
    <w:rsid w:val="00387529"/>
    <w:rsid w:val="0039035E"/>
    <w:rsid w:val="003903F6"/>
    <w:rsid w:val="00390620"/>
    <w:rsid w:val="0039065B"/>
    <w:rsid w:val="00390732"/>
    <w:rsid w:val="00390AEA"/>
    <w:rsid w:val="0039104A"/>
    <w:rsid w:val="0039143C"/>
    <w:rsid w:val="0039174F"/>
    <w:rsid w:val="0039199B"/>
    <w:rsid w:val="003921FB"/>
    <w:rsid w:val="00392300"/>
    <w:rsid w:val="0039255E"/>
    <w:rsid w:val="00392796"/>
    <w:rsid w:val="00392C21"/>
    <w:rsid w:val="00393210"/>
    <w:rsid w:val="0039331E"/>
    <w:rsid w:val="00393882"/>
    <w:rsid w:val="003946D6"/>
    <w:rsid w:val="0039479A"/>
    <w:rsid w:val="00394B90"/>
    <w:rsid w:val="0039578A"/>
    <w:rsid w:val="00395D20"/>
    <w:rsid w:val="00395D28"/>
    <w:rsid w:val="003962B1"/>
    <w:rsid w:val="003962EA"/>
    <w:rsid w:val="00396F81"/>
    <w:rsid w:val="003972DA"/>
    <w:rsid w:val="0039753D"/>
    <w:rsid w:val="003976A2"/>
    <w:rsid w:val="003978EB"/>
    <w:rsid w:val="00397951"/>
    <w:rsid w:val="00397BEA"/>
    <w:rsid w:val="003A073D"/>
    <w:rsid w:val="003A0CDC"/>
    <w:rsid w:val="003A0D57"/>
    <w:rsid w:val="003A0E08"/>
    <w:rsid w:val="003A1183"/>
    <w:rsid w:val="003A120F"/>
    <w:rsid w:val="003A1A56"/>
    <w:rsid w:val="003A25AD"/>
    <w:rsid w:val="003A26E3"/>
    <w:rsid w:val="003A2CE5"/>
    <w:rsid w:val="003A2DC4"/>
    <w:rsid w:val="003A2F62"/>
    <w:rsid w:val="003A2F68"/>
    <w:rsid w:val="003A33D8"/>
    <w:rsid w:val="003A3782"/>
    <w:rsid w:val="003A37C9"/>
    <w:rsid w:val="003A39AA"/>
    <w:rsid w:val="003A3C8A"/>
    <w:rsid w:val="003A3F32"/>
    <w:rsid w:val="003A40BC"/>
    <w:rsid w:val="003A4BD5"/>
    <w:rsid w:val="003A4BE5"/>
    <w:rsid w:val="003A4F03"/>
    <w:rsid w:val="003A4FAF"/>
    <w:rsid w:val="003A4FDF"/>
    <w:rsid w:val="003A5141"/>
    <w:rsid w:val="003A5689"/>
    <w:rsid w:val="003A56A2"/>
    <w:rsid w:val="003A6049"/>
    <w:rsid w:val="003A6B12"/>
    <w:rsid w:val="003A6D26"/>
    <w:rsid w:val="003A6E2C"/>
    <w:rsid w:val="003A715A"/>
    <w:rsid w:val="003A7594"/>
    <w:rsid w:val="003A7659"/>
    <w:rsid w:val="003A7B3A"/>
    <w:rsid w:val="003A7D64"/>
    <w:rsid w:val="003B0061"/>
    <w:rsid w:val="003B014D"/>
    <w:rsid w:val="003B0537"/>
    <w:rsid w:val="003B0D57"/>
    <w:rsid w:val="003B0E1F"/>
    <w:rsid w:val="003B169B"/>
    <w:rsid w:val="003B1A50"/>
    <w:rsid w:val="003B23DC"/>
    <w:rsid w:val="003B2A0B"/>
    <w:rsid w:val="003B2C6B"/>
    <w:rsid w:val="003B2E04"/>
    <w:rsid w:val="003B2FCA"/>
    <w:rsid w:val="003B36CB"/>
    <w:rsid w:val="003B37EE"/>
    <w:rsid w:val="003B3A4F"/>
    <w:rsid w:val="003B3C7C"/>
    <w:rsid w:val="003B3DE4"/>
    <w:rsid w:val="003B3F00"/>
    <w:rsid w:val="003B442D"/>
    <w:rsid w:val="003B4BAE"/>
    <w:rsid w:val="003B4DE1"/>
    <w:rsid w:val="003B4F0F"/>
    <w:rsid w:val="003B4F75"/>
    <w:rsid w:val="003B5210"/>
    <w:rsid w:val="003B5364"/>
    <w:rsid w:val="003B5410"/>
    <w:rsid w:val="003B55B3"/>
    <w:rsid w:val="003B56ED"/>
    <w:rsid w:val="003B5A9C"/>
    <w:rsid w:val="003B5BC4"/>
    <w:rsid w:val="003B5E5E"/>
    <w:rsid w:val="003B5F5B"/>
    <w:rsid w:val="003B60A5"/>
    <w:rsid w:val="003B61F9"/>
    <w:rsid w:val="003B6275"/>
    <w:rsid w:val="003B6519"/>
    <w:rsid w:val="003B6568"/>
    <w:rsid w:val="003B6AC6"/>
    <w:rsid w:val="003B755C"/>
    <w:rsid w:val="003B7E25"/>
    <w:rsid w:val="003B7ECB"/>
    <w:rsid w:val="003C010A"/>
    <w:rsid w:val="003C0C11"/>
    <w:rsid w:val="003C12D1"/>
    <w:rsid w:val="003C12E3"/>
    <w:rsid w:val="003C1324"/>
    <w:rsid w:val="003C2148"/>
    <w:rsid w:val="003C2320"/>
    <w:rsid w:val="003C236F"/>
    <w:rsid w:val="003C27A5"/>
    <w:rsid w:val="003C2BDF"/>
    <w:rsid w:val="003C2DC1"/>
    <w:rsid w:val="003C2E43"/>
    <w:rsid w:val="003C2F9E"/>
    <w:rsid w:val="003C32C5"/>
    <w:rsid w:val="003C3604"/>
    <w:rsid w:val="003C3631"/>
    <w:rsid w:val="003C39C7"/>
    <w:rsid w:val="003C3AAC"/>
    <w:rsid w:val="003C404C"/>
    <w:rsid w:val="003C41CE"/>
    <w:rsid w:val="003C44AD"/>
    <w:rsid w:val="003C4624"/>
    <w:rsid w:val="003C49A2"/>
    <w:rsid w:val="003C4C7E"/>
    <w:rsid w:val="003C4FFE"/>
    <w:rsid w:val="003C5049"/>
    <w:rsid w:val="003C558A"/>
    <w:rsid w:val="003C55C6"/>
    <w:rsid w:val="003C55E3"/>
    <w:rsid w:val="003C5BC1"/>
    <w:rsid w:val="003C5C3F"/>
    <w:rsid w:val="003C5E38"/>
    <w:rsid w:val="003C6397"/>
    <w:rsid w:val="003C6399"/>
    <w:rsid w:val="003C63C2"/>
    <w:rsid w:val="003C652A"/>
    <w:rsid w:val="003C665E"/>
    <w:rsid w:val="003C69FB"/>
    <w:rsid w:val="003C71DE"/>
    <w:rsid w:val="003C7209"/>
    <w:rsid w:val="003C730A"/>
    <w:rsid w:val="003C7384"/>
    <w:rsid w:val="003C767E"/>
    <w:rsid w:val="003C78AA"/>
    <w:rsid w:val="003C79C7"/>
    <w:rsid w:val="003C7B15"/>
    <w:rsid w:val="003C7DAE"/>
    <w:rsid w:val="003C7F87"/>
    <w:rsid w:val="003C7FC2"/>
    <w:rsid w:val="003D000D"/>
    <w:rsid w:val="003D006D"/>
    <w:rsid w:val="003D033A"/>
    <w:rsid w:val="003D051B"/>
    <w:rsid w:val="003D0A61"/>
    <w:rsid w:val="003D0FB8"/>
    <w:rsid w:val="003D1616"/>
    <w:rsid w:val="003D16EF"/>
    <w:rsid w:val="003D2023"/>
    <w:rsid w:val="003D21E7"/>
    <w:rsid w:val="003D23FD"/>
    <w:rsid w:val="003D2477"/>
    <w:rsid w:val="003D2826"/>
    <w:rsid w:val="003D2856"/>
    <w:rsid w:val="003D2915"/>
    <w:rsid w:val="003D298E"/>
    <w:rsid w:val="003D2E40"/>
    <w:rsid w:val="003D2ECA"/>
    <w:rsid w:val="003D3467"/>
    <w:rsid w:val="003D3668"/>
    <w:rsid w:val="003D3A89"/>
    <w:rsid w:val="003D3AF3"/>
    <w:rsid w:val="003D42F1"/>
    <w:rsid w:val="003D4486"/>
    <w:rsid w:val="003D4D1D"/>
    <w:rsid w:val="003D4EDC"/>
    <w:rsid w:val="003D4FF9"/>
    <w:rsid w:val="003D507F"/>
    <w:rsid w:val="003D5530"/>
    <w:rsid w:val="003D560C"/>
    <w:rsid w:val="003D5961"/>
    <w:rsid w:val="003D5A56"/>
    <w:rsid w:val="003D5CE8"/>
    <w:rsid w:val="003D5E09"/>
    <w:rsid w:val="003D64A6"/>
    <w:rsid w:val="003D6C63"/>
    <w:rsid w:val="003D6D36"/>
    <w:rsid w:val="003D6ED6"/>
    <w:rsid w:val="003D751B"/>
    <w:rsid w:val="003D76E5"/>
    <w:rsid w:val="003D781E"/>
    <w:rsid w:val="003D7A02"/>
    <w:rsid w:val="003D7C32"/>
    <w:rsid w:val="003D7C90"/>
    <w:rsid w:val="003E06F6"/>
    <w:rsid w:val="003E079F"/>
    <w:rsid w:val="003E097D"/>
    <w:rsid w:val="003E0FBF"/>
    <w:rsid w:val="003E10D0"/>
    <w:rsid w:val="003E1131"/>
    <w:rsid w:val="003E137F"/>
    <w:rsid w:val="003E14C9"/>
    <w:rsid w:val="003E18C3"/>
    <w:rsid w:val="003E26ED"/>
    <w:rsid w:val="003E2A10"/>
    <w:rsid w:val="003E2D28"/>
    <w:rsid w:val="003E2FF0"/>
    <w:rsid w:val="003E337B"/>
    <w:rsid w:val="003E3AB7"/>
    <w:rsid w:val="003E4923"/>
    <w:rsid w:val="003E4D74"/>
    <w:rsid w:val="003E51A4"/>
    <w:rsid w:val="003E5319"/>
    <w:rsid w:val="003E58C2"/>
    <w:rsid w:val="003E5916"/>
    <w:rsid w:val="003E5A76"/>
    <w:rsid w:val="003E6376"/>
    <w:rsid w:val="003E6687"/>
    <w:rsid w:val="003E6B27"/>
    <w:rsid w:val="003E6B9D"/>
    <w:rsid w:val="003E72B1"/>
    <w:rsid w:val="003E764F"/>
    <w:rsid w:val="003E793A"/>
    <w:rsid w:val="003E7A12"/>
    <w:rsid w:val="003E7DC6"/>
    <w:rsid w:val="003F00DF"/>
    <w:rsid w:val="003F02CB"/>
    <w:rsid w:val="003F0522"/>
    <w:rsid w:val="003F0FD9"/>
    <w:rsid w:val="003F12EC"/>
    <w:rsid w:val="003F14FD"/>
    <w:rsid w:val="003F172A"/>
    <w:rsid w:val="003F1C3D"/>
    <w:rsid w:val="003F1FDA"/>
    <w:rsid w:val="003F23D3"/>
    <w:rsid w:val="003F25E9"/>
    <w:rsid w:val="003F2602"/>
    <w:rsid w:val="003F2678"/>
    <w:rsid w:val="003F2797"/>
    <w:rsid w:val="003F2FAE"/>
    <w:rsid w:val="003F33C3"/>
    <w:rsid w:val="003F37AB"/>
    <w:rsid w:val="003F387F"/>
    <w:rsid w:val="003F3ABA"/>
    <w:rsid w:val="003F3E96"/>
    <w:rsid w:val="003F452D"/>
    <w:rsid w:val="003F45D6"/>
    <w:rsid w:val="003F4BFE"/>
    <w:rsid w:val="003F4F25"/>
    <w:rsid w:val="003F5BE6"/>
    <w:rsid w:val="003F60FD"/>
    <w:rsid w:val="003F6D16"/>
    <w:rsid w:val="003F6D25"/>
    <w:rsid w:val="003F6F5A"/>
    <w:rsid w:val="003F7603"/>
    <w:rsid w:val="003F788F"/>
    <w:rsid w:val="003F797D"/>
    <w:rsid w:val="003F7A45"/>
    <w:rsid w:val="0040000C"/>
    <w:rsid w:val="004001E8"/>
    <w:rsid w:val="00400302"/>
    <w:rsid w:val="004009D9"/>
    <w:rsid w:val="00400F52"/>
    <w:rsid w:val="00401764"/>
    <w:rsid w:val="0040189C"/>
    <w:rsid w:val="00401C21"/>
    <w:rsid w:val="00402A89"/>
    <w:rsid w:val="00403293"/>
    <w:rsid w:val="0040338B"/>
    <w:rsid w:val="004035DD"/>
    <w:rsid w:val="004038B3"/>
    <w:rsid w:val="0040398A"/>
    <w:rsid w:val="00403CA0"/>
    <w:rsid w:val="00403E2F"/>
    <w:rsid w:val="00404BDC"/>
    <w:rsid w:val="00404D7B"/>
    <w:rsid w:val="00404E4D"/>
    <w:rsid w:val="00405871"/>
    <w:rsid w:val="00405CD9"/>
    <w:rsid w:val="0040653F"/>
    <w:rsid w:val="00406651"/>
    <w:rsid w:val="00406703"/>
    <w:rsid w:val="00406B25"/>
    <w:rsid w:val="00406BCD"/>
    <w:rsid w:val="0040736D"/>
    <w:rsid w:val="00407382"/>
    <w:rsid w:val="0040745B"/>
    <w:rsid w:val="0040758D"/>
    <w:rsid w:val="00407E97"/>
    <w:rsid w:val="00410065"/>
    <w:rsid w:val="00411FC4"/>
    <w:rsid w:val="0041234E"/>
    <w:rsid w:val="0041253D"/>
    <w:rsid w:val="00412813"/>
    <w:rsid w:val="004129C0"/>
    <w:rsid w:val="00412EE0"/>
    <w:rsid w:val="0041338E"/>
    <w:rsid w:val="004133C3"/>
    <w:rsid w:val="00413660"/>
    <w:rsid w:val="004137F1"/>
    <w:rsid w:val="0041384B"/>
    <w:rsid w:val="004138A4"/>
    <w:rsid w:val="00414055"/>
    <w:rsid w:val="004143E8"/>
    <w:rsid w:val="004144CF"/>
    <w:rsid w:val="0041463A"/>
    <w:rsid w:val="0041476E"/>
    <w:rsid w:val="00414823"/>
    <w:rsid w:val="004152CD"/>
    <w:rsid w:val="0041555C"/>
    <w:rsid w:val="00415A63"/>
    <w:rsid w:val="00415AC4"/>
    <w:rsid w:val="00415ED1"/>
    <w:rsid w:val="0041620C"/>
    <w:rsid w:val="00416BBD"/>
    <w:rsid w:val="00416C06"/>
    <w:rsid w:val="00416C36"/>
    <w:rsid w:val="004172A8"/>
    <w:rsid w:val="0041733C"/>
    <w:rsid w:val="0041772B"/>
    <w:rsid w:val="004179DB"/>
    <w:rsid w:val="004179EA"/>
    <w:rsid w:val="00417D4E"/>
    <w:rsid w:val="004200C3"/>
    <w:rsid w:val="00420212"/>
    <w:rsid w:val="00420865"/>
    <w:rsid w:val="00420A55"/>
    <w:rsid w:val="00420A5C"/>
    <w:rsid w:val="00420B9A"/>
    <w:rsid w:val="00420E60"/>
    <w:rsid w:val="0042178F"/>
    <w:rsid w:val="0042190C"/>
    <w:rsid w:val="004219A7"/>
    <w:rsid w:val="00422049"/>
    <w:rsid w:val="00422232"/>
    <w:rsid w:val="0042226E"/>
    <w:rsid w:val="004222F3"/>
    <w:rsid w:val="00423192"/>
    <w:rsid w:val="00423816"/>
    <w:rsid w:val="00423B70"/>
    <w:rsid w:val="00423BE9"/>
    <w:rsid w:val="00423D75"/>
    <w:rsid w:val="0042453A"/>
    <w:rsid w:val="0042465E"/>
    <w:rsid w:val="00424683"/>
    <w:rsid w:val="004246C9"/>
    <w:rsid w:val="00424B98"/>
    <w:rsid w:val="00424B9C"/>
    <w:rsid w:val="00425006"/>
    <w:rsid w:val="004255E5"/>
    <w:rsid w:val="00425DEC"/>
    <w:rsid w:val="004263BC"/>
    <w:rsid w:val="00426810"/>
    <w:rsid w:val="004270FE"/>
    <w:rsid w:val="0042793F"/>
    <w:rsid w:val="00427D7C"/>
    <w:rsid w:val="00430378"/>
    <w:rsid w:val="00430858"/>
    <w:rsid w:val="00430BD9"/>
    <w:rsid w:val="0043106B"/>
    <w:rsid w:val="0043119A"/>
    <w:rsid w:val="004312B6"/>
    <w:rsid w:val="0043178A"/>
    <w:rsid w:val="004317C7"/>
    <w:rsid w:val="00431A22"/>
    <w:rsid w:val="0043230A"/>
    <w:rsid w:val="0043233C"/>
    <w:rsid w:val="00432422"/>
    <w:rsid w:val="004324FB"/>
    <w:rsid w:val="00432B97"/>
    <w:rsid w:val="004336E6"/>
    <w:rsid w:val="004337C6"/>
    <w:rsid w:val="0043393D"/>
    <w:rsid w:val="00433D25"/>
    <w:rsid w:val="00433D3E"/>
    <w:rsid w:val="00433F16"/>
    <w:rsid w:val="00434140"/>
    <w:rsid w:val="00434275"/>
    <w:rsid w:val="004346A9"/>
    <w:rsid w:val="00434904"/>
    <w:rsid w:val="00434B5B"/>
    <w:rsid w:val="00434B6E"/>
    <w:rsid w:val="00434EAB"/>
    <w:rsid w:val="00435761"/>
    <w:rsid w:val="00435AD6"/>
    <w:rsid w:val="004362B0"/>
    <w:rsid w:val="00436464"/>
    <w:rsid w:val="0043651B"/>
    <w:rsid w:val="004367C1"/>
    <w:rsid w:val="00436EBA"/>
    <w:rsid w:val="00436F1D"/>
    <w:rsid w:val="00436F32"/>
    <w:rsid w:val="00436F50"/>
    <w:rsid w:val="004373A2"/>
    <w:rsid w:val="0043769C"/>
    <w:rsid w:val="004376DB"/>
    <w:rsid w:val="004376EE"/>
    <w:rsid w:val="00437764"/>
    <w:rsid w:val="00437925"/>
    <w:rsid w:val="00437AA7"/>
    <w:rsid w:val="00437ABF"/>
    <w:rsid w:val="00437E05"/>
    <w:rsid w:val="00440608"/>
    <w:rsid w:val="004406EE"/>
    <w:rsid w:val="00440855"/>
    <w:rsid w:val="00440F2E"/>
    <w:rsid w:val="00441251"/>
    <w:rsid w:val="00441324"/>
    <w:rsid w:val="004413AD"/>
    <w:rsid w:val="004414B8"/>
    <w:rsid w:val="0044178A"/>
    <w:rsid w:val="004418A6"/>
    <w:rsid w:val="00441A2F"/>
    <w:rsid w:val="00441F70"/>
    <w:rsid w:val="004426B8"/>
    <w:rsid w:val="004428CE"/>
    <w:rsid w:val="00442EC7"/>
    <w:rsid w:val="00442F62"/>
    <w:rsid w:val="00443120"/>
    <w:rsid w:val="00443D7E"/>
    <w:rsid w:val="00443E53"/>
    <w:rsid w:val="00443E6D"/>
    <w:rsid w:val="0044411D"/>
    <w:rsid w:val="004442B5"/>
    <w:rsid w:val="00444A3B"/>
    <w:rsid w:val="00444C15"/>
    <w:rsid w:val="00444DE6"/>
    <w:rsid w:val="00444FE2"/>
    <w:rsid w:val="00445828"/>
    <w:rsid w:val="00445954"/>
    <w:rsid w:val="00445DC2"/>
    <w:rsid w:val="00445F43"/>
    <w:rsid w:val="004467D3"/>
    <w:rsid w:val="00446B0F"/>
    <w:rsid w:val="00446DC5"/>
    <w:rsid w:val="00446E09"/>
    <w:rsid w:val="00446EBD"/>
    <w:rsid w:val="00447030"/>
    <w:rsid w:val="00447884"/>
    <w:rsid w:val="00447B74"/>
    <w:rsid w:val="00447E6B"/>
    <w:rsid w:val="00447EB2"/>
    <w:rsid w:val="00447F8E"/>
    <w:rsid w:val="00450AEA"/>
    <w:rsid w:val="00450FDD"/>
    <w:rsid w:val="0045175C"/>
    <w:rsid w:val="00451C3D"/>
    <w:rsid w:val="00452298"/>
    <w:rsid w:val="004526DA"/>
    <w:rsid w:val="00452C33"/>
    <w:rsid w:val="00452C7B"/>
    <w:rsid w:val="00452CD6"/>
    <w:rsid w:val="0045334B"/>
    <w:rsid w:val="0045456C"/>
    <w:rsid w:val="004545B7"/>
    <w:rsid w:val="00454FF5"/>
    <w:rsid w:val="004551A9"/>
    <w:rsid w:val="0045595B"/>
    <w:rsid w:val="004559AE"/>
    <w:rsid w:val="00455D79"/>
    <w:rsid w:val="00455F0E"/>
    <w:rsid w:val="00456453"/>
    <w:rsid w:val="00456B6B"/>
    <w:rsid w:val="00456BE5"/>
    <w:rsid w:val="00456DFE"/>
    <w:rsid w:val="004573E5"/>
    <w:rsid w:val="00457544"/>
    <w:rsid w:val="00457999"/>
    <w:rsid w:val="00457A73"/>
    <w:rsid w:val="00457E4A"/>
    <w:rsid w:val="00457F43"/>
    <w:rsid w:val="00460642"/>
    <w:rsid w:val="00460A31"/>
    <w:rsid w:val="00460B3B"/>
    <w:rsid w:val="00460B68"/>
    <w:rsid w:val="00461CC8"/>
    <w:rsid w:val="00462038"/>
    <w:rsid w:val="0046286D"/>
    <w:rsid w:val="004629AB"/>
    <w:rsid w:val="00463171"/>
    <w:rsid w:val="004633E0"/>
    <w:rsid w:val="0046387D"/>
    <w:rsid w:val="004638DB"/>
    <w:rsid w:val="004642B4"/>
    <w:rsid w:val="0046486E"/>
    <w:rsid w:val="00464A42"/>
    <w:rsid w:val="00464CAE"/>
    <w:rsid w:val="00464E42"/>
    <w:rsid w:val="0046502C"/>
    <w:rsid w:val="004650E4"/>
    <w:rsid w:val="004655C6"/>
    <w:rsid w:val="00465634"/>
    <w:rsid w:val="004656BF"/>
    <w:rsid w:val="00465D17"/>
    <w:rsid w:val="004664DB"/>
    <w:rsid w:val="0046658D"/>
    <w:rsid w:val="00466FB5"/>
    <w:rsid w:val="004703E1"/>
    <w:rsid w:val="004709B2"/>
    <w:rsid w:val="00470BAF"/>
    <w:rsid w:val="00470C96"/>
    <w:rsid w:val="00470D00"/>
    <w:rsid w:val="00471B00"/>
    <w:rsid w:val="00472236"/>
    <w:rsid w:val="00472AE1"/>
    <w:rsid w:val="00472EA9"/>
    <w:rsid w:val="00473157"/>
    <w:rsid w:val="00473176"/>
    <w:rsid w:val="004734B6"/>
    <w:rsid w:val="004734C5"/>
    <w:rsid w:val="0047364B"/>
    <w:rsid w:val="0047374E"/>
    <w:rsid w:val="00473B3D"/>
    <w:rsid w:val="00473E7E"/>
    <w:rsid w:val="00473E90"/>
    <w:rsid w:val="00473EBB"/>
    <w:rsid w:val="004741F7"/>
    <w:rsid w:val="004742BB"/>
    <w:rsid w:val="004744DB"/>
    <w:rsid w:val="0047477B"/>
    <w:rsid w:val="0047497B"/>
    <w:rsid w:val="00474C6B"/>
    <w:rsid w:val="00475321"/>
    <w:rsid w:val="0047565B"/>
    <w:rsid w:val="0047634F"/>
    <w:rsid w:val="00476358"/>
    <w:rsid w:val="00476B07"/>
    <w:rsid w:val="00476C35"/>
    <w:rsid w:val="00476FD3"/>
    <w:rsid w:val="00477808"/>
    <w:rsid w:val="004779D0"/>
    <w:rsid w:val="00477C19"/>
    <w:rsid w:val="00477DBB"/>
    <w:rsid w:val="004801E0"/>
    <w:rsid w:val="00480BB7"/>
    <w:rsid w:val="00480EE3"/>
    <w:rsid w:val="004812FB"/>
    <w:rsid w:val="004816CA"/>
    <w:rsid w:val="004817BE"/>
    <w:rsid w:val="00481E5F"/>
    <w:rsid w:val="00481E92"/>
    <w:rsid w:val="004826AF"/>
    <w:rsid w:val="0048272F"/>
    <w:rsid w:val="00482D54"/>
    <w:rsid w:val="00483271"/>
    <w:rsid w:val="004835C2"/>
    <w:rsid w:val="00483859"/>
    <w:rsid w:val="00483B46"/>
    <w:rsid w:val="00483D3B"/>
    <w:rsid w:val="004845F1"/>
    <w:rsid w:val="004850B3"/>
    <w:rsid w:val="004857E7"/>
    <w:rsid w:val="00486130"/>
    <w:rsid w:val="004865A8"/>
    <w:rsid w:val="00486ADC"/>
    <w:rsid w:val="00486B96"/>
    <w:rsid w:val="00486C58"/>
    <w:rsid w:val="0048777D"/>
    <w:rsid w:val="004879AF"/>
    <w:rsid w:val="00487D18"/>
    <w:rsid w:val="00490038"/>
    <w:rsid w:val="00490059"/>
    <w:rsid w:val="00490162"/>
    <w:rsid w:val="004904F7"/>
    <w:rsid w:val="00490A5D"/>
    <w:rsid w:val="00491030"/>
    <w:rsid w:val="004910AC"/>
    <w:rsid w:val="004914D8"/>
    <w:rsid w:val="004919E8"/>
    <w:rsid w:val="00491E18"/>
    <w:rsid w:val="00491F91"/>
    <w:rsid w:val="00491FF6"/>
    <w:rsid w:val="00492145"/>
    <w:rsid w:val="004928CE"/>
    <w:rsid w:val="00492A2F"/>
    <w:rsid w:val="00492BA1"/>
    <w:rsid w:val="00492D7E"/>
    <w:rsid w:val="00493540"/>
    <w:rsid w:val="00493607"/>
    <w:rsid w:val="004939E4"/>
    <w:rsid w:val="00493D36"/>
    <w:rsid w:val="00493E35"/>
    <w:rsid w:val="00494AD6"/>
    <w:rsid w:val="00495120"/>
    <w:rsid w:val="00495E67"/>
    <w:rsid w:val="004963F9"/>
    <w:rsid w:val="0049698A"/>
    <w:rsid w:val="00496B4E"/>
    <w:rsid w:val="00496DE2"/>
    <w:rsid w:val="00497448"/>
    <w:rsid w:val="004975AA"/>
    <w:rsid w:val="00497935"/>
    <w:rsid w:val="004A034A"/>
    <w:rsid w:val="004A0476"/>
    <w:rsid w:val="004A07D7"/>
    <w:rsid w:val="004A0A69"/>
    <w:rsid w:val="004A0F9E"/>
    <w:rsid w:val="004A10D4"/>
    <w:rsid w:val="004A1130"/>
    <w:rsid w:val="004A1219"/>
    <w:rsid w:val="004A1A77"/>
    <w:rsid w:val="004A1DAA"/>
    <w:rsid w:val="004A23D2"/>
    <w:rsid w:val="004A25A0"/>
    <w:rsid w:val="004A285D"/>
    <w:rsid w:val="004A2D1D"/>
    <w:rsid w:val="004A302B"/>
    <w:rsid w:val="004A3242"/>
    <w:rsid w:val="004A3838"/>
    <w:rsid w:val="004A4467"/>
    <w:rsid w:val="004A4957"/>
    <w:rsid w:val="004A5258"/>
    <w:rsid w:val="004A5467"/>
    <w:rsid w:val="004A5AE2"/>
    <w:rsid w:val="004A5BB1"/>
    <w:rsid w:val="004A5CB1"/>
    <w:rsid w:val="004A5E3E"/>
    <w:rsid w:val="004A5EAA"/>
    <w:rsid w:val="004A638D"/>
    <w:rsid w:val="004A64EC"/>
    <w:rsid w:val="004A695F"/>
    <w:rsid w:val="004A697B"/>
    <w:rsid w:val="004A6A35"/>
    <w:rsid w:val="004A6EA6"/>
    <w:rsid w:val="004A7550"/>
    <w:rsid w:val="004A7966"/>
    <w:rsid w:val="004A7A54"/>
    <w:rsid w:val="004B0239"/>
    <w:rsid w:val="004B0379"/>
    <w:rsid w:val="004B0A69"/>
    <w:rsid w:val="004B0D1E"/>
    <w:rsid w:val="004B0E2E"/>
    <w:rsid w:val="004B1604"/>
    <w:rsid w:val="004B1701"/>
    <w:rsid w:val="004B1804"/>
    <w:rsid w:val="004B18CC"/>
    <w:rsid w:val="004B2609"/>
    <w:rsid w:val="004B2722"/>
    <w:rsid w:val="004B2F3D"/>
    <w:rsid w:val="004B32A0"/>
    <w:rsid w:val="004B36C1"/>
    <w:rsid w:val="004B3A60"/>
    <w:rsid w:val="004B3FCD"/>
    <w:rsid w:val="004B4C62"/>
    <w:rsid w:val="004B4D15"/>
    <w:rsid w:val="004B5064"/>
    <w:rsid w:val="004B5078"/>
    <w:rsid w:val="004B5096"/>
    <w:rsid w:val="004B51DA"/>
    <w:rsid w:val="004B54EF"/>
    <w:rsid w:val="004B592E"/>
    <w:rsid w:val="004B5CE2"/>
    <w:rsid w:val="004B5DAC"/>
    <w:rsid w:val="004B6147"/>
    <w:rsid w:val="004B6184"/>
    <w:rsid w:val="004B6634"/>
    <w:rsid w:val="004B67BB"/>
    <w:rsid w:val="004B67F1"/>
    <w:rsid w:val="004B6812"/>
    <w:rsid w:val="004B6B2E"/>
    <w:rsid w:val="004B7293"/>
    <w:rsid w:val="004B7DD1"/>
    <w:rsid w:val="004C0096"/>
    <w:rsid w:val="004C00A3"/>
    <w:rsid w:val="004C00F4"/>
    <w:rsid w:val="004C037B"/>
    <w:rsid w:val="004C082A"/>
    <w:rsid w:val="004C0830"/>
    <w:rsid w:val="004C085B"/>
    <w:rsid w:val="004C0BDA"/>
    <w:rsid w:val="004C1472"/>
    <w:rsid w:val="004C165E"/>
    <w:rsid w:val="004C1BF9"/>
    <w:rsid w:val="004C1C3E"/>
    <w:rsid w:val="004C23BD"/>
    <w:rsid w:val="004C2498"/>
    <w:rsid w:val="004C331E"/>
    <w:rsid w:val="004C333F"/>
    <w:rsid w:val="004C33BC"/>
    <w:rsid w:val="004C3D19"/>
    <w:rsid w:val="004C3FC0"/>
    <w:rsid w:val="004C42C9"/>
    <w:rsid w:val="004C4D54"/>
    <w:rsid w:val="004C5B42"/>
    <w:rsid w:val="004C5ECB"/>
    <w:rsid w:val="004C6672"/>
    <w:rsid w:val="004C68B6"/>
    <w:rsid w:val="004C74F1"/>
    <w:rsid w:val="004D039F"/>
    <w:rsid w:val="004D04F6"/>
    <w:rsid w:val="004D0859"/>
    <w:rsid w:val="004D0ED5"/>
    <w:rsid w:val="004D12A8"/>
    <w:rsid w:val="004D1906"/>
    <w:rsid w:val="004D1C16"/>
    <w:rsid w:val="004D203B"/>
    <w:rsid w:val="004D240F"/>
    <w:rsid w:val="004D2434"/>
    <w:rsid w:val="004D2710"/>
    <w:rsid w:val="004D29CC"/>
    <w:rsid w:val="004D2AB8"/>
    <w:rsid w:val="004D2D7A"/>
    <w:rsid w:val="004D359E"/>
    <w:rsid w:val="004D37B3"/>
    <w:rsid w:val="004D391B"/>
    <w:rsid w:val="004D3E11"/>
    <w:rsid w:val="004D4043"/>
    <w:rsid w:val="004D4304"/>
    <w:rsid w:val="004D470B"/>
    <w:rsid w:val="004D4CD1"/>
    <w:rsid w:val="004D4E73"/>
    <w:rsid w:val="004D503B"/>
    <w:rsid w:val="004D50AB"/>
    <w:rsid w:val="004D514C"/>
    <w:rsid w:val="004D524E"/>
    <w:rsid w:val="004D5266"/>
    <w:rsid w:val="004D54B7"/>
    <w:rsid w:val="004D60DF"/>
    <w:rsid w:val="004D6786"/>
    <w:rsid w:val="004D69E1"/>
    <w:rsid w:val="004D7869"/>
    <w:rsid w:val="004D7EE4"/>
    <w:rsid w:val="004E0137"/>
    <w:rsid w:val="004E11CF"/>
    <w:rsid w:val="004E121B"/>
    <w:rsid w:val="004E18E7"/>
    <w:rsid w:val="004E1E29"/>
    <w:rsid w:val="004E1ECE"/>
    <w:rsid w:val="004E1EF5"/>
    <w:rsid w:val="004E23F7"/>
    <w:rsid w:val="004E24D1"/>
    <w:rsid w:val="004E2A73"/>
    <w:rsid w:val="004E2B5D"/>
    <w:rsid w:val="004E3268"/>
    <w:rsid w:val="004E33F8"/>
    <w:rsid w:val="004E368A"/>
    <w:rsid w:val="004E3801"/>
    <w:rsid w:val="004E39C9"/>
    <w:rsid w:val="004E417F"/>
    <w:rsid w:val="004E41A1"/>
    <w:rsid w:val="004E4391"/>
    <w:rsid w:val="004E46F5"/>
    <w:rsid w:val="004E4CA8"/>
    <w:rsid w:val="004E4D78"/>
    <w:rsid w:val="004E4E20"/>
    <w:rsid w:val="004E500B"/>
    <w:rsid w:val="004E5153"/>
    <w:rsid w:val="004E5C65"/>
    <w:rsid w:val="004E687B"/>
    <w:rsid w:val="004E70F3"/>
    <w:rsid w:val="004E713A"/>
    <w:rsid w:val="004E7649"/>
    <w:rsid w:val="004E79EC"/>
    <w:rsid w:val="004E7AD7"/>
    <w:rsid w:val="004E7B2E"/>
    <w:rsid w:val="004E7BDD"/>
    <w:rsid w:val="004F01D5"/>
    <w:rsid w:val="004F0439"/>
    <w:rsid w:val="004F0738"/>
    <w:rsid w:val="004F0A17"/>
    <w:rsid w:val="004F115C"/>
    <w:rsid w:val="004F13A0"/>
    <w:rsid w:val="004F17D0"/>
    <w:rsid w:val="004F1BB6"/>
    <w:rsid w:val="004F2044"/>
    <w:rsid w:val="004F20DC"/>
    <w:rsid w:val="004F23BA"/>
    <w:rsid w:val="004F33A6"/>
    <w:rsid w:val="004F35B2"/>
    <w:rsid w:val="004F35D6"/>
    <w:rsid w:val="004F3982"/>
    <w:rsid w:val="004F3A47"/>
    <w:rsid w:val="004F3AE1"/>
    <w:rsid w:val="004F3C71"/>
    <w:rsid w:val="004F3CDC"/>
    <w:rsid w:val="004F4537"/>
    <w:rsid w:val="004F4797"/>
    <w:rsid w:val="004F5068"/>
    <w:rsid w:val="004F51E9"/>
    <w:rsid w:val="004F54F5"/>
    <w:rsid w:val="004F551A"/>
    <w:rsid w:val="004F5C06"/>
    <w:rsid w:val="004F5FCC"/>
    <w:rsid w:val="004F63CD"/>
    <w:rsid w:val="004F63D5"/>
    <w:rsid w:val="004F64E4"/>
    <w:rsid w:val="004F662E"/>
    <w:rsid w:val="004F6A3A"/>
    <w:rsid w:val="004F6D13"/>
    <w:rsid w:val="004F6D20"/>
    <w:rsid w:val="004F6E61"/>
    <w:rsid w:val="004F71AC"/>
    <w:rsid w:val="004F75B7"/>
    <w:rsid w:val="004F783D"/>
    <w:rsid w:val="004F798E"/>
    <w:rsid w:val="005004E2"/>
    <w:rsid w:val="005009D1"/>
    <w:rsid w:val="005012E6"/>
    <w:rsid w:val="00501B88"/>
    <w:rsid w:val="0050246A"/>
    <w:rsid w:val="005025AD"/>
    <w:rsid w:val="005029B4"/>
    <w:rsid w:val="005033B1"/>
    <w:rsid w:val="0050348C"/>
    <w:rsid w:val="005039C8"/>
    <w:rsid w:val="00503A7E"/>
    <w:rsid w:val="00503ADE"/>
    <w:rsid w:val="00503BA8"/>
    <w:rsid w:val="00503D73"/>
    <w:rsid w:val="00504660"/>
    <w:rsid w:val="00504D6A"/>
    <w:rsid w:val="00505BCC"/>
    <w:rsid w:val="00505CD4"/>
    <w:rsid w:val="00506869"/>
    <w:rsid w:val="00506974"/>
    <w:rsid w:val="00506E52"/>
    <w:rsid w:val="005072C5"/>
    <w:rsid w:val="005078D1"/>
    <w:rsid w:val="00510003"/>
    <w:rsid w:val="00510174"/>
    <w:rsid w:val="005104D5"/>
    <w:rsid w:val="0051091F"/>
    <w:rsid w:val="00510AC0"/>
    <w:rsid w:val="00511028"/>
    <w:rsid w:val="0051115B"/>
    <w:rsid w:val="00511482"/>
    <w:rsid w:val="00511611"/>
    <w:rsid w:val="005117FB"/>
    <w:rsid w:val="00511A63"/>
    <w:rsid w:val="00511A77"/>
    <w:rsid w:val="00511AC5"/>
    <w:rsid w:val="00512305"/>
    <w:rsid w:val="00512844"/>
    <w:rsid w:val="00512B6C"/>
    <w:rsid w:val="00512C52"/>
    <w:rsid w:val="00512FFF"/>
    <w:rsid w:val="00513075"/>
    <w:rsid w:val="0051350B"/>
    <w:rsid w:val="00513592"/>
    <w:rsid w:val="00513851"/>
    <w:rsid w:val="00513D9B"/>
    <w:rsid w:val="00514152"/>
    <w:rsid w:val="0051436F"/>
    <w:rsid w:val="0051498D"/>
    <w:rsid w:val="00514D56"/>
    <w:rsid w:val="00514F71"/>
    <w:rsid w:val="005158B6"/>
    <w:rsid w:val="005158C0"/>
    <w:rsid w:val="005159D9"/>
    <w:rsid w:val="00515A24"/>
    <w:rsid w:val="00515DD3"/>
    <w:rsid w:val="00515E0B"/>
    <w:rsid w:val="00515ED5"/>
    <w:rsid w:val="00516523"/>
    <w:rsid w:val="005166CD"/>
    <w:rsid w:val="00516705"/>
    <w:rsid w:val="005169BC"/>
    <w:rsid w:val="00516B0E"/>
    <w:rsid w:val="00517A06"/>
    <w:rsid w:val="00517BD2"/>
    <w:rsid w:val="00517CD1"/>
    <w:rsid w:val="00517FA7"/>
    <w:rsid w:val="0052026F"/>
    <w:rsid w:val="005203C5"/>
    <w:rsid w:val="0052042A"/>
    <w:rsid w:val="00520AA1"/>
    <w:rsid w:val="005213EA"/>
    <w:rsid w:val="00521578"/>
    <w:rsid w:val="00521BA2"/>
    <w:rsid w:val="0052217F"/>
    <w:rsid w:val="00522204"/>
    <w:rsid w:val="0052237E"/>
    <w:rsid w:val="0052269D"/>
    <w:rsid w:val="00522E94"/>
    <w:rsid w:val="00522EEE"/>
    <w:rsid w:val="005231EC"/>
    <w:rsid w:val="005233DC"/>
    <w:rsid w:val="00523E4B"/>
    <w:rsid w:val="005241BC"/>
    <w:rsid w:val="00524468"/>
    <w:rsid w:val="00524EDE"/>
    <w:rsid w:val="0052534A"/>
    <w:rsid w:val="005255A6"/>
    <w:rsid w:val="005255B4"/>
    <w:rsid w:val="00526648"/>
    <w:rsid w:val="005266F3"/>
    <w:rsid w:val="0052770D"/>
    <w:rsid w:val="00527EBA"/>
    <w:rsid w:val="00527FDA"/>
    <w:rsid w:val="00530135"/>
    <w:rsid w:val="005302FC"/>
    <w:rsid w:val="00530B8F"/>
    <w:rsid w:val="005315C8"/>
    <w:rsid w:val="005315E4"/>
    <w:rsid w:val="005316DB"/>
    <w:rsid w:val="00531966"/>
    <w:rsid w:val="00532066"/>
    <w:rsid w:val="005321A2"/>
    <w:rsid w:val="0053222A"/>
    <w:rsid w:val="00532396"/>
    <w:rsid w:val="00532417"/>
    <w:rsid w:val="00532418"/>
    <w:rsid w:val="0053254C"/>
    <w:rsid w:val="00532933"/>
    <w:rsid w:val="00532A29"/>
    <w:rsid w:val="00532BC4"/>
    <w:rsid w:val="00533380"/>
    <w:rsid w:val="005337F7"/>
    <w:rsid w:val="00533A0B"/>
    <w:rsid w:val="00533C23"/>
    <w:rsid w:val="00533C90"/>
    <w:rsid w:val="00534950"/>
    <w:rsid w:val="00534A0C"/>
    <w:rsid w:val="00534B75"/>
    <w:rsid w:val="00534E2E"/>
    <w:rsid w:val="005351E4"/>
    <w:rsid w:val="00535465"/>
    <w:rsid w:val="005355A6"/>
    <w:rsid w:val="0053561B"/>
    <w:rsid w:val="00535AC6"/>
    <w:rsid w:val="00535BD2"/>
    <w:rsid w:val="00535FD3"/>
    <w:rsid w:val="005360FC"/>
    <w:rsid w:val="005363F4"/>
    <w:rsid w:val="00536F72"/>
    <w:rsid w:val="00537690"/>
    <w:rsid w:val="00537A6F"/>
    <w:rsid w:val="00537B0E"/>
    <w:rsid w:val="00537EFF"/>
    <w:rsid w:val="00540565"/>
    <w:rsid w:val="00540AA0"/>
    <w:rsid w:val="0054113C"/>
    <w:rsid w:val="0054195C"/>
    <w:rsid w:val="00541BCD"/>
    <w:rsid w:val="00541CAA"/>
    <w:rsid w:val="00542522"/>
    <w:rsid w:val="00542AA2"/>
    <w:rsid w:val="00542B06"/>
    <w:rsid w:val="00542B7D"/>
    <w:rsid w:val="00542BCC"/>
    <w:rsid w:val="00542E14"/>
    <w:rsid w:val="00542FA8"/>
    <w:rsid w:val="00543058"/>
    <w:rsid w:val="00543BA1"/>
    <w:rsid w:val="00543FFA"/>
    <w:rsid w:val="00544148"/>
    <w:rsid w:val="00544398"/>
    <w:rsid w:val="0054463A"/>
    <w:rsid w:val="00544845"/>
    <w:rsid w:val="005448C9"/>
    <w:rsid w:val="00544B14"/>
    <w:rsid w:val="0054518F"/>
    <w:rsid w:val="00545300"/>
    <w:rsid w:val="0054571A"/>
    <w:rsid w:val="005457D4"/>
    <w:rsid w:val="0054591C"/>
    <w:rsid w:val="00545B9B"/>
    <w:rsid w:val="00545CBC"/>
    <w:rsid w:val="00545DF4"/>
    <w:rsid w:val="00545FB6"/>
    <w:rsid w:val="005463A2"/>
    <w:rsid w:val="0054677C"/>
    <w:rsid w:val="005469A6"/>
    <w:rsid w:val="00546B77"/>
    <w:rsid w:val="00547AA9"/>
    <w:rsid w:val="00550112"/>
    <w:rsid w:val="0055100A"/>
    <w:rsid w:val="005516B3"/>
    <w:rsid w:val="00551800"/>
    <w:rsid w:val="00551AE2"/>
    <w:rsid w:val="00551B81"/>
    <w:rsid w:val="00551C21"/>
    <w:rsid w:val="0055250F"/>
    <w:rsid w:val="00552BF6"/>
    <w:rsid w:val="00553201"/>
    <w:rsid w:val="005534FA"/>
    <w:rsid w:val="00553CA4"/>
    <w:rsid w:val="00554897"/>
    <w:rsid w:val="005550CA"/>
    <w:rsid w:val="0055522B"/>
    <w:rsid w:val="00555785"/>
    <w:rsid w:val="00555BDF"/>
    <w:rsid w:val="00555C73"/>
    <w:rsid w:val="00555D4A"/>
    <w:rsid w:val="00555FBA"/>
    <w:rsid w:val="00556368"/>
    <w:rsid w:val="0055742C"/>
    <w:rsid w:val="00557471"/>
    <w:rsid w:val="005578D0"/>
    <w:rsid w:val="00557AA6"/>
    <w:rsid w:val="00560BA8"/>
    <w:rsid w:val="005610E1"/>
    <w:rsid w:val="005618E0"/>
    <w:rsid w:val="005619AA"/>
    <w:rsid w:val="00561B6E"/>
    <w:rsid w:val="00562394"/>
    <w:rsid w:val="00562BE1"/>
    <w:rsid w:val="00563106"/>
    <w:rsid w:val="00563255"/>
    <w:rsid w:val="00563563"/>
    <w:rsid w:val="005635AA"/>
    <w:rsid w:val="00563762"/>
    <w:rsid w:val="00563C9E"/>
    <w:rsid w:val="005640B5"/>
    <w:rsid w:val="005644F1"/>
    <w:rsid w:val="0056462D"/>
    <w:rsid w:val="00564A38"/>
    <w:rsid w:val="00564B47"/>
    <w:rsid w:val="00564B73"/>
    <w:rsid w:val="00564E65"/>
    <w:rsid w:val="00564E90"/>
    <w:rsid w:val="00564F88"/>
    <w:rsid w:val="00565212"/>
    <w:rsid w:val="005652AF"/>
    <w:rsid w:val="005652C6"/>
    <w:rsid w:val="00565929"/>
    <w:rsid w:val="00565AF7"/>
    <w:rsid w:val="00565CDD"/>
    <w:rsid w:val="00565E5B"/>
    <w:rsid w:val="00565E87"/>
    <w:rsid w:val="00566273"/>
    <w:rsid w:val="005662BC"/>
    <w:rsid w:val="005665DB"/>
    <w:rsid w:val="00566A09"/>
    <w:rsid w:val="00566A47"/>
    <w:rsid w:val="00566ACF"/>
    <w:rsid w:val="00566AE8"/>
    <w:rsid w:val="00566DA7"/>
    <w:rsid w:val="0057069F"/>
    <w:rsid w:val="00570776"/>
    <w:rsid w:val="00570FAD"/>
    <w:rsid w:val="00570FE4"/>
    <w:rsid w:val="00571B29"/>
    <w:rsid w:val="00571E28"/>
    <w:rsid w:val="0057277D"/>
    <w:rsid w:val="00572ACB"/>
    <w:rsid w:val="00572CEF"/>
    <w:rsid w:val="00572E2C"/>
    <w:rsid w:val="00573117"/>
    <w:rsid w:val="0057350C"/>
    <w:rsid w:val="00573BD3"/>
    <w:rsid w:val="00573D00"/>
    <w:rsid w:val="00573E67"/>
    <w:rsid w:val="00573F30"/>
    <w:rsid w:val="00574AA0"/>
    <w:rsid w:val="00574FCC"/>
    <w:rsid w:val="00575587"/>
    <w:rsid w:val="00575AAB"/>
    <w:rsid w:val="005769B5"/>
    <w:rsid w:val="00576CC9"/>
    <w:rsid w:val="00577116"/>
    <w:rsid w:val="00577515"/>
    <w:rsid w:val="005775E2"/>
    <w:rsid w:val="00577816"/>
    <w:rsid w:val="00577A1C"/>
    <w:rsid w:val="00577B64"/>
    <w:rsid w:val="005800B7"/>
    <w:rsid w:val="005802D0"/>
    <w:rsid w:val="005804DF"/>
    <w:rsid w:val="005807D8"/>
    <w:rsid w:val="00580CE8"/>
    <w:rsid w:val="00580D6B"/>
    <w:rsid w:val="00581383"/>
    <w:rsid w:val="00581737"/>
    <w:rsid w:val="00581C48"/>
    <w:rsid w:val="00581FC5"/>
    <w:rsid w:val="005820A6"/>
    <w:rsid w:val="0058212D"/>
    <w:rsid w:val="00582229"/>
    <w:rsid w:val="005822C5"/>
    <w:rsid w:val="00582516"/>
    <w:rsid w:val="00582C63"/>
    <w:rsid w:val="0058361C"/>
    <w:rsid w:val="00583778"/>
    <w:rsid w:val="0058383C"/>
    <w:rsid w:val="005838B8"/>
    <w:rsid w:val="0058391D"/>
    <w:rsid w:val="0058398E"/>
    <w:rsid w:val="00583C90"/>
    <w:rsid w:val="00584505"/>
    <w:rsid w:val="00584604"/>
    <w:rsid w:val="005846A8"/>
    <w:rsid w:val="005847E6"/>
    <w:rsid w:val="00584806"/>
    <w:rsid w:val="00584831"/>
    <w:rsid w:val="00584A09"/>
    <w:rsid w:val="00584A21"/>
    <w:rsid w:val="00584AB8"/>
    <w:rsid w:val="00584D83"/>
    <w:rsid w:val="005852EB"/>
    <w:rsid w:val="00585768"/>
    <w:rsid w:val="00585A42"/>
    <w:rsid w:val="00585F27"/>
    <w:rsid w:val="00586120"/>
    <w:rsid w:val="00586531"/>
    <w:rsid w:val="00586A0A"/>
    <w:rsid w:val="00586E21"/>
    <w:rsid w:val="00586EA5"/>
    <w:rsid w:val="00586F35"/>
    <w:rsid w:val="0058704D"/>
    <w:rsid w:val="00587430"/>
    <w:rsid w:val="0058746A"/>
    <w:rsid w:val="005874A3"/>
    <w:rsid w:val="00587C9D"/>
    <w:rsid w:val="00587D7C"/>
    <w:rsid w:val="00587DC2"/>
    <w:rsid w:val="00590176"/>
    <w:rsid w:val="00590567"/>
    <w:rsid w:val="00590750"/>
    <w:rsid w:val="00590BDF"/>
    <w:rsid w:val="00590F26"/>
    <w:rsid w:val="005913B3"/>
    <w:rsid w:val="00591656"/>
    <w:rsid w:val="00592157"/>
    <w:rsid w:val="005929EA"/>
    <w:rsid w:val="005929EC"/>
    <w:rsid w:val="00592CF7"/>
    <w:rsid w:val="00592EB2"/>
    <w:rsid w:val="00592F94"/>
    <w:rsid w:val="005934AC"/>
    <w:rsid w:val="0059365F"/>
    <w:rsid w:val="00593788"/>
    <w:rsid w:val="0059391A"/>
    <w:rsid w:val="00593A5A"/>
    <w:rsid w:val="00593C45"/>
    <w:rsid w:val="0059453A"/>
    <w:rsid w:val="00594AE8"/>
    <w:rsid w:val="00594B4B"/>
    <w:rsid w:val="00594BDC"/>
    <w:rsid w:val="005953E3"/>
    <w:rsid w:val="0059564B"/>
    <w:rsid w:val="005956AF"/>
    <w:rsid w:val="00595C9E"/>
    <w:rsid w:val="005960EF"/>
    <w:rsid w:val="005961D5"/>
    <w:rsid w:val="005962B7"/>
    <w:rsid w:val="00596420"/>
    <w:rsid w:val="005969C4"/>
    <w:rsid w:val="005969EC"/>
    <w:rsid w:val="005972A7"/>
    <w:rsid w:val="00597639"/>
    <w:rsid w:val="0059772F"/>
    <w:rsid w:val="00597DBA"/>
    <w:rsid w:val="005A02B1"/>
    <w:rsid w:val="005A057F"/>
    <w:rsid w:val="005A059E"/>
    <w:rsid w:val="005A05B4"/>
    <w:rsid w:val="005A06B0"/>
    <w:rsid w:val="005A0A58"/>
    <w:rsid w:val="005A0C38"/>
    <w:rsid w:val="005A0F4F"/>
    <w:rsid w:val="005A0FCF"/>
    <w:rsid w:val="005A183D"/>
    <w:rsid w:val="005A1A1F"/>
    <w:rsid w:val="005A1AF5"/>
    <w:rsid w:val="005A1D6F"/>
    <w:rsid w:val="005A242A"/>
    <w:rsid w:val="005A26CC"/>
    <w:rsid w:val="005A2B28"/>
    <w:rsid w:val="005A31F6"/>
    <w:rsid w:val="005A39B7"/>
    <w:rsid w:val="005A3AAC"/>
    <w:rsid w:val="005A4ACE"/>
    <w:rsid w:val="005A4E51"/>
    <w:rsid w:val="005A4FD2"/>
    <w:rsid w:val="005A5104"/>
    <w:rsid w:val="005A52C4"/>
    <w:rsid w:val="005A5975"/>
    <w:rsid w:val="005A59E3"/>
    <w:rsid w:val="005A663A"/>
    <w:rsid w:val="005A69B8"/>
    <w:rsid w:val="005A6B60"/>
    <w:rsid w:val="005A6DB1"/>
    <w:rsid w:val="005A729F"/>
    <w:rsid w:val="005A7396"/>
    <w:rsid w:val="005A73F3"/>
    <w:rsid w:val="005A7824"/>
    <w:rsid w:val="005A7E09"/>
    <w:rsid w:val="005A7F44"/>
    <w:rsid w:val="005B08FF"/>
    <w:rsid w:val="005B0F65"/>
    <w:rsid w:val="005B1334"/>
    <w:rsid w:val="005B19CD"/>
    <w:rsid w:val="005B2C14"/>
    <w:rsid w:val="005B2C54"/>
    <w:rsid w:val="005B3B48"/>
    <w:rsid w:val="005B4580"/>
    <w:rsid w:val="005B489D"/>
    <w:rsid w:val="005B4A6E"/>
    <w:rsid w:val="005B4C2D"/>
    <w:rsid w:val="005B5739"/>
    <w:rsid w:val="005B5791"/>
    <w:rsid w:val="005B6005"/>
    <w:rsid w:val="005B6213"/>
    <w:rsid w:val="005B62F3"/>
    <w:rsid w:val="005B7047"/>
    <w:rsid w:val="005B711D"/>
    <w:rsid w:val="005B7276"/>
    <w:rsid w:val="005B785B"/>
    <w:rsid w:val="005B7BD0"/>
    <w:rsid w:val="005B7BEE"/>
    <w:rsid w:val="005B7D6D"/>
    <w:rsid w:val="005C0072"/>
    <w:rsid w:val="005C009B"/>
    <w:rsid w:val="005C01D9"/>
    <w:rsid w:val="005C0ACF"/>
    <w:rsid w:val="005C0C7B"/>
    <w:rsid w:val="005C0D5D"/>
    <w:rsid w:val="005C118D"/>
    <w:rsid w:val="005C126B"/>
    <w:rsid w:val="005C18B8"/>
    <w:rsid w:val="005C1B14"/>
    <w:rsid w:val="005C1F09"/>
    <w:rsid w:val="005C216F"/>
    <w:rsid w:val="005C244F"/>
    <w:rsid w:val="005C2625"/>
    <w:rsid w:val="005C26BE"/>
    <w:rsid w:val="005C29F5"/>
    <w:rsid w:val="005C2E8B"/>
    <w:rsid w:val="005C3959"/>
    <w:rsid w:val="005C3ADC"/>
    <w:rsid w:val="005C4A8B"/>
    <w:rsid w:val="005C4D91"/>
    <w:rsid w:val="005C6369"/>
    <w:rsid w:val="005C7170"/>
    <w:rsid w:val="005C743D"/>
    <w:rsid w:val="005D05B7"/>
    <w:rsid w:val="005D17FB"/>
    <w:rsid w:val="005D1956"/>
    <w:rsid w:val="005D1973"/>
    <w:rsid w:val="005D1E51"/>
    <w:rsid w:val="005D24BC"/>
    <w:rsid w:val="005D26BD"/>
    <w:rsid w:val="005D28C6"/>
    <w:rsid w:val="005D2D22"/>
    <w:rsid w:val="005D34C9"/>
    <w:rsid w:val="005D34D5"/>
    <w:rsid w:val="005D37C7"/>
    <w:rsid w:val="005D41AA"/>
    <w:rsid w:val="005D4771"/>
    <w:rsid w:val="005D47AD"/>
    <w:rsid w:val="005D47E4"/>
    <w:rsid w:val="005D485D"/>
    <w:rsid w:val="005D4955"/>
    <w:rsid w:val="005D4DAC"/>
    <w:rsid w:val="005D51CD"/>
    <w:rsid w:val="005D5337"/>
    <w:rsid w:val="005D53B1"/>
    <w:rsid w:val="005D53BB"/>
    <w:rsid w:val="005D562A"/>
    <w:rsid w:val="005D5685"/>
    <w:rsid w:val="005D5831"/>
    <w:rsid w:val="005D589A"/>
    <w:rsid w:val="005D5ADE"/>
    <w:rsid w:val="005D5DC7"/>
    <w:rsid w:val="005D60F5"/>
    <w:rsid w:val="005D6411"/>
    <w:rsid w:val="005D6595"/>
    <w:rsid w:val="005D68E0"/>
    <w:rsid w:val="005D6C85"/>
    <w:rsid w:val="005D6D4E"/>
    <w:rsid w:val="005D707A"/>
    <w:rsid w:val="005D7268"/>
    <w:rsid w:val="005D7480"/>
    <w:rsid w:val="005D7556"/>
    <w:rsid w:val="005D78D0"/>
    <w:rsid w:val="005D7CCD"/>
    <w:rsid w:val="005D7D5E"/>
    <w:rsid w:val="005E0545"/>
    <w:rsid w:val="005E0829"/>
    <w:rsid w:val="005E08C6"/>
    <w:rsid w:val="005E08F5"/>
    <w:rsid w:val="005E0CA4"/>
    <w:rsid w:val="005E10A1"/>
    <w:rsid w:val="005E1164"/>
    <w:rsid w:val="005E11A1"/>
    <w:rsid w:val="005E12A3"/>
    <w:rsid w:val="005E1625"/>
    <w:rsid w:val="005E18E3"/>
    <w:rsid w:val="005E20EE"/>
    <w:rsid w:val="005E29DC"/>
    <w:rsid w:val="005E2C13"/>
    <w:rsid w:val="005E2DA3"/>
    <w:rsid w:val="005E3316"/>
    <w:rsid w:val="005E33FF"/>
    <w:rsid w:val="005E3455"/>
    <w:rsid w:val="005E365F"/>
    <w:rsid w:val="005E3A8B"/>
    <w:rsid w:val="005E3D47"/>
    <w:rsid w:val="005E3D69"/>
    <w:rsid w:val="005E413B"/>
    <w:rsid w:val="005E4150"/>
    <w:rsid w:val="005E4453"/>
    <w:rsid w:val="005E473D"/>
    <w:rsid w:val="005E4916"/>
    <w:rsid w:val="005E50A7"/>
    <w:rsid w:val="005E50F0"/>
    <w:rsid w:val="005E653B"/>
    <w:rsid w:val="005E6D07"/>
    <w:rsid w:val="005E6F38"/>
    <w:rsid w:val="005E6F3B"/>
    <w:rsid w:val="005E7606"/>
    <w:rsid w:val="005E7E61"/>
    <w:rsid w:val="005E7F69"/>
    <w:rsid w:val="005F00AF"/>
    <w:rsid w:val="005F00B0"/>
    <w:rsid w:val="005F0960"/>
    <w:rsid w:val="005F0CB7"/>
    <w:rsid w:val="005F0EF2"/>
    <w:rsid w:val="005F1083"/>
    <w:rsid w:val="005F1784"/>
    <w:rsid w:val="005F17B1"/>
    <w:rsid w:val="005F2955"/>
    <w:rsid w:val="005F3115"/>
    <w:rsid w:val="005F31C7"/>
    <w:rsid w:val="005F3411"/>
    <w:rsid w:val="005F3517"/>
    <w:rsid w:val="005F3752"/>
    <w:rsid w:val="005F380F"/>
    <w:rsid w:val="005F40C3"/>
    <w:rsid w:val="005F4128"/>
    <w:rsid w:val="005F42F9"/>
    <w:rsid w:val="005F4347"/>
    <w:rsid w:val="005F435C"/>
    <w:rsid w:val="005F49A9"/>
    <w:rsid w:val="005F4ABE"/>
    <w:rsid w:val="005F4C78"/>
    <w:rsid w:val="005F4F1D"/>
    <w:rsid w:val="005F5735"/>
    <w:rsid w:val="005F5A1F"/>
    <w:rsid w:val="005F65BC"/>
    <w:rsid w:val="005F6645"/>
    <w:rsid w:val="005F67A3"/>
    <w:rsid w:val="005F6C8C"/>
    <w:rsid w:val="005F6CE5"/>
    <w:rsid w:val="005F6D92"/>
    <w:rsid w:val="005F7012"/>
    <w:rsid w:val="005F7017"/>
    <w:rsid w:val="005F7A87"/>
    <w:rsid w:val="005F7AD7"/>
    <w:rsid w:val="005F7DD2"/>
    <w:rsid w:val="006004F3"/>
    <w:rsid w:val="00600653"/>
    <w:rsid w:val="00600996"/>
    <w:rsid w:val="00601399"/>
    <w:rsid w:val="0060184C"/>
    <w:rsid w:val="00601E0D"/>
    <w:rsid w:val="006020F1"/>
    <w:rsid w:val="006022C7"/>
    <w:rsid w:val="00602778"/>
    <w:rsid w:val="00602D87"/>
    <w:rsid w:val="00602F91"/>
    <w:rsid w:val="00603232"/>
    <w:rsid w:val="006036B2"/>
    <w:rsid w:val="00603754"/>
    <w:rsid w:val="00603E5C"/>
    <w:rsid w:val="00603F06"/>
    <w:rsid w:val="0060439D"/>
    <w:rsid w:val="006043A8"/>
    <w:rsid w:val="00604BBE"/>
    <w:rsid w:val="00605F83"/>
    <w:rsid w:val="0060605D"/>
    <w:rsid w:val="00606236"/>
    <w:rsid w:val="00606886"/>
    <w:rsid w:val="00606B99"/>
    <w:rsid w:val="00606CB7"/>
    <w:rsid w:val="00607705"/>
    <w:rsid w:val="00607855"/>
    <w:rsid w:val="00607B52"/>
    <w:rsid w:val="00607F14"/>
    <w:rsid w:val="006109BB"/>
    <w:rsid w:val="0061106D"/>
    <w:rsid w:val="0061109B"/>
    <w:rsid w:val="0061134E"/>
    <w:rsid w:val="006113BD"/>
    <w:rsid w:val="006113CC"/>
    <w:rsid w:val="006117B4"/>
    <w:rsid w:val="00611953"/>
    <w:rsid w:val="00611C90"/>
    <w:rsid w:val="00611F6C"/>
    <w:rsid w:val="00612578"/>
    <w:rsid w:val="0061258B"/>
    <w:rsid w:val="006127BF"/>
    <w:rsid w:val="006128F8"/>
    <w:rsid w:val="00612A80"/>
    <w:rsid w:val="00612F0B"/>
    <w:rsid w:val="006130A6"/>
    <w:rsid w:val="0061356B"/>
    <w:rsid w:val="006137F8"/>
    <w:rsid w:val="006137FE"/>
    <w:rsid w:val="0061394D"/>
    <w:rsid w:val="00613C48"/>
    <w:rsid w:val="00613E3B"/>
    <w:rsid w:val="00613F1E"/>
    <w:rsid w:val="00614695"/>
    <w:rsid w:val="00614A56"/>
    <w:rsid w:val="00614CC2"/>
    <w:rsid w:val="00615085"/>
    <w:rsid w:val="0061540E"/>
    <w:rsid w:val="00615C24"/>
    <w:rsid w:val="00615D1F"/>
    <w:rsid w:val="00616442"/>
    <w:rsid w:val="006164D9"/>
    <w:rsid w:val="006164F3"/>
    <w:rsid w:val="00616661"/>
    <w:rsid w:val="00616747"/>
    <w:rsid w:val="00616BDB"/>
    <w:rsid w:val="00616C25"/>
    <w:rsid w:val="00616CE0"/>
    <w:rsid w:val="00616D73"/>
    <w:rsid w:val="00617728"/>
    <w:rsid w:val="006177F6"/>
    <w:rsid w:val="00617B24"/>
    <w:rsid w:val="00617D7E"/>
    <w:rsid w:val="00617F8D"/>
    <w:rsid w:val="0062124C"/>
    <w:rsid w:val="0062157E"/>
    <w:rsid w:val="006218CE"/>
    <w:rsid w:val="006219C5"/>
    <w:rsid w:val="00621AEC"/>
    <w:rsid w:val="00622144"/>
    <w:rsid w:val="006231ED"/>
    <w:rsid w:val="0062388A"/>
    <w:rsid w:val="006238CC"/>
    <w:rsid w:val="006243E7"/>
    <w:rsid w:val="006245CA"/>
    <w:rsid w:val="00624EEE"/>
    <w:rsid w:val="00624F7C"/>
    <w:rsid w:val="00625077"/>
    <w:rsid w:val="00625DC4"/>
    <w:rsid w:val="00626112"/>
    <w:rsid w:val="006262C6"/>
    <w:rsid w:val="0062643E"/>
    <w:rsid w:val="00626D56"/>
    <w:rsid w:val="00627100"/>
    <w:rsid w:val="00627384"/>
    <w:rsid w:val="006276AF"/>
    <w:rsid w:val="00627745"/>
    <w:rsid w:val="0062791F"/>
    <w:rsid w:val="00627B83"/>
    <w:rsid w:val="00627E57"/>
    <w:rsid w:val="00631539"/>
    <w:rsid w:val="00631C65"/>
    <w:rsid w:val="00631E20"/>
    <w:rsid w:val="00632A22"/>
    <w:rsid w:val="00632C95"/>
    <w:rsid w:val="006332A7"/>
    <w:rsid w:val="006336AF"/>
    <w:rsid w:val="00633874"/>
    <w:rsid w:val="00633889"/>
    <w:rsid w:val="006339D0"/>
    <w:rsid w:val="00633EAA"/>
    <w:rsid w:val="006340C6"/>
    <w:rsid w:val="006341ED"/>
    <w:rsid w:val="00634454"/>
    <w:rsid w:val="0063447D"/>
    <w:rsid w:val="00634937"/>
    <w:rsid w:val="00634D37"/>
    <w:rsid w:val="00635016"/>
    <w:rsid w:val="0063506E"/>
    <w:rsid w:val="0063573E"/>
    <w:rsid w:val="00636005"/>
    <w:rsid w:val="006360B8"/>
    <w:rsid w:val="006360F9"/>
    <w:rsid w:val="00636168"/>
    <w:rsid w:val="00636241"/>
    <w:rsid w:val="006362D3"/>
    <w:rsid w:val="00636812"/>
    <w:rsid w:val="00636BBD"/>
    <w:rsid w:val="0063767F"/>
    <w:rsid w:val="00637827"/>
    <w:rsid w:val="00637D54"/>
    <w:rsid w:val="00640005"/>
    <w:rsid w:val="00640498"/>
    <w:rsid w:val="006405D7"/>
    <w:rsid w:val="00640834"/>
    <w:rsid w:val="006416F0"/>
    <w:rsid w:val="00641707"/>
    <w:rsid w:val="0064177E"/>
    <w:rsid w:val="00641B8D"/>
    <w:rsid w:val="00641BA2"/>
    <w:rsid w:val="00642092"/>
    <w:rsid w:val="006421AD"/>
    <w:rsid w:val="0064283F"/>
    <w:rsid w:val="00642A9B"/>
    <w:rsid w:val="00642D02"/>
    <w:rsid w:val="00642EB6"/>
    <w:rsid w:val="0064301A"/>
    <w:rsid w:val="006435FD"/>
    <w:rsid w:val="00643AA2"/>
    <w:rsid w:val="00643BDB"/>
    <w:rsid w:val="00643DE7"/>
    <w:rsid w:val="00644900"/>
    <w:rsid w:val="006449E0"/>
    <w:rsid w:val="00644DFE"/>
    <w:rsid w:val="00644ED1"/>
    <w:rsid w:val="00645360"/>
    <w:rsid w:val="006455AE"/>
    <w:rsid w:val="006457D8"/>
    <w:rsid w:val="00645B7E"/>
    <w:rsid w:val="00645D75"/>
    <w:rsid w:val="00645DBA"/>
    <w:rsid w:val="006461EB"/>
    <w:rsid w:val="006467A3"/>
    <w:rsid w:val="00646CCB"/>
    <w:rsid w:val="006471E1"/>
    <w:rsid w:val="0064734F"/>
    <w:rsid w:val="006475B9"/>
    <w:rsid w:val="00647C50"/>
    <w:rsid w:val="00647D2A"/>
    <w:rsid w:val="00647D74"/>
    <w:rsid w:val="006500A7"/>
    <w:rsid w:val="00650265"/>
    <w:rsid w:val="006503F5"/>
    <w:rsid w:val="006504E2"/>
    <w:rsid w:val="00650FEF"/>
    <w:rsid w:val="006511C7"/>
    <w:rsid w:val="006512F6"/>
    <w:rsid w:val="0065169A"/>
    <w:rsid w:val="006517D6"/>
    <w:rsid w:val="0065193C"/>
    <w:rsid w:val="00651956"/>
    <w:rsid w:val="00652167"/>
    <w:rsid w:val="00652396"/>
    <w:rsid w:val="00652DEF"/>
    <w:rsid w:val="00653332"/>
    <w:rsid w:val="00653422"/>
    <w:rsid w:val="00653476"/>
    <w:rsid w:val="006534CF"/>
    <w:rsid w:val="0065370B"/>
    <w:rsid w:val="00653EA6"/>
    <w:rsid w:val="0065404E"/>
    <w:rsid w:val="006540D0"/>
    <w:rsid w:val="006540FC"/>
    <w:rsid w:val="006544F2"/>
    <w:rsid w:val="00654D04"/>
    <w:rsid w:val="00655518"/>
    <w:rsid w:val="00655BCB"/>
    <w:rsid w:val="00655F5B"/>
    <w:rsid w:val="0065646A"/>
    <w:rsid w:val="006565CD"/>
    <w:rsid w:val="00656770"/>
    <w:rsid w:val="00656B4A"/>
    <w:rsid w:val="00656B78"/>
    <w:rsid w:val="00657024"/>
    <w:rsid w:val="006575CD"/>
    <w:rsid w:val="006578EA"/>
    <w:rsid w:val="00657AA5"/>
    <w:rsid w:val="00657B78"/>
    <w:rsid w:val="00657C90"/>
    <w:rsid w:val="0066003A"/>
    <w:rsid w:val="00660633"/>
    <w:rsid w:val="0066082F"/>
    <w:rsid w:val="006609D4"/>
    <w:rsid w:val="00660B05"/>
    <w:rsid w:val="00660E90"/>
    <w:rsid w:val="006611BE"/>
    <w:rsid w:val="00661248"/>
    <w:rsid w:val="00661277"/>
    <w:rsid w:val="00661D96"/>
    <w:rsid w:val="00661E48"/>
    <w:rsid w:val="00662122"/>
    <w:rsid w:val="006621A9"/>
    <w:rsid w:val="006628A0"/>
    <w:rsid w:val="00662E06"/>
    <w:rsid w:val="0066382F"/>
    <w:rsid w:val="006638A6"/>
    <w:rsid w:val="00663988"/>
    <w:rsid w:val="0066433A"/>
    <w:rsid w:val="00664451"/>
    <w:rsid w:val="006645CA"/>
    <w:rsid w:val="00664AEE"/>
    <w:rsid w:val="00664B59"/>
    <w:rsid w:val="00664BEE"/>
    <w:rsid w:val="00664CBC"/>
    <w:rsid w:val="00664D95"/>
    <w:rsid w:val="0066517F"/>
    <w:rsid w:val="00665353"/>
    <w:rsid w:val="00666221"/>
    <w:rsid w:val="006665C4"/>
    <w:rsid w:val="006666CE"/>
    <w:rsid w:val="006669DB"/>
    <w:rsid w:val="00666DA4"/>
    <w:rsid w:val="006671C9"/>
    <w:rsid w:val="0066761D"/>
    <w:rsid w:val="0066762D"/>
    <w:rsid w:val="00667634"/>
    <w:rsid w:val="00667C8A"/>
    <w:rsid w:val="00667ED5"/>
    <w:rsid w:val="00670501"/>
    <w:rsid w:val="00670855"/>
    <w:rsid w:val="00670B9E"/>
    <w:rsid w:val="00670BBD"/>
    <w:rsid w:val="00670BEE"/>
    <w:rsid w:val="00670D0F"/>
    <w:rsid w:val="00670DCE"/>
    <w:rsid w:val="00670F29"/>
    <w:rsid w:val="00670F9D"/>
    <w:rsid w:val="006716EC"/>
    <w:rsid w:val="00672825"/>
    <w:rsid w:val="0067295B"/>
    <w:rsid w:val="00672A42"/>
    <w:rsid w:val="00672B92"/>
    <w:rsid w:val="00672DD7"/>
    <w:rsid w:val="00673092"/>
    <w:rsid w:val="0067398F"/>
    <w:rsid w:val="00673C4F"/>
    <w:rsid w:val="0067423D"/>
    <w:rsid w:val="00674B54"/>
    <w:rsid w:val="006751ED"/>
    <w:rsid w:val="006751F0"/>
    <w:rsid w:val="00675A29"/>
    <w:rsid w:val="00675E7A"/>
    <w:rsid w:val="00675EF9"/>
    <w:rsid w:val="00676167"/>
    <w:rsid w:val="006762C1"/>
    <w:rsid w:val="006768A0"/>
    <w:rsid w:val="00676D1E"/>
    <w:rsid w:val="00676F7A"/>
    <w:rsid w:val="0067702C"/>
    <w:rsid w:val="00677172"/>
    <w:rsid w:val="00677637"/>
    <w:rsid w:val="00677F91"/>
    <w:rsid w:val="0068009E"/>
    <w:rsid w:val="0068014B"/>
    <w:rsid w:val="006807EC"/>
    <w:rsid w:val="00680991"/>
    <w:rsid w:val="00680E0A"/>
    <w:rsid w:val="00681108"/>
    <w:rsid w:val="00681688"/>
    <w:rsid w:val="00681D9D"/>
    <w:rsid w:val="0068227D"/>
    <w:rsid w:val="006822C1"/>
    <w:rsid w:val="00682346"/>
    <w:rsid w:val="006825BB"/>
    <w:rsid w:val="00682A3E"/>
    <w:rsid w:val="00682F54"/>
    <w:rsid w:val="00683084"/>
    <w:rsid w:val="0068336A"/>
    <w:rsid w:val="00683988"/>
    <w:rsid w:val="006839C4"/>
    <w:rsid w:val="0068426D"/>
    <w:rsid w:val="0068481E"/>
    <w:rsid w:val="00684AA5"/>
    <w:rsid w:val="00684DA6"/>
    <w:rsid w:val="00684FBB"/>
    <w:rsid w:val="00685032"/>
    <w:rsid w:val="00685310"/>
    <w:rsid w:val="0068569E"/>
    <w:rsid w:val="00685B0A"/>
    <w:rsid w:val="00686A94"/>
    <w:rsid w:val="00686F3B"/>
    <w:rsid w:val="00687341"/>
    <w:rsid w:val="00687611"/>
    <w:rsid w:val="00687FB5"/>
    <w:rsid w:val="006902BA"/>
    <w:rsid w:val="006902EB"/>
    <w:rsid w:val="0069037C"/>
    <w:rsid w:val="00690EB0"/>
    <w:rsid w:val="006910C3"/>
    <w:rsid w:val="00691133"/>
    <w:rsid w:val="00691AD0"/>
    <w:rsid w:val="00691BCD"/>
    <w:rsid w:val="00691D8B"/>
    <w:rsid w:val="0069207C"/>
    <w:rsid w:val="00692305"/>
    <w:rsid w:val="006928BA"/>
    <w:rsid w:val="006929A8"/>
    <w:rsid w:val="00692C58"/>
    <w:rsid w:val="0069313E"/>
    <w:rsid w:val="00693C16"/>
    <w:rsid w:val="006941C5"/>
    <w:rsid w:val="006943A3"/>
    <w:rsid w:val="0069492A"/>
    <w:rsid w:val="0069495B"/>
    <w:rsid w:val="00694A7C"/>
    <w:rsid w:val="00694A90"/>
    <w:rsid w:val="00694C07"/>
    <w:rsid w:val="00694CA9"/>
    <w:rsid w:val="006951A5"/>
    <w:rsid w:val="006954B0"/>
    <w:rsid w:val="0069567D"/>
    <w:rsid w:val="00695E0E"/>
    <w:rsid w:val="006962C7"/>
    <w:rsid w:val="00696680"/>
    <w:rsid w:val="006967E0"/>
    <w:rsid w:val="00696C25"/>
    <w:rsid w:val="00696FCD"/>
    <w:rsid w:val="0069764B"/>
    <w:rsid w:val="00697D72"/>
    <w:rsid w:val="00697DDD"/>
    <w:rsid w:val="00697F54"/>
    <w:rsid w:val="006A06A3"/>
    <w:rsid w:val="006A0A11"/>
    <w:rsid w:val="006A0C5B"/>
    <w:rsid w:val="006A0EEF"/>
    <w:rsid w:val="006A11A6"/>
    <w:rsid w:val="006A11E4"/>
    <w:rsid w:val="006A121F"/>
    <w:rsid w:val="006A1BC4"/>
    <w:rsid w:val="006A21E5"/>
    <w:rsid w:val="006A21F4"/>
    <w:rsid w:val="006A22C1"/>
    <w:rsid w:val="006A28B6"/>
    <w:rsid w:val="006A2D65"/>
    <w:rsid w:val="006A300A"/>
    <w:rsid w:val="006A359D"/>
    <w:rsid w:val="006A36AE"/>
    <w:rsid w:val="006A38CF"/>
    <w:rsid w:val="006A3B7B"/>
    <w:rsid w:val="006A3DD4"/>
    <w:rsid w:val="006A4A8C"/>
    <w:rsid w:val="006A4F9B"/>
    <w:rsid w:val="006A5031"/>
    <w:rsid w:val="006A5658"/>
    <w:rsid w:val="006A579F"/>
    <w:rsid w:val="006A57FB"/>
    <w:rsid w:val="006A61AA"/>
    <w:rsid w:val="006A6377"/>
    <w:rsid w:val="006A6C5B"/>
    <w:rsid w:val="006A7950"/>
    <w:rsid w:val="006A7D15"/>
    <w:rsid w:val="006B03DF"/>
    <w:rsid w:val="006B0587"/>
    <w:rsid w:val="006B061A"/>
    <w:rsid w:val="006B0F57"/>
    <w:rsid w:val="006B1017"/>
    <w:rsid w:val="006B12A7"/>
    <w:rsid w:val="006B1390"/>
    <w:rsid w:val="006B1499"/>
    <w:rsid w:val="006B157C"/>
    <w:rsid w:val="006B162E"/>
    <w:rsid w:val="006B17AD"/>
    <w:rsid w:val="006B1847"/>
    <w:rsid w:val="006B19C4"/>
    <w:rsid w:val="006B1C99"/>
    <w:rsid w:val="006B1CAE"/>
    <w:rsid w:val="006B204A"/>
    <w:rsid w:val="006B2954"/>
    <w:rsid w:val="006B2A89"/>
    <w:rsid w:val="006B3C78"/>
    <w:rsid w:val="006B40F4"/>
    <w:rsid w:val="006B4337"/>
    <w:rsid w:val="006B4774"/>
    <w:rsid w:val="006B47BE"/>
    <w:rsid w:val="006B4829"/>
    <w:rsid w:val="006B53A4"/>
    <w:rsid w:val="006B5481"/>
    <w:rsid w:val="006B59E3"/>
    <w:rsid w:val="006B5D8F"/>
    <w:rsid w:val="006B61D0"/>
    <w:rsid w:val="006B62D9"/>
    <w:rsid w:val="006B6E64"/>
    <w:rsid w:val="006B7096"/>
    <w:rsid w:val="006B767C"/>
    <w:rsid w:val="006B79CB"/>
    <w:rsid w:val="006B7F05"/>
    <w:rsid w:val="006C04E7"/>
    <w:rsid w:val="006C069F"/>
    <w:rsid w:val="006C0907"/>
    <w:rsid w:val="006C10E5"/>
    <w:rsid w:val="006C1FD2"/>
    <w:rsid w:val="006C20D0"/>
    <w:rsid w:val="006C28F0"/>
    <w:rsid w:val="006C2E24"/>
    <w:rsid w:val="006C32D8"/>
    <w:rsid w:val="006C35BE"/>
    <w:rsid w:val="006C39D5"/>
    <w:rsid w:val="006C3B47"/>
    <w:rsid w:val="006C3BDD"/>
    <w:rsid w:val="006C3E21"/>
    <w:rsid w:val="006C44F0"/>
    <w:rsid w:val="006C4525"/>
    <w:rsid w:val="006C4717"/>
    <w:rsid w:val="006C5726"/>
    <w:rsid w:val="006C58DA"/>
    <w:rsid w:val="006C5DC5"/>
    <w:rsid w:val="006C607C"/>
    <w:rsid w:val="006C6147"/>
    <w:rsid w:val="006C6364"/>
    <w:rsid w:val="006C642F"/>
    <w:rsid w:val="006C647D"/>
    <w:rsid w:val="006C668E"/>
    <w:rsid w:val="006C67C5"/>
    <w:rsid w:val="006C67CF"/>
    <w:rsid w:val="006C69B2"/>
    <w:rsid w:val="006C6A64"/>
    <w:rsid w:val="006C730B"/>
    <w:rsid w:val="006C7548"/>
    <w:rsid w:val="006C7B7A"/>
    <w:rsid w:val="006C7FC1"/>
    <w:rsid w:val="006D06D3"/>
    <w:rsid w:val="006D1003"/>
    <w:rsid w:val="006D11D6"/>
    <w:rsid w:val="006D163F"/>
    <w:rsid w:val="006D17AB"/>
    <w:rsid w:val="006D17B1"/>
    <w:rsid w:val="006D209B"/>
    <w:rsid w:val="006D2420"/>
    <w:rsid w:val="006D2602"/>
    <w:rsid w:val="006D2944"/>
    <w:rsid w:val="006D2BB9"/>
    <w:rsid w:val="006D3175"/>
    <w:rsid w:val="006D3280"/>
    <w:rsid w:val="006D3472"/>
    <w:rsid w:val="006D3550"/>
    <w:rsid w:val="006D35A6"/>
    <w:rsid w:val="006D36F5"/>
    <w:rsid w:val="006D374C"/>
    <w:rsid w:val="006D3AC0"/>
    <w:rsid w:val="006D3D8F"/>
    <w:rsid w:val="006D3E5D"/>
    <w:rsid w:val="006D466B"/>
    <w:rsid w:val="006D4759"/>
    <w:rsid w:val="006D48BE"/>
    <w:rsid w:val="006D4B29"/>
    <w:rsid w:val="006D4F5A"/>
    <w:rsid w:val="006D52DC"/>
    <w:rsid w:val="006D5332"/>
    <w:rsid w:val="006D5460"/>
    <w:rsid w:val="006D54F5"/>
    <w:rsid w:val="006D5BAB"/>
    <w:rsid w:val="006D6DD3"/>
    <w:rsid w:val="006D7828"/>
    <w:rsid w:val="006D7FA2"/>
    <w:rsid w:val="006E0038"/>
    <w:rsid w:val="006E0125"/>
    <w:rsid w:val="006E0197"/>
    <w:rsid w:val="006E04C4"/>
    <w:rsid w:val="006E0CFD"/>
    <w:rsid w:val="006E1253"/>
    <w:rsid w:val="006E1338"/>
    <w:rsid w:val="006E1592"/>
    <w:rsid w:val="006E15C8"/>
    <w:rsid w:val="006E1614"/>
    <w:rsid w:val="006E1622"/>
    <w:rsid w:val="006E1BEA"/>
    <w:rsid w:val="006E1E35"/>
    <w:rsid w:val="006E2007"/>
    <w:rsid w:val="006E245B"/>
    <w:rsid w:val="006E249C"/>
    <w:rsid w:val="006E2680"/>
    <w:rsid w:val="006E2822"/>
    <w:rsid w:val="006E2A83"/>
    <w:rsid w:val="006E2E7D"/>
    <w:rsid w:val="006E3CAC"/>
    <w:rsid w:val="006E44EC"/>
    <w:rsid w:val="006E4C29"/>
    <w:rsid w:val="006E4DBD"/>
    <w:rsid w:val="006E4EA2"/>
    <w:rsid w:val="006E5545"/>
    <w:rsid w:val="006E5D4C"/>
    <w:rsid w:val="006E6041"/>
    <w:rsid w:val="006E6049"/>
    <w:rsid w:val="006E6419"/>
    <w:rsid w:val="006E695F"/>
    <w:rsid w:val="006E6ED9"/>
    <w:rsid w:val="006E6EDC"/>
    <w:rsid w:val="006E719C"/>
    <w:rsid w:val="006E7271"/>
    <w:rsid w:val="006E76A3"/>
    <w:rsid w:val="006E7B09"/>
    <w:rsid w:val="006E7ED0"/>
    <w:rsid w:val="006E7FD1"/>
    <w:rsid w:val="006F0138"/>
    <w:rsid w:val="006F0480"/>
    <w:rsid w:val="006F0553"/>
    <w:rsid w:val="006F0583"/>
    <w:rsid w:val="006F06A9"/>
    <w:rsid w:val="006F0889"/>
    <w:rsid w:val="006F0DD8"/>
    <w:rsid w:val="006F10BB"/>
    <w:rsid w:val="006F127E"/>
    <w:rsid w:val="006F15F0"/>
    <w:rsid w:val="006F179F"/>
    <w:rsid w:val="006F1A7B"/>
    <w:rsid w:val="006F2133"/>
    <w:rsid w:val="006F22B9"/>
    <w:rsid w:val="006F2609"/>
    <w:rsid w:val="006F2B36"/>
    <w:rsid w:val="006F3123"/>
    <w:rsid w:val="006F32E8"/>
    <w:rsid w:val="006F446C"/>
    <w:rsid w:val="006F4BAD"/>
    <w:rsid w:val="006F4C36"/>
    <w:rsid w:val="006F51D6"/>
    <w:rsid w:val="006F5232"/>
    <w:rsid w:val="006F59AB"/>
    <w:rsid w:val="006F5B61"/>
    <w:rsid w:val="006F61CA"/>
    <w:rsid w:val="006F658F"/>
    <w:rsid w:val="006F6A40"/>
    <w:rsid w:val="006F6B5E"/>
    <w:rsid w:val="006F6BF0"/>
    <w:rsid w:val="006F6F3F"/>
    <w:rsid w:val="006F70E1"/>
    <w:rsid w:val="006F7301"/>
    <w:rsid w:val="006F7AA6"/>
    <w:rsid w:val="006F7B37"/>
    <w:rsid w:val="006F7BB6"/>
    <w:rsid w:val="006F7DC5"/>
    <w:rsid w:val="00700038"/>
    <w:rsid w:val="0070050E"/>
    <w:rsid w:val="00700D7D"/>
    <w:rsid w:val="00701C61"/>
    <w:rsid w:val="00702087"/>
    <w:rsid w:val="007024B9"/>
    <w:rsid w:val="007028BD"/>
    <w:rsid w:val="00702929"/>
    <w:rsid w:val="00702C18"/>
    <w:rsid w:val="00702DC4"/>
    <w:rsid w:val="0070330F"/>
    <w:rsid w:val="00703351"/>
    <w:rsid w:val="00703D71"/>
    <w:rsid w:val="00703DCE"/>
    <w:rsid w:val="00704754"/>
    <w:rsid w:val="00704AA2"/>
    <w:rsid w:val="00704C4A"/>
    <w:rsid w:val="00704EFC"/>
    <w:rsid w:val="0070507B"/>
    <w:rsid w:val="0070543F"/>
    <w:rsid w:val="0070555E"/>
    <w:rsid w:val="00705E66"/>
    <w:rsid w:val="00706047"/>
    <w:rsid w:val="0070633E"/>
    <w:rsid w:val="007073F3"/>
    <w:rsid w:val="00707ABF"/>
    <w:rsid w:val="00707F9A"/>
    <w:rsid w:val="0071061B"/>
    <w:rsid w:val="00710A1C"/>
    <w:rsid w:val="00710AC1"/>
    <w:rsid w:val="00710E84"/>
    <w:rsid w:val="007111FD"/>
    <w:rsid w:val="00711290"/>
    <w:rsid w:val="00711489"/>
    <w:rsid w:val="007114B5"/>
    <w:rsid w:val="0071190A"/>
    <w:rsid w:val="00711B79"/>
    <w:rsid w:val="00711C32"/>
    <w:rsid w:val="00711C5F"/>
    <w:rsid w:val="00712386"/>
    <w:rsid w:val="0071239A"/>
    <w:rsid w:val="00712607"/>
    <w:rsid w:val="007126C3"/>
    <w:rsid w:val="007129FF"/>
    <w:rsid w:val="0071309D"/>
    <w:rsid w:val="0071314E"/>
    <w:rsid w:val="0071326B"/>
    <w:rsid w:val="00713717"/>
    <w:rsid w:val="00713CEF"/>
    <w:rsid w:val="00714233"/>
    <w:rsid w:val="007143A4"/>
    <w:rsid w:val="007147E9"/>
    <w:rsid w:val="007149EF"/>
    <w:rsid w:val="00715192"/>
    <w:rsid w:val="007152F9"/>
    <w:rsid w:val="007162D2"/>
    <w:rsid w:val="00716310"/>
    <w:rsid w:val="007165ED"/>
    <w:rsid w:val="00716F0E"/>
    <w:rsid w:val="00716F5A"/>
    <w:rsid w:val="00717404"/>
    <w:rsid w:val="00717F5C"/>
    <w:rsid w:val="007200F4"/>
    <w:rsid w:val="00720508"/>
    <w:rsid w:val="00720CFB"/>
    <w:rsid w:val="00720DBC"/>
    <w:rsid w:val="00720F9E"/>
    <w:rsid w:val="007216AD"/>
    <w:rsid w:val="00721979"/>
    <w:rsid w:val="00721C39"/>
    <w:rsid w:val="00721E0E"/>
    <w:rsid w:val="00721E59"/>
    <w:rsid w:val="00721F48"/>
    <w:rsid w:val="00721FE3"/>
    <w:rsid w:val="007222C0"/>
    <w:rsid w:val="00722492"/>
    <w:rsid w:val="00723718"/>
    <w:rsid w:val="00723804"/>
    <w:rsid w:val="007239DF"/>
    <w:rsid w:val="007239F0"/>
    <w:rsid w:val="00723A5B"/>
    <w:rsid w:val="007240B5"/>
    <w:rsid w:val="00724C16"/>
    <w:rsid w:val="00724DB0"/>
    <w:rsid w:val="00724FFA"/>
    <w:rsid w:val="0072515F"/>
    <w:rsid w:val="00725667"/>
    <w:rsid w:val="00725D10"/>
    <w:rsid w:val="007266AB"/>
    <w:rsid w:val="007266C9"/>
    <w:rsid w:val="00726F37"/>
    <w:rsid w:val="00727412"/>
    <w:rsid w:val="00727574"/>
    <w:rsid w:val="007276AA"/>
    <w:rsid w:val="00727945"/>
    <w:rsid w:val="00727D6A"/>
    <w:rsid w:val="007300AE"/>
    <w:rsid w:val="007307F0"/>
    <w:rsid w:val="007308A7"/>
    <w:rsid w:val="00730A2B"/>
    <w:rsid w:val="007313DB"/>
    <w:rsid w:val="007314D9"/>
    <w:rsid w:val="007318B3"/>
    <w:rsid w:val="00731F81"/>
    <w:rsid w:val="0073224D"/>
    <w:rsid w:val="00732821"/>
    <w:rsid w:val="00732B14"/>
    <w:rsid w:val="00732BF8"/>
    <w:rsid w:val="00732CB5"/>
    <w:rsid w:val="00732FFC"/>
    <w:rsid w:val="0073324D"/>
    <w:rsid w:val="00733251"/>
    <w:rsid w:val="00733268"/>
    <w:rsid w:val="007335E3"/>
    <w:rsid w:val="007344D8"/>
    <w:rsid w:val="007349B7"/>
    <w:rsid w:val="00734BA5"/>
    <w:rsid w:val="007352A1"/>
    <w:rsid w:val="007355BF"/>
    <w:rsid w:val="0073564E"/>
    <w:rsid w:val="00735AD3"/>
    <w:rsid w:val="00735D01"/>
    <w:rsid w:val="00736681"/>
    <w:rsid w:val="0073687D"/>
    <w:rsid w:val="00736F50"/>
    <w:rsid w:val="00737B4A"/>
    <w:rsid w:val="00737DEF"/>
    <w:rsid w:val="00740010"/>
    <w:rsid w:val="00740792"/>
    <w:rsid w:val="00740FC8"/>
    <w:rsid w:val="0074116E"/>
    <w:rsid w:val="00741435"/>
    <w:rsid w:val="00741ED9"/>
    <w:rsid w:val="007420DA"/>
    <w:rsid w:val="007428FB"/>
    <w:rsid w:val="00742B09"/>
    <w:rsid w:val="00742EEF"/>
    <w:rsid w:val="0074320A"/>
    <w:rsid w:val="0074324C"/>
    <w:rsid w:val="00743672"/>
    <w:rsid w:val="00743D92"/>
    <w:rsid w:val="0074432D"/>
    <w:rsid w:val="00744734"/>
    <w:rsid w:val="00744952"/>
    <w:rsid w:val="007452E4"/>
    <w:rsid w:val="007456E9"/>
    <w:rsid w:val="007459DD"/>
    <w:rsid w:val="00745A08"/>
    <w:rsid w:val="00745CDE"/>
    <w:rsid w:val="00745D6A"/>
    <w:rsid w:val="00745E43"/>
    <w:rsid w:val="00745EE1"/>
    <w:rsid w:val="00745F11"/>
    <w:rsid w:val="0074665A"/>
    <w:rsid w:val="00746E70"/>
    <w:rsid w:val="00747176"/>
    <w:rsid w:val="0074747A"/>
    <w:rsid w:val="00747490"/>
    <w:rsid w:val="00750192"/>
    <w:rsid w:val="007504A5"/>
    <w:rsid w:val="007505C2"/>
    <w:rsid w:val="00751158"/>
    <w:rsid w:val="007513C1"/>
    <w:rsid w:val="00751892"/>
    <w:rsid w:val="00751C2D"/>
    <w:rsid w:val="00752816"/>
    <w:rsid w:val="00752D52"/>
    <w:rsid w:val="0075322A"/>
    <w:rsid w:val="0075377E"/>
    <w:rsid w:val="00753CB8"/>
    <w:rsid w:val="007542D4"/>
    <w:rsid w:val="00754300"/>
    <w:rsid w:val="00754CFD"/>
    <w:rsid w:val="00754F18"/>
    <w:rsid w:val="007552AF"/>
    <w:rsid w:val="00755374"/>
    <w:rsid w:val="00755481"/>
    <w:rsid w:val="00755516"/>
    <w:rsid w:val="00755553"/>
    <w:rsid w:val="00755678"/>
    <w:rsid w:val="00755DFE"/>
    <w:rsid w:val="0075625C"/>
    <w:rsid w:val="007575DC"/>
    <w:rsid w:val="007575E8"/>
    <w:rsid w:val="007602A0"/>
    <w:rsid w:val="007604E1"/>
    <w:rsid w:val="00760725"/>
    <w:rsid w:val="00761385"/>
    <w:rsid w:val="00761730"/>
    <w:rsid w:val="0076181A"/>
    <w:rsid w:val="007619C2"/>
    <w:rsid w:val="007619DE"/>
    <w:rsid w:val="00761B35"/>
    <w:rsid w:val="00761B5A"/>
    <w:rsid w:val="0076201F"/>
    <w:rsid w:val="00762372"/>
    <w:rsid w:val="00762837"/>
    <w:rsid w:val="00762AA6"/>
    <w:rsid w:val="00762D57"/>
    <w:rsid w:val="0076318A"/>
    <w:rsid w:val="007637C1"/>
    <w:rsid w:val="0076397D"/>
    <w:rsid w:val="00763A76"/>
    <w:rsid w:val="0076416B"/>
    <w:rsid w:val="00764E4B"/>
    <w:rsid w:val="007653D8"/>
    <w:rsid w:val="00765643"/>
    <w:rsid w:val="00765708"/>
    <w:rsid w:val="00765917"/>
    <w:rsid w:val="007659BA"/>
    <w:rsid w:val="007659EB"/>
    <w:rsid w:val="00765E87"/>
    <w:rsid w:val="007660E3"/>
    <w:rsid w:val="00766384"/>
    <w:rsid w:val="007664FC"/>
    <w:rsid w:val="00766931"/>
    <w:rsid w:val="007669E5"/>
    <w:rsid w:val="00766EC6"/>
    <w:rsid w:val="00767779"/>
    <w:rsid w:val="007678A0"/>
    <w:rsid w:val="00767A1F"/>
    <w:rsid w:val="00767AE4"/>
    <w:rsid w:val="00767BBB"/>
    <w:rsid w:val="00770172"/>
    <w:rsid w:val="00770D87"/>
    <w:rsid w:val="0077105B"/>
    <w:rsid w:val="00771C67"/>
    <w:rsid w:val="00771FEF"/>
    <w:rsid w:val="0077261B"/>
    <w:rsid w:val="00772C12"/>
    <w:rsid w:val="0077321D"/>
    <w:rsid w:val="007735F8"/>
    <w:rsid w:val="00773854"/>
    <w:rsid w:val="00773DB6"/>
    <w:rsid w:val="007740A5"/>
    <w:rsid w:val="007740F7"/>
    <w:rsid w:val="0077410C"/>
    <w:rsid w:val="0077443C"/>
    <w:rsid w:val="00774746"/>
    <w:rsid w:val="00774C25"/>
    <w:rsid w:val="00774FDB"/>
    <w:rsid w:val="0077559D"/>
    <w:rsid w:val="00775AA8"/>
    <w:rsid w:val="00775B75"/>
    <w:rsid w:val="00775E64"/>
    <w:rsid w:val="00776D2B"/>
    <w:rsid w:val="00776E2C"/>
    <w:rsid w:val="007772EF"/>
    <w:rsid w:val="00777432"/>
    <w:rsid w:val="00777986"/>
    <w:rsid w:val="00777BFE"/>
    <w:rsid w:val="00780897"/>
    <w:rsid w:val="007815ED"/>
    <w:rsid w:val="0078192A"/>
    <w:rsid w:val="00781C68"/>
    <w:rsid w:val="00781E69"/>
    <w:rsid w:val="007821C1"/>
    <w:rsid w:val="00782D62"/>
    <w:rsid w:val="007838FF"/>
    <w:rsid w:val="00783EBB"/>
    <w:rsid w:val="0078438B"/>
    <w:rsid w:val="0078451D"/>
    <w:rsid w:val="00784A2B"/>
    <w:rsid w:val="00784CAD"/>
    <w:rsid w:val="00784D68"/>
    <w:rsid w:val="007851A8"/>
    <w:rsid w:val="0078531C"/>
    <w:rsid w:val="0078544D"/>
    <w:rsid w:val="00785788"/>
    <w:rsid w:val="00785862"/>
    <w:rsid w:val="0078649D"/>
    <w:rsid w:val="007864C1"/>
    <w:rsid w:val="007865A6"/>
    <w:rsid w:val="00786A09"/>
    <w:rsid w:val="00786EAA"/>
    <w:rsid w:val="007871CA"/>
    <w:rsid w:val="007874F6"/>
    <w:rsid w:val="00787A69"/>
    <w:rsid w:val="00787EEF"/>
    <w:rsid w:val="0079034C"/>
    <w:rsid w:val="0079040F"/>
    <w:rsid w:val="0079062A"/>
    <w:rsid w:val="00790899"/>
    <w:rsid w:val="00791007"/>
    <w:rsid w:val="007912F9"/>
    <w:rsid w:val="00791DD8"/>
    <w:rsid w:val="00792041"/>
    <w:rsid w:val="00792444"/>
    <w:rsid w:val="007924E3"/>
    <w:rsid w:val="0079273F"/>
    <w:rsid w:val="00792899"/>
    <w:rsid w:val="00792BAF"/>
    <w:rsid w:val="00792D5D"/>
    <w:rsid w:val="007930B2"/>
    <w:rsid w:val="007930F4"/>
    <w:rsid w:val="00793975"/>
    <w:rsid w:val="007943EE"/>
    <w:rsid w:val="00794469"/>
    <w:rsid w:val="00795383"/>
    <w:rsid w:val="0079692E"/>
    <w:rsid w:val="00796942"/>
    <w:rsid w:val="00796A34"/>
    <w:rsid w:val="00797011"/>
    <w:rsid w:val="007974B5"/>
    <w:rsid w:val="00797AB1"/>
    <w:rsid w:val="00797BC8"/>
    <w:rsid w:val="00797F59"/>
    <w:rsid w:val="007A0036"/>
    <w:rsid w:val="007A0284"/>
    <w:rsid w:val="007A02BC"/>
    <w:rsid w:val="007A05D5"/>
    <w:rsid w:val="007A069F"/>
    <w:rsid w:val="007A08D1"/>
    <w:rsid w:val="007A0C74"/>
    <w:rsid w:val="007A0E8E"/>
    <w:rsid w:val="007A128E"/>
    <w:rsid w:val="007A14A3"/>
    <w:rsid w:val="007A1DCB"/>
    <w:rsid w:val="007A20B9"/>
    <w:rsid w:val="007A235A"/>
    <w:rsid w:val="007A24A6"/>
    <w:rsid w:val="007A28AB"/>
    <w:rsid w:val="007A28EC"/>
    <w:rsid w:val="007A2A3A"/>
    <w:rsid w:val="007A2D8C"/>
    <w:rsid w:val="007A34AE"/>
    <w:rsid w:val="007A35CD"/>
    <w:rsid w:val="007A3A9B"/>
    <w:rsid w:val="007A3AD9"/>
    <w:rsid w:val="007A3B98"/>
    <w:rsid w:val="007A3E1C"/>
    <w:rsid w:val="007A43DE"/>
    <w:rsid w:val="007A4682"/>
    <w:rsid w:val="007A47C1"/>
    <w:rsid w:val="007A48A3"/>
    <w:rsid w:val="007A4CC8"/>
    <w:rsid w:val="007A4DFF"/>
    <w:rsid w:val="007A54C5"/>
    <w:rsid w:val="007A5B1C"/>
    <w:rsid w:val="007A5D40"/>
    <w:rsid w:val="007A62BB"/>
    <w:rsid w:val="007A63C1"/>
    <w:rsid w:val="007A6501"/>
    <w:rsid w:val="007A65BD"/>
    <w:rsid w:val="007A67B3"/>
    <w:rsid w:val="007A6FCF"/>
    <w:rsid w:val="007A70FB"/>
    <w:rsid w:val="007A736E"/>
    <w:rsid w:val="007A77E8"/>
    <w:rsid w:val="007A7857"/>
    <w:rsid w:val="007B01E9"/>
    <w:rsid w:val="007B0265"/>
    <w:rsid w:val="007B0DAA"/>
    <w:rsid w:val="007B0EF2"/>
    <w:rsid w:val="007B10A8"/>
    <w:rsid w:val="007B1429"/>
    <w:rsid w:val="007B1811"/>
    <w:rsid w:val="007B21C2"/>
    <w:rsid w:val="007B225A"/>
    <w:rsid w:val="007B2492"/>
    <w:rsid w:val="007B2504"/>
    <w:rsid w:val="007B2F5E"/>
    <w:rsid w:val="007B32BA"/>
    <w:rsid w:val="007B3B23"/>
    <w:rsid w:val="007B4164"/>
    <w:rsid w:val="007B42CE"/>
    <w:rsid w:val="007B556F"/>
    <w:rsid w:val="007B55D6"/>
    <w:rsid w:val="007B55E8"/>
    <w:rsid w:val="007B59C2"/>
    <w:rsid w:val="007B5B27"/>
    <w:rsid w:val="007B5D6B"/>
    <w:rsid w:val="007B5F5F"/>
    <w:rsid w:val="007B63FA"/>
    <w:rsid w:val="007B6524"/>
    <w:rsid w:val="007B6DA4"/>
    <w:rsid w:val="007B7166"/>
    <w:rsid w:val="007B7278"/>
    <w:rsid w:val="007B73AA"/>
    <w:rsid w:val="007B7420"/>
    <w:rsid w:val="007B79E7"/>
    <w:rsid w:val="007B79F1"/>
    <w:rsid w:val="007B7B93"/>
    <w:rsid w:val="007B7F30"/>
    <w:rsid w:val="007C04A5"/>
    <w:rsid w:val="007C07F7"/>
    <w:rsid w:val="007C0FAA"/>
    <w:rsid w:val="007C16B2"/>
    <w:rsid w:val="007C1AA6"/>
    <w:rsid w:val="007C2536"/>
    <w:rsid w:val="007C2C3F"/>
    <w:rsid w:val="007C2CAF"/>
    <w:rsid w:val="007C35C9"/>
    <w:rsid w:val="007C3A5D"/>
    <w:rsid w:val="007C3CF5"/>
    <w:rsid w:val="007C4012"/>
    <w:rsid w:val="007C4633"/>
    <w:rsid w:val="007C4CA0"/>
    <w:rsid w:val="007C4DF0"/>
    <w:rsid w:val="007C5F2F"/>
    <w:rsid w:val="007C5F78"/>
    <w:rsid w:val="007C6163"/>
    <w:rsid w:val="007C6177"/>
    <w:rsid w:val="007C65F9"/>
    <w:rsid w:val="007C7529"/>
    <w:rsid w:val="007C762F"/>
    <w:rsid w:val="007C7A1B"/>
    <w:rsid w:val="007C7C71"/>
    <w:rsid w:val="007C7CA6"/>
    <w:rsid w:val="007C7D00"/>
    <w:rsid w:val="007C7E05"/>
    <w:rsid w:val="007D01FD"/>
    <w:rsid w:val="007D0289"/>
    <w:rsid w:val="007D0382"/>
    <w:rsid w:val="007D06B1"/>
    <w:rsid w:val="007D120C"/>
    <w:rsid w:val="007D14CF"/>
    <w:rsid w:val="007D16FA"/>
    <w:rsid w:val="007D1855"/>
    <w:rsid w:val="007D193D"/>
    <w:rsid w:val="007D1EA4"/>
    <w:rsid w:val="007D2332"/>
    <w:rsid w:val="007D24BA"/>
    <w:rsid w:val="007D2579"/>
    <w:rsid w:val="007D2656"/>
    <w:rsid w:val="007D2940"/>
    <w:rsid w:val="007D2D22"/>
    <w:rsid w:val="007D3125"/>
    <w:rsid w:val="007D3B5C"/>
    <w:rsid w:val="007D3D59"/>
    <w:rsid w:val="007D4266"/>
    <w:rsid w:val="007D43EC"/>
    <w:rsid w:val="007D4529"/>
    <w:rsid w:val="007D45C3"/>
    <w:rsid w:val="007D46BA"/>
    <w:rsid w:val="007D46FC"/>
    <w:rsid w:val="007D4886"/>
    <w:rsid w:val="007D4971"/>
    <w:rsid w:val="007D4ABA"/>
    <w:rsid w:val="007D4F32"/>
    <w:rsid w:val="007D5037"/>
    <w:rsid w:val="007D54B3"/>
    <w:rsid w:val="007D57E8"/>
    <w:rsid w:val="007D5C6F"/>
    <w:rsid w:val="007D5F20"/>
    <w:rsid w:val="007D6142"/>
    <w:rsid w:val="007D61F3"/>
    <w:rsid w:val="007D6740"/>
    <w:rsid w:val="007D6ACF"/>
    <w:rsid w:val="007D6BCD"/>
    <w:rsid w:val="007D702F"/>
    <w:rsid w:val="007D73D7"/>
    <w:rsid w:val="007D7D67"/>
    <w:rsid w:val="007E01ED"/>
    <w:rsid w:val="007E0D0E"/>
    <w:rsid w:val="007E1314"/>
    <w:rsid w:val="007E13FF"/>
    <w:rsid w:val="007E2120"/>
    <w:rsid w:val="007E2130"/>
    <w:rsid w:val="007E237C"/>
    <w:rsid w:val="007E260F"/>
    <w:rsid w:val="007E2FCF"/>
    <w:rsid w:val="007E3C41"/>
    <w:rsid w:val="007E3C8C"/>
    <w:rsid w:val="007E3F39"/>
    <w:rsid w:val="007E418F"/>
    <w:rsid w:val="007E44B7"/>
    <w:rsid w:val="007E47F6"/>
    <w:rsid w:val="007E5EAC"/>
    <w:rsid w:val="007E5EC6"/>
    <w:rsid w:val="007E613A"/>
    <w:rsid w:val="007E6291"/>
    <w:rsid w:val="007E7408"/>
    <w:rsid w:val="007E7AE8"/>
    <w:rsid w:val="007E7C36"/>
    <w:rsid w:val="007F05D4"/>
    <w:rsid w:val="007F0E97"/>
    <w:rsid w:val="007F109F"/>
    <w:rsid w:val="007F1200"/>
    <w:rsid w:val="007F167E"/>
    <w:rsid w:val="007F16D4"/>
    <w:rsid w:val="007F1A02"/>
    <w:rsid w:val="007F2273"/>
    <w:rsid w:val="007F2285"/>
    <w:rsid w:val="007F261E"/>
    <w:rsid w:val="007F262C"/>
    <w:rsid w:val="007F2B77"/>
    <w:rsid w:val="007F3B8F"/>
    <w:rsid w:val="007F45FE"/>
    <w:rsid w:val="007F4AC8"/>
    <w:rsid w:val="007F4C18"/>
    <w:rsid w:val="007F4E4C"/>
    <w:rsid w:val="007F6156"/>
    <w:rsid w:val="007F6379"/>
    <w:rsid w:val="007F648B"/>
    <w:rsid w:val="007F6657"/>
    <w:rsid w:val="007F6805"/>
    <w:rsid w:val="007F6B57"/>
    <w:rsid w:val="007F6C13"/>
    <w:rsid w:val="007F7043"/>
    <w:rsid w:val="007F7190"/>
    <w:rsid w:val="007F72C9"/>
    <w:rsid w:val="007F744F"/>
    <w:rsid w:val="007F7A92"/>
    <w:rsid w:val="00800A3E"/>
    <w:rsid w:val="00800C44"/>
    <w:rsid w:val="00800CDA"/>
    <w:rsid w:val="00800D86"/>
    <w:rsid w:val="00800EA0"/>
    <w:rsid w:val="0080117E"/>
    <w:rsid w:val="008013C4"/>
    <w:rsid w:val="008014E9"/>
    <w:rsid w:val="0080160E"/>
    <w:rsid w:val="00801802"/>
    <w:rsid w:val="00801C6C"/>
    <w:rsid w:val="00801D40"/>
    <w:rsid w:val="00801E11"/>
    <w:rsid w:val="00801EAB"/>
    <w:rsid w:val="00802064"/>
    <w:rsid w:val="008024AA"/>
    <w:rsid w:val="00802FC4"/>
    <w:rsid w:val="00803ADC"/>
    <w:rsid w:val="00803E8D"/>
    <w:rsid w:val="0080410C"/>
    <w:rsid w:val="0080446C"/>
    <w:rsid w:val="008044AA"/>
    <w:rsid w:val="008058D7"/>
    <w:rsid w:val="00805D04"/>
    <w:rsid w:val="00805E7F"/>
    <w:rsid w:val="00806081"/>
    <w:rsid w:val="0080637B"/>
    <w:rsid w:val="00806719"/>
    <w:rsid w:val="00806819"/>
    <w:rsid w:val="00807036"/>
    <w:rsid w:val="0080755F"/>
    <w:rsid w:val="0080760E"/>
    <w:rsid w:val="0080764B"/>
    <w:rsid w:val="008077E2"/>
    <w:rsid w:val="00807C7C"/>
    <w:rsid w:val="00810386"/>
    <w:rsid w:val="008115DE"/>
    <w:rsid w:val="008118BE"/>
    <w:rsid w:val="00811CCA"/>
    <w:rsid w:val="00811EE5"/>
    <w:rsid w:val="00811EF9"/>
    <w:rsid w:val="008120EE"/>
    <w:rsid w:val="00812296"/>
    <w:rsid w:val="0081272F"/>
    <w:rsid w:val="00812A22"/>
    <w:rsid w:val="00813256"/>
    <w:rsid w:val="00813950"/>
    <w:rsid w:val="008140BB"/>
    <w:rsid w:val="00814138"/>
    <w:rsid w:val="0081419D"/>
    <w:rsid w:val="00815261"/>
    <w:rsid w:val="00815348"/>
    <w:rsid w:val="0081564B"/>
    <w:rsid w:val="0081572D"/>
    <w:rsid w:val="00815B1A"/>
    <w:rsid w:val="00815BDA"/>
    <w:rsid w:val="008162D4"/>
    <w:rsid w:val="00816332"/>
    <w:rsid w:val="008167D6"/>
    <w:rsid w:val="00816CA6"/>
    <w:rsid w:val="00816DCD"/>
    <w:rsid w:val="00816FD8"/>
    <w:rsid w:val="00816FFA"/>
    <w:rsid w:val="0081722D"/>
    <w:rsid w:val="00817513"/>
    <w:rsid w:val="00817E9A"/>
    <w:rsid w:val="00817EA6"/>
    <w:rsid w:val="00817EF0"/>
    <w:rsid w:val="008200F3"/>
    <w:rsid w:val="008203CF"/>
    <w:rsid w:val="008205DB"/>
    <w:rsid w:val="0082114F"/>
    <w:rsid w:val="008219AF"/>
    <w:rsid w:val="00821CF6"/>
    <w:rsid w:val="008222E0"/>
    <w:rsid w:val="00822D87"/>
    <w:rsid w:val="008231F9"/>
    <w:rsid w:val="0082356F"/>
    <w:rsid w:val="0082358D"/>
    <w:rsid w:val="008236D2"/>
    <w:rsid w:val="0082374B"/>
    <w:rsid w:val="00823CDA"/>
    <w:rsid w:val="00824072"/>
    <w:rsid w:val="0082413A"/>
    <w:rsid w:val="00824508"/>
    <w:rsid w:val="0082454E"/>
    <w:rsid w:val="0082518B"/>
    <w:rsid w:val="00826469"/>
    <w:rsid w:val="008264C2"/>
    <w:rsid w:val="00826C10"/>
    <w:rsid w:val="00826C96"/>
    <w:rsid w:val="00826DF0"/>
    <w:rsid w:val="008275D0"/>
    <w:rsid w:val="0082772E"/>
    <w:rsid w:val="00830052"/>
    <w:rsid w:val="00830080"/>
    <w:rsid w:val="008302CC"/>
    <w:rsid w:val="00830A0D"/>
    <w:rsid w:val="00830C70"/>
    <w:rsid w:val="008311BD"/>
    <w:rsid w:val="008315B7"/>
    <w:rsid w:val="00831779"/>
    <w:rsid w:val="00831923"/>
    <w:rsid w:val="00831A40"/>
    <w:rsid w:val="00831B61"/>
    <w:rsid w:val="00831BA8"/>
    <w:rsid w:val="00831CE6"/>
    <w:rsid w:val="00831F58"/>
    <w:rsid w:val="00832044"/>
    <w:rsid w:val="008325B8"/>
    <w:rsid w:val="008326F6"/>
    <w:rsid w:val="0083296B"/>
    <w:rsid w:val="008329A9"/>
    <w:rsid w:val="00833A9F"/>
    <w:rsid w:val="00833D24"/>
    <w:rsid w:val="00833E52"/>
    <w:rsid w:val="00833ED5"/>
    <w:rsid w:val="00834730"/>
    <w:rsid w:val="0083475D"/>
    <w:rsid w:val="008348F3"/>
    <w:rsid w:val="00834C6B"/>
    <w:rsid w:val="008351BD"/>
    <w:rsid w:val="00835CA0"/>
    <w:rsid w:val="00835D55"/>
    <w:rsid w:val="00835DE8"/>
    <w:rsid w:val="0083720E"/>
    <w:rsid w:val="008376DB"/>
    <w:rsid w:val="0083774D"/>
    <w:rsid w:val="00837B3C"/>
    <w:rsid w:val="00837E2F"/>
    <w:rsid w:val="008402F2"/>
    <w:rsid w:val="0084050F"/>
    <w:rsid w:val="00840C10"/>
    <w:rsid w:val="00840CF5"/>
    <w:rsid w:val="00840E91"/>
    <w:rsid w:val="00840F0C"/>
    <w:rsid w:val="008410BE"/>
    <w:rsid w:val="00841211"/>
    <w:rsid w:val="008413CD"/>
    <w:rsid w:val="008416DD"/>
    <w:rsid w:val="008419EA"/>
    <w:rsid w:val="00841A8D"/>
    <w:rsid w:val="008422A9"/>
    <w:rsid w:val="00842CC4"/>
    <w:rsid w:val="00842F2F"/>
    <w:rsid w:val="008438AF"/>
    <w:rsid w:val="00843B03"/>
    <w:rsid w:val="00843C94"/>
    <w:rsid w:val="00844BBD"/>
    <w:rsid w:val="00844C51"/>
    <w:rsid w:val="00845809"/>
    <w:rsid w:val="00845D05"/>
    <w:rsid w:val="008465C4"/>
    <w:rsid w:val="00846694"/>
    <w:rsid w:val="008471EB"/>
    <w:rsid w:val="00847300"/>
    <w:rsid w:val="00847436"/>
    <w:rsid w:val="00847590"/>
    <w:rsid w:val="008475A0"/>
    <w:rsid w:val="008475B5"/>
    <w:rsid w:val="0084769B"/>
    <w:rsid w:val="00847B76"/>
    <w:rsid w:val="00847E48"/>
    <w:rsid w:val="00850CA7"/>
    <w:rsid w:val="00850EF5"/>
    <w:rsid w:val="008517B6"/>
    <w:rsid w:val="00851F99"/>
    <w:rsid w:val="00852428"/>
    <w:rsid w:val="00852858"/>
    <w:rsid w:val="00852B24"/>
    <w:rsid w:val="00852CAE"/>
    <w:rsid w:val="00852D6D"/>
    <w:rsid w:val="00852EDF"/>
    <w:rsid w:val="00853444"/>
    <w:rsid w:val="008534E6"/>
    <w:rsid w:val="008536B8"/>
    <w:rsid w:val="008537D9"/>
    <w:rsid w:val="0085389A"/>
    <w:rsid w:val="00854075"/>
    <w:rsid w:val="008549A6"/>
    <w:rsid w:val="008549DE"/>
    <w:rsid w:val="00855A18"/>
    <w:rsid w:val="00855C46"/>
    <w:rsid w:val="00855DD9"/>
    <w:rsid w:val="008565A6"/>
    <w:rsid w:val="00856A2D"/>
    <w:rsid w:val="00856AF6"/>
    <w:rsid w:val="00856DC4"/>
    <w:rsid w:val="0085707D"/>
    <w:rsid w:val="008572A0"/>
    <w:rsid w:val="0085730B"/>
    <w:rsid w:val="00857596"/>
    <w:rsid w:val="00857A80"/>
    <w:rsid w:val="00857A96"/>
    <w:rsid w:val="00857B28"/>
    <w:rsid w:val="00860317"/>
    <w:rsid w:val="008603FA"/>
    <w:rsid w:val="00860B89"/>
    <w:rsid w:val="0086166B"/>
    <w:rsid w:val="00861A2B"/>
    <w:rsid w:val="00861B19"/>
    <w:rsid w:val="008626BD"/>
    <w:rsid w:val="008628EA"/>
    <w:rsid w:val="00862949"/>
    <w:rsid w:val="00862DA5"/>
    <w:rsid w:val="008639F3"/>
    <w:rsid w:val="00863DF2"/>
    <w:rsid w:val="00863FB2"/>
    <w:rsid w:val="008641C5"/>
    <w:rsid w:val="00864E63"/>
    <w:rsid w:val="00864EFD"/>
    <w:rsid w:val="0086523C"/>
    <w:rsid w:val="0086535C"/>
    <w:rsid w:val="00865C9B"/>
    <w:rsid w:val="0086624C"/>
    <w:rsid w:val="008664B3"/>
    <w:rsid w:val="0086687C"/>
    <w:rsid w:val="00866CC6"/>
    <w:rsid w:val="00866EC0"/>
    <w:rsid w:val="00867047"/>
    <w:rsid w:val="0086711E"/>
    <w:rsid w:val="0086791E"/>
    <w:rsid w:val="008679CB"/>
    <w:rsid w:val="00867EB0"/>
    <w:rsid w:val="008706AE"/>
    <w:rsid w:val="0087170D"/>
    <w:rsid w:val="0087171C"/>
    <w:rsid w:val="008718F2"/>
    <w:rsid w:val="00871AD3"/>
    <w:rsid w:val="00872220"/>
    <w:rsid w:val="0087223E"/>
    <w:rsid w:val="008725F3"/>
    <w:rsid w:val="008726B8"/>
    <w:rsid w:val="008733E0"/>
    <w:rsid w:val="00873539"/>
    <w:rsid w:val="008737DA"/>
    <w:rsid w:val="00873827"/>
    <w:rsid w:val="0087419B"/>
    <w:rsid w:val="008743BB"/>
    <w:rsid w:val="00874644"/>
    <w:rsid w:val="00874730"/>
    <w:rsid w:val="00875C0D"/>
    <w:rsid w:val="00875EF1"/>
    <w:rsid w:val="00875FCC"/>
    <w:rsid w:val="00876025"/>
    <w:rsid w:val="008760F3"/>
    <w:rsid w:val="00876482"/>
    <w:rsid w:val="0087675C"/>
    <w:rsid w:val="00877191"/>
    <w:rsid w:val="008773F4"/>
    <w:rsid w:val="00877421"/>
    <w:rsid w:val="00877433"/>
    <w:rsid w:val="008774A9"/>
    <w:rsid w:val="008774CB"/>
    <w:rsid w:val="008779FF"/>
    <w:rsid w:val="0088039B"/>
    <w:rsid w:val="008803E8"/>
    <w:rsid w:val="00880B6F"/>
    <w:rsid w:val="0088142E"/>
    <w:rsid w:val="00881AFF"/>
    <w:rsid w:val="00881B49"/>
    <w:rsid w:val="00882366"/>
    <w:rsid w:val="0088251A"/>
    <w:rsid w:val="00882692"/>
    <w:rsid w:val="008828FA"/>
    <w:rsid w:val="00882A68"/>
    <w:rsid w:val="00882C58"/>
    <w:rsid w:val="00882FDE"/>
    <w:rsid w:val="00883035"/>
    <w:rsid w:val="008831BD"/>
    <w:rsid w:val="00883214"/>
    <w:rsid w:val="0088328C"/>
    <w:rsid w:val="008834FB"/>
    <w:rsid w:val="008835A8"/>
    <w:rsid w:val="0088374E"/>
    <w:rsid w:val="00884080"/>
    <w:rsid w:val="00884218"/>
    <w:rsid w:val="0088422E"/>
    <w:rsid w:val="0088425A"/>
    <w:rsid w:val="00884BEA"/>
    <w:rsid w:val="00884C0E"/>
    <w:rsid w:val="00884CB4"/>
    <w:rsid w:val="00884E51"/>
    <w:rsid w:val="00885CAE"/>
    <w:rsid w:val="00885E17"/>
    <w:rsid w:val="00885FC2"/>
    <w:rsid w:val="008860CC"/>
    <w:rsid w:val="00886CB7"/>
    <w:rsid w:val="008870B3"/>
    <w:rsid w:val="0088780F"/>
    <w:rsid w:val="00887A91"/>
    <w:rsid w:val="00887CEB"/>
    <w:rsid w:val="0089017C"/>
    <w:rsid w:val="008903FB"/>
    <w:rsid w:val="00890BEB"/>
    <w:rsid w:val="00891346"/>
    <w:rsid w:val="00891CDA"/>
    <w:rsid w:val="00891D6F"/>
    <w:rsid w:val="00892841"/>
    <w:rsid w:val="00892898"/>
    <w:rsid w:val="008928C6"/>
    <w:rsid w:val="008929C9"/>
    <w:rsid w:val="00892B50"/>
    <w:rsid w:val="008930A4"/>
    <w:rsid w:val="00893101"/>
    <w:rsid w:val="00893225"/>
    <w:rsid w:val="00893A94"/>
    <w:rsid w:val="00893B13"/>
    <w:rsid w:val="00893C8C"/>
    <w:rsid w:val="00894417"/>
    <w:rsid w:val="0089449E"/>
    <w:rsid w:val="0089456A"/>
    <w:rsid w:val="0089468A"/>
    <w:rsid w:val="008949EF"/>
    <w:rsid w:val="008952F3"/>
    <w:rsid w:val="0089548F"/>
    <w:rsid w:val="00895527"/>
    <w:rsid w:val="008955A8"/>
    <w:rsid w:val="00895AC7"/>
    <w:rsid w:val="00895E29"/>
    <w:rsid w:val="0089647F"/>
    <w:rsid w:val="00896AE9"/>
    <w:rsid w:val="00896D1E"/>
    <w:rsid w:val="00896FAD"/>
    <w:rsid w:val="0089786D"/>
    <w:rsid w:val="00897936"/>
    <w:rsid w:val="008A00D2"/>
    <w:rsid w:val="008A0357"/>
    <w:rsid w:val="008A03E2"/>
    <w:rsid w:val="008A08FD"/>
    <w:rsid w:val="008A1526"/>
    <w:rsid w:val="008A15DB"/>
    <w:rsid w:val="008A17A1"/>
    <w:rsid w:val="008A1977"/>
    <w:rsid w:val="008A1CA2"/>
    <w:rsid w:val="008A1D4D"/>
    <w:rsid w:val="008A1DD4"/>
    <w:rsid w:val="008A1DD5"/>
    <w:rsid w:val="008A1FDD"/>
    <w:rsid w:val="008A201A"/>
    <w:rsid w:val="008A2465"/>
    <w:rsid w:val="008A256C"/>
    <w:rsid w:val="008A2852"/>
    <w:rsid w:val="008A2AF4"/>
    <w:rsid w:val="008A2C28"/>
    <w:rsid w:val="008A2DD7"/>
    <w:rsid w:val="008A351C"/>
    <w:rsid w:val="008A3B35"/>
    <w:rsid w:val="008A40A1"/>
    <w:rsid w:val="008A4139"/>
    <w:rsid w:val="008A4323"/>
    <w:rsid w:val="008A45C1"/>
    <w:rsid w:val="008A46D1"/>
    <w:rsid w:val="008A4964"/>
    <w:rsid w:val="008A4C3C"/>
    <w:rsid w:val="008A4DF9"/>
    <w:rsid w:val="008A4E5C"/>
    <w:rsid w:val="008A517C"/>
    <w:rsid w:val="008A51D1"/>
    <w:rsid w:val="008A52C8"/>
    <w:rsid w:val="008A5AEF"/>
    <w:rsid w:val="008A5E56"/>
    <w:rsid w:val="008A63B9"/>
    <w:rsid w:val="008A70F4"/>
    <w:rsid w:val="008A7697"/>
    <w:rsid w:val="008A7745"/>
    <w:rsid w:val="008A7B18"/>
    <w:rsid w:val="008A7E9E"/>
    <w:rsid w:val="008A7EB5"/>
    <w:rsid w:val="008B0487"/>
    <w:rsid w:val="008B0646"/>
    <w:rsid w:val="008B0CB1"/>
    <w:rsid w:val="008B0EC4"/>
    <w:rsid w:val="008B18D4"/>
    <w:rsid w:val="008B1940"/>
    <w:rsid w:val="008B1E65"/>
    <w:rsid w:val="008B1FEE"/>
    <w:rsid w:val="008B23DC"/>
    <w:rsid w:val="008B2817"/>
    <w:rsid w:val="008B2867"/>
    <w:rsid w:val="008B2B54"/>
    <w:rsid w:val="008B2CA0"/>
    <w:rsid w:val="008B2CB4"/>
    <w:rsid w:val="008B2DC6"/>
    <w:rsid w:val="008B307A"/>
    <w:rsid w:val="008B36AD"/>
    <w:rsid w:val="008B4358"/>
    <w:rsid w:val="008B44C4"/>
    <w:rsid w:val="008B468E"/>
    <w:rsid w:val="008B4972"/>
    <w:rsid w:val="008B512F"/>
    <w:rsid w:val="008B517D"/>
    <w:rsid w:val="008B55BE"/>
    <w:rsid w:val="008B57AA"/>
    <w:rsid w:val="008B57E8"/>
    <w:rsid w:val="008B58AF"/>
    <w:rsid w:val="008B597B"/>
    <w:rsid w:val="008B5F6C"/>
    <w:rsid w:val="008B62C9"/>
    <w:rsid w:val="008B6862"/>
    <w:rsid w:val="008B6F06"/>
    <w:rsid w:val="008B70BC"/>
    <w:rsid w:val="008B7E06"/>
    <w:rsid w:val="008B7EF2"/>
    <w:rsid w:val="008C0444"/>
    <w:rsid w:val="008C0588"/>
    <w:rsid w:val="008C0F1A"/>
    <w:rsid w:val="008C102A"/>
    <w:rsid w:val="008C103B"/>
    <w:rsid w:val="008C137C"/>
    <w:rsid w:val="008C157A"/>
    <w:rsid w:val="008C179F"/>
    <w:rsid w:val="008C1B8A"/>
    <w:rsid w:val="008C1D02"/>
    <w:rsid w:val="008C1FD7"/>
    <w:rsid w:val="008C20A0"/>
    <w:rsid w:val="008C21B7"/>
    <w:rsid w:val="008C22F1"/>
    <w:rsid w:val="008C2379"/>
    <w:rsid w:val="008C2575"/>
    <w:rsid w:val="008C2661"/>
    <w:rsid w:val="008C2734"/>
    <w:rsid w:val="008C28F3"/>
    <w:rsid w:val="008C33C8"/>
    <w:rsid w:val="008C3519"/>
    <w:rsid w:val="008C377C"/>
    <w:rsid w:val="008C38C0"/>
    <w:rsid w:val="008C41AD"/>
    <w:rsid w:val="008C4550"/>
    <w:rsid w:val="008C456F"/>
    <w:rsid w:val="008C4E2E"/>
    <w:rsid w:val="008C5555"/>
    <w:rsid w:val="008C5B89"/>
    <w:rsid w:val="008C5E3C"/>
    <w:rsid w:val="008C6B23"/>
    <w:rsid w:val="008C6CE9"/>
    <w:rsid w:val="008C7013"/>
    <w:rsid w:val="008C7394"/>
    <w:rsid w:val="008C73EC"/>
    <w:rsid w:val="008C75A7"/>
    <w:rsid w:val="008C792A"/>
    <w:rsid w:val="008C7B89"/>
    <w:rsid w:val="008C7F97"/>
    <w:rsid w:val="008D01B9"/>
    <w:rsid w:val="008D03FB"/>
    <w:rsid w:val="008D0D3F"/>
    <w:rsid w:val="008D0E74"/>
    <w:rsid w:val="008D146A"/>
    <w:rsid w:val="008D1809"/>
    <w:rsid w:val="008D18B0"/>
    <w:rsid w:val="008D1D76"/>
    <w:rsid w:val="008D2747"/>
    <w:rsid w:val="008D37DE"/>
    <w:rsid w:val="008D390E"/>
    <w:rsid w:val="008D3EF1"/>
    <w:rsid w:val="008D3F17"/>
    <w:rsid w:val="008D426D"/>
    <w:rsid w:val="008D4460"/>
    <w:rsid w:val="008D49CA"/>
    <w:rsid w:val="008D4D53"/>
    <w:rsid w:val="008D530E"/>
    <w:rsid w:val="008D5EF0"/>
    <w:rsid w:val="008D60EF"/>
    <w:rsid w:val="008D62ED"/>
    <w:rsid w:val="008D63BE"/>
    <w:rsid w:val="008D66EC"/>
    <w:rsid w:val="008D6A94"/>
    <w:rsid w:val="008D6B34"/>
    <w:rsid w:val="008D6DCA"/>
    <w:rsid w:val="008D6DE3"/>
    <w:rsid w:val="008D6F39"/>
    <w:rsid w:val="008D78DE"/>
    <w:rsid w:val="008E015C"/>
    <w:rsid w:val="008E01E0"/>
    <w:rsid w:val="008E02E1"/>
    <w:rsid w:val="008E0610"/>
    <w:rsid w:val="008E0717"/>
    <w:rsid w:val="008E0B8B"/>
    <w:rsid w:val="008E0C83"/>
    <w:rsid w:val="008E0CC2"/>
    <w:rsid w:val="008E0EB6"/>
    <w:rsid w:val="008E10FC"/>
    <w:rsid w:val="008E1D6F"/>
    <w:rsid w:val="008E220F"/>
    <w:rsid w:val="008E267F"/>
    <w:rsid w:val="008E27DE"/>
    <w:rsid w:val="008E299C"/>
    <w:rsid w:val="008E2BCC"/>
    <w:rsid w:val="008E3077"/>
    <w:rsid w:val="008E30CF"/>
    <w:rsid w:val="008E369E"/>
    <w:rsid w:val="008E3771"/>
    <w:rsid w:val="008E383B"/>
    <w:rsid w:val="008E3E2C"/>
    <w:rsid w:val="008E4133"/>
    <w:rsid w:val="008E433C"/>
    <w:rsid w:val="008E481B"/>
    <w:rsid w:val="008E4CCB"/>
    <w:rsid w:val="008E4FFA"/>
    <w:rsid w:val="008E577C"/>
    <w:rsid w:val="008E5887"/>
    <w:rsid w:val="008E63E0"/>
    <w:rsid w:val="008E641A"/>
    <w:rsid w:val="008E70F6"/>
    <w:rsid w:val="008E7649"/>
    <w:rsid w:val="008E77F2"/>
    <w:rsid w:val="008E7D20"/>
    <w:rsid w:val="008F0BFC"/>
    <w:rsid w:val="008F0E28"/>
    <w:rsid w:val="008F0F3C"/>
    <w:rsid w:val="008F10F8"/>
    <w:rsid w:val="008F1231"/>
    <w:rsid w:val="008F1300"/>
    <w:rsid w:val="008F1563"/>
    <w:rsid w:val="008F18CA"/>
    <w:rsid w:val="008F1AB0"/>
    <w:rsid w:val="008F1EA4"/>
    <w:rsid w:val="008F2666"/>
    <w:rsid w:val="008F286E"/>
    <w:rsid w:val="008F2B09"/>
    <w:rsid w:val="008F35B5"/>
    <w:rsid w:val="008F3778"/>
    <w:rsid w:val="008F3817"/>
    <w:rsid w:val="008F4146"/>
    <w:rsid w:val="008F45BE"/>
    <w:rsid w:val="008F4B49"/>
    <w:rsid w:val="008F4BE6"/>
    <w:rsid w:val="008F5026"/>
    <w:rsid w:val="008F5345"/>
    <w:rsid w:val="008F5464"/>
    <w:rsid w:val="008F54C1"/>
    <w:rsid w:val="008F54F0"/>
    <w:rsid w:val="008F5A6E"/>
    <w:rsid w:val="008F5CE6"/>
    <w:rsid w:val="008F60D5"/>
    <w:rsid w:val="008F6214"/>
    <w:rsid w:val="008F62A1"/>
    <w:rsid w:val="008F67C4"/>
    <w:rsid w:val="008F67CF"/>
    <w:rsid w:val="008F6DBC"/>
    <w:rsid w:val="008F6EE6"/>
    <w:rsid w:val="008F71BD"/>
    <w:rsid w:val="008F7378"/>
    <w:rsid w:val="008F773C"/>
    <w:rsid w:val="008F78D6"/>
    <w:rsid w:val="008F79A0"/>
    <w:rsid w:val="0090006C"/>
    <w:rsid w:val="00900B03"/>
    <w:rsid w:val="00901145"/>
    <w:rsid w:val="00901D4A"/>
    <w:rsid w:val="0090234B"/>
    <w:rsid w:val="009023F9"/>
    <w:rsid w:val="0090266F"/>
    <w:rsid w:val="00903515"/>
    <w:rsid w:val="009035B4"/>
    <w:rsid w:val="00903BCA"/>
    <w:rsid w:val="00903EE6"/>
    <w:rsid w:val="00904598"/>
    <w:rsid w:val="0090527B"/>
    <w:rsid w:val="00905620"/>
    <w:rsid w:val="00905743"/>
    <w:rsid w:val="00905ECE"/>
    <w:rsid w:val="00906333"/>
    <w:rsid w:val="00906371"/>
    <w:rsid w:val="009067C5"/>
    <w:rsid w:val="009067ED"/>
    <w:rsid w:val="00906BCE"/>
    <w:rsid w:val="0090760B"/>
    <w:rsid w:val="00907659"/>
    <w:rsid w:val="0090785F"/>
    <w:rsid w:val="00907923"/>
    <w:rsid w:val="00907EBE"/>
    <w:rsid w:val="009101B1"/>
    <w:rsid w:val="0091063B"/>
    <w:rsid w:val="00911075"/>
    <w:rsid w:val="009113E6"/>
    <w:rsid w:val="00911466"/>
    <w:rsid w:val="0091177F"/>
    <w:rsid w:val="00911945"/>
    <w:rsid w:val="00911DAF"/>
    <w:rsid w:val="00912637"/>
    <w:rsid w:val="00912804"/>
    <w:rsid w:val="00912A27"/>
    <w:rsid w:val="00912A5B"/>
    <w:rsid w:val="00912A6C"/>
    <w:rsid w:val="00912DA6"/>
    <w:rsid w:val="00912DC5"/>
    <w:rsid w:val="009138B1"/>
    <w:rsid w:val="009139C5"/>
    <w:rsid w:val="00913CD1"/>
    <w:rsid w:val="00913D57"/>
    <w:rsid w:val="00913DE6"/>
    <w:rsid w:val="009144AF"/>
    <w:rsid w:val="009148D3"/>
    <w:rsid w:val="00914B4C"/>
    <w:rsid w:val="00915595"/>
    <w:rsid w:val="00915752"/>
    <w:rsid w:val="00915B47"/>
    <w:rsid w:val="00915D5A"/>
    <w:rsid w:val="00915E0D"/>
    <w:rsid w:val="00916472"/>
    <w:rsid w:val="0091685C"/>
    <w:rsid w:val="00916D7B"/>
    <w:rsid w:val="00916DF0"/>
    <w:rsid w:val="00916E29"/>
    <w:rsid w:val="0091705E"/>
    <w:rsid w:val="00917223"/>
    <w:rsid w:val="0092034C"/>
    <w:rsid w:val="009207E8"/>
    <w:rsid w:val="00920943"/>
    <w:rsid w:val="0092105F"/>
    <w:rsid w:val="009214A4"/>
    <w:rsid w:val="0092153C"/>
    <w:rsid w:val="009215E6"/>
    <w:rsid w:val="00921E3B"/>
    <w:rsid w:val="009221D3"/>
    <w:rsid w:val="009225DB"/>
    <w:rsid w:val="0092328E"/>
    <w:rsid w:val="0092330C"/>
    <w:rsid w:val="00923568"/>
    <w:rsid w:val="009237C2"/>
    <w:rsid w:val="0092380A"/>
    <w:rsid w:val="00923902"/>
    <w:rsid w:val="009239E8"/>
    <w:rsid w:val="00923F5A"/>
    <w:rsid w:val="00924235"/>
    <w:rsid w:val="0092476E"/>
    <w:rsid w:val="00925205"/>
    <w:rsid w:val="009253D8"/>
    <w:rsid w:val="009257EF"/>
    <w:rsid w:val="00926664"/>
    <w:rsid w:val="009267EF"/>
    <w:rsid w:val="009268FC"/>
    <w:rsid w:val="00926A7D"/>
    <w:rsid w:val="00926F3B"/>
    <w:rsid w:val="009272DD"/>
    <w:rsid w:val="009278CF"/>
    <w:rsid w:val="00927921"/>
    <w:rsid w:val="009279CD"/>
    <w:rsid w:val="00927A35"/>
    <w:rsid w:val="00927C3C"/>
    <w:rsid w:val="00927E1F"/>
    <w:rsid w:val="00930096"/>
    <w:rsid w:val="00930D87"/>
    <w:rsid w:val="00931089"/>
    <w:rsid w:val="0093111B"/>
    <w:rsid w:val="0093178B"/>
    <w:rsid w:val="0093218B"/>
    <w:rsid w:val="00932612"/>
    <w:rsid w:val="0093266A"/>
    <w:rsid w:val="0093278B"/>
    <w:rsid w:val="00932822"/>
    <w:rsid w:val="00932828"/>
    <w:rsid w:val="009332E8"/>
    <w:rsid w:val="00933575"/>
    <w:rsid w:val="009338F8"/>
    <w:rsid w:val="00933DEB"/>
    <w:rsid w:val="00933EF0"/>
    <w:rsid w:val="009346B6"/>
    <w:rsid w:val="009348D9"/>
    <w:rsid w:val="00934C4D"/>
    <w:rsid w:val="00934C4F"/>
    <w:rsid w:val="009350C6"/>
    <w:rsid w:val="00935349"/>
    <w:rsid w:val="009353FA"/>
    <w:rsid w:val="009354D9"/>
    <w:rsid w:val="00935FEA"/>
    <w:rsid w:val="009365A5"/>
    <w:rsid w:val="00936F59"/>
    <w:rsid w:val="009370CE"/>
    <w:rsid w:val="00937272"/>
    <w:rsid w:val="00937317"/>
    <w:rsid w:val="009377C0"/>
    <w:rsid w:val="00937A99"/>
    <w:rsid w:val="009400BF"/>
    <w:rsid w:val="009409B6"/>
    <w:rsid w:val="00940B15"/>
    <w:rsid w:val="00940ED8"/>
    <w:rsid w:val="00941464"/>
    <w:rsid w:val="009414D7"/>
    <w:rsid w:val="009419CD"/>
    <w:rsid w:val="00941CB7"/>
    <w:rsid w:val="00942428"/>
    <w:rsid w:val="009429C4"/>
    <w:rsid w:val="00942C22"/>
    <w:rsid w:val="00942D96"/>
    <w:rsid w:val="00943159"/>
    <w:rsid w:val="009434B9"/>
    <w:rsid w:val="009434CE"/>
    <w:rsid w:val="009435BC"/>
    <w:rsid w:val="00943BC3"/>
    <w:rsid w:val="009444C2"/>
    <w:rsid w:val="00944673"/>
    <w:rsid w:val="00944751"/>
    <w:rsid w:val="009447E3"/>
    <w:rsid w:val="0094499F"/>
    <w:rsid w:val="00944A91"/>
    <w:rsid w:val="0094500A"/>
    <w:rsid w:val="0094597B"/>
    <w:rsid w:val="00945F66"/>
    <w:rsid w:val="009462F5"/>
    <w:rsid w:val="0094635A"/>
    <w:rsid w:val="00946462"/>
    <w:rsid w:val="00946606"/>
    <w:rsid w:val="0094682C"/>
    <w:rsid w:val="009470DE"/>
    <w:rsid w:val="00947464"/>
    <w:rsid w:val="00947777"/>
    <w:rsid w:val="00947907"/>
    <w:rsid w:val="00947A68"/>
    <w:rsid w:val="00947D22"/>
    <w:rsid w:val="00950670"/>
    <w:rsid w:val="00952349"/>
    <w:rsid w:val="009529A0"/>
    <w:rsid w:val="00952E84"/>
    <w:rsid w:val="009530AE"/>
    <w:rsid w:val="00953574"/>
    <w:rsid w:val="0095371E"/>
    <w:rsid w:val="00953A30"/>
    <w:rsid w:val="0095418D"/>
    <w:rsid w:val="009543FF"/>
    <w:rsid w:val="00954A20"/>
    <w:rsid w:val="009551A2"/>
    <w:rsid w:val="009554F2"/>
    <w:rsid w:val="0095563D"/>
    <w:rsid w:val="0095568E"/>
    <w:rsid w:val="00955C65"/>
    <w:rsid w:val="00955E81"/>
    <w:rsid w:val="009564D1"/>
    <w:rsid w:val="00957622"/>
    <w:rsid w:val="00957CF8"/>
    <w:rsid w:val="00957EC2"/>
    <w:rsid w:val="0096028C"/>
    <w:rsid w:val="00960563"/>
    <w:rsid w:val="00960791"/>
    <w:rsid w:val="00960A3D"/>
    <w:rsid w:val="00960EA8"/>
    <w:rsid w:val="00960FA5"/>
    <w:rsid w:val="00961218"/>
    <w:rsid w:val="009613C1"/>
    <w:rsid w:val="009614F1"/>
    <w:rsid w:val="0096165E"/>
    <w:rsid w:val="009616E2"/>
    <w:rsid w:val="00961B9C"/>
    <w:rsid w:val="009622F3"/>
    <w:rsid w:val="00962304"/>
    <w:rsid w:val="00962B6C"/>
    <w:rsid w:val="0096301A"/>
    <w:rsid w:val="0096313F"/>
    <w:rsid w:val="00963479"/>
    <w:rsid w:val="00964337"/>
    <w:rsid w:val="00964389"/>
    <w:rsid w:val="00964467"/>
    <w:rsid w:val="009650EF"/>
    <w:rsid w:val="00965331"/>
    <w:rsid w:val="00966052"/>
    <w:rsid w:val="009661D0"/>
    <w:rsid w:val="00966C36"/>
    <w:rsid w:val="00967139"/>
    <w:rsid w:val="0096727A"/>
    <w:rsid w:val="00967773"/>
    <w:rsid w:val="0096781B"/>
    <w:rsid w:val="00967D09"/>
    <w:rsid w:val="00970377"/>
    <w:rsid w:val="00970392"/>
    <w:rsid w:val="00970FC6"/>
    <w:rsid w:val="0097157E"/>
    <w:rsid w:val="00971A21"/>
    <w:rsid w:val="00972054"/>
    <w:rsid w:val="00972C44"/>
    <w:rsid w:val="009733AE"/>
    <w:rsid w:val="00973545"/>
    <w:rsid w:val="00973CBA"/>
    <w:rsid w:val="00973F8E"/>
    <w:rsid w:val="0097465C"/>
    <w:rsid w:val="009746F4"/>
    <w:rsid w:val="00975A9A"/>
    <w:rsid w:val="0097673A"/>
    <w:rsid w:val="00976F7F"/>
    <w:rsid w:val="009770CC"/>
    <w:rsid w:val="00977ABA"/>
    <w:rsid w:val="00980128"/>
    <w:rsid w:val="009801FC"/>
    <w:rsid w:val="0098098C"/>
    <w:rsid w:val="00980EBD"/>
    <w:rsid w:val="009826D9"/>
    <w:rsid w:val="00983533"/>
    <w:rsid w:val="0098373B"/>
    <w:rsid w:val="0098393E"/>
    <w:rsid w:val="00983943"/>
    <w:rsid w:val="00983BF4"/>
    <w:rsid w:val="00983EBA"/>
    <w:rsid w:val="00983F8E"/>
    <w:rsid w:val="00984696"/>
    <w:rsid w:val="009846F6"/>
    <w:rsid w:val="00984892"/>
    <w:rsid w:val="00984D31"/>
    <w:rsid w:val="00984D7A"/>
    <w:rsid w:val="00984EE1"/>
    <w:rsid w:val="00984F46"/>
    <w:rsid w:val="009850B8"/>
    <w:rsid w:val="00985C15"/>
    <w:rsid w:val="00985F89"/>
    <w:rsid w:val="00986457"/>
    <w:rsid w:val="00986530"/>
    <w:rsid w:val="00986A78"/>
    <w:rsid w:val="00987332"/>
    <w:rsid w:val="0098777E"/>
    <w:rsid w:val="00987B7F"/>
    <w:rsid w:val="00987C13"/>
    <w:rsid w:val="0099008A"/>
    <w:rsid w:val="00990411"/>
    <w:rsid w:val="00990413"/>
    <w:rsid w:val="009906A4"/>
    <w:rsid w:val="00990EE0"/>
    <w:rsid w:val="00990FC4"/>
    <w:rsid w:val="009911FD"/>
    <w:rsid w:val="0099178E"/>
    <w:rsid w:val="00991AA8"/>
    <w:rsid w:val="00991CCA"/>
    <w:rsid w:val="00992C96"/>
    <w:rsid w:val="00993226"/>
    <w:rsid w:val="0099322F"/>
    <w:rsid w:val="00993A68"/>
    <w:rsid w:val="00993DE6"/>
    <w:rsid w:val="009945B3"/>
    <w:rsid w:val="00994831"/>
    <w:rsid w:val="00994CC6"/>
    <w:rsid w:val="00995180"/>
    <w:rsid w:val="00995427"/>
    <w:rsid w:val="0099549A"/>
    <w:rsid w:val="00995CEA"/>
    <w:rsid w:val="00995D5B"/>
    <w:rsid w:val="00995F52"/>
    <w:rsid w:val="00996008"/>
    <w:rsid w:val="009964BA"/>
    <w:rsid w:val="0099653D"/>
    <w:rsid w:val="009967CC"/>
    <w:rsid w:val="00996DE6"/>
    <w:rsid w:val="00997235"/>
    <w:rsid w:val="00997540"/>
    <w:rsid w:val="009976BD"/>
    <w:rsid w:val="00997F4F"/>
    <w:rsid w:val="009A09B7"/>
    <w:rsid w:val="009A0ECF"/>
    <w:rsid w:val="009A1119"/>
    <w:rsid w:val="009A1369"/>
    <w:rsid w:val="009A1547"/>
    <w:rsid w:val="009A177E"/>
    <w:rsid w:val="009A1A84"/>
    <w:rsid w:val="009A28BA"/>
    <w:rsid w:val="009A2FDC"/>
    <w:rsid w:val="009A35B0"/>
    <w:rsid w:val="009A35CA"/>
    <w:rsid w:val="009A4096"/>
    <w:rsid w:val="009A4B84"/>
    <w:rsid w:val="009A4E1D"/>
    <w:rsid w:val="009A5151"/>
    <w:rsid w:val="009A58B0"/>
    <w:rsid w:val="009A5D7A"/>
    <w:rsid w:val="009A5F87"/>
    <w:rsid w:val="009A5F8E"/>
    <w:rsid w:val="009A62F4"/>
    <w:rsid w:val="009A6C43"/>
    <w:rsid w:val="009A6F6B"/>
    <w:rsid w:val="009A6FFE"/>
    <w:rsid w:val="009A774C"/>
    <w:rsid w:val="009A7C0B"/>
    <w:rsid w:val="009A7CE0"/>
    <w:rsid w:val="009A7CFC"/>
    <w:rsid w:val="009B008F"/>
    <w:rsid w:val="009B0233"/>
    <w:rsid w:val="009B043E"/>
    <w:rsid w:val="009B06CF"/>
    <w:rsid w:val="009B0B9C"/>
    <w:rsid w:val="009B0BCE"/>
    <w:rsid w:val="009B0BD8"/>
    <w:rsid w:val="009B0BF5"/>
    <w:rsid w:val="009B1134"/>
    <w:rsid w:val="009B1990"/>
    <w:rsid w:val="009B377B"/>
    <w:rsid w:val="009B3A98"/>
    <w:rsid w:val="009B3D5F"/>
    <w:rsid w:val="009B446F"/>
    <w:rsid w:val="009B4F17"/>
    <w:rsid w:val="009B4F9E"/>
    <w:rsid w:val="009B4FE5"/>
    <w:rsid w:val="009B5A8F"/>
    <w:rsid w:val="009B5D53"/>
    <w:rsid w:val="009B6113"/>
    <w:rsid w:val="009B6501"/>
    <w:rsid w:val="009B6C22"/>
    <w:rsid w:val="009B6EFC"/>
    <w:rsid w:val="009B73AE"/>
    <w:rsid w:val="009B7771"/>
    <w:rsid w:val="009B78A4"/>
    <w:rsid w:val="009B7ADD"/>
    <w:rsid w:val="009B7E53"/>
    <w:rsid w:val="009B7F61"/>
    <w:rsid w:val="009C015B"/>
    <w:rsid w:val="009C01BD"/>
    <w:rsid w:val="009C01DD"/>
    <w:rsid w:val="009C06CE"/>
    <w:rsid w:val="009C1390"/>
    <w:rsid w:val="009C1463"/>
    <w:rsid w:val="009C15E8"/>
    <w:rsid w:val="009C16CD"/>
    <w:rsid w:val="009C17E5"/>
    <w:rsid w:val="009C1A1A"/>
    <w:rsid w:val="009C22D6"/>
    <w:rsid w:val="009C2581"/>
    <w:rsid w:val="009C28A4"/>
    <w:rsid w:val="009C2B38"/>
    <w:rsid w:val="009C30CF"/>
    <w:rsid w:val="009C3444"/>
    <w:rsid w:val="009C385C"/>
    <w:rsid w:val="009C3C1A"/>
    <w:rsid w:val="009C4096"/>
    <w:rsid w:val="009C4947"/>
    <w:rsid w:val="009C4C59"/>
    <w:rsid w:val="009C5383"/>
    <w:rsid w:val="009C539A"/>
    <w:rsid w:val="009C53D5"/>
    <w:rsid w:val="009C5643"/>
    <w:rsid w:val="009C5B64"/>
    <w:rsid w:val="009C5E7B"/>
    <w:rsid w:val="009C6040"/>
    <w:rsid w:val="009C6BF6"/>
    <w:rsid w:val="009C6C0E"/>
    <w:rsid w:val="009C6C69"/>
    <w:rsid w:val="009C6D9F"/>
    <w:rsid w:val="009C7264"/>
    <w:rsid w:val="009C72FB"/>
    <w:rsid w:val="009C7783"/>
    <w:rsid w:val="009C7897"/>
    <w:rsid w:val="009C7BC8"/>
    <w:rsid w:val="009D032A"/>
    <w:rsid w:val="009D04C7"/>
    <w:rsid w:val="009D05F9"/>
    <w:rsid w:val="009D08B1"/>
    <w:rsid w:val="009D0ADE"/>
    <w:rsid w:val="009D0B13"/>
    <w:rsid w:val="009D20E0"/>
    <w:rsid w:val="009D315F"/>
    <w:rsid w:val="009D33C3"/>
    <w:rsid w:val="009D3A1D"/>
    <w:rsid w:val="009D3FF3"/>
    <w:rsid w:val="009D424A"/>
    <w:rsid w:val="009D471A"/>
    <w:rsid w:val="009D4D91"/>
    <w:rsid w:val="009D4EFF"/>
    <w:rsid w:val="009D5361"/>
    <w:rsid w:val="009D564A"/>
    <w:rsid w:val="009D641B"/>
    <w:rsid w:val="009D67EF"/>
    <w:rsid w:val="009D6D1E"/>
    <w:rsid w:val="009D6E84"/>
    <w:rsid w:val="009D73F2"/>
    <w:rsid w:val="009D7B22"/>
    <w:rsid w:val="009D7E09"/>
    <w:rsid w:val="009D7FC1"/>
    <w:rsid w:val="009E00C8"/>
    <w:rsid w:val="009E04D4"/>
    <w:rsid w:val="009E0708"/>
    <w:rsid w:val="009E095D"/>
    <w:rsid w:val="009E100C"/>
    <w:rsid w:val="009E1296"/>
    <w:rsid w:val="009E1888"/>
    <w:rsid w:val="009E19E0"/>
    <w:rsid w:val="009E1E01"/>
    <w:rsid w:val="009E22FD"/>
    <w:rsid w:val="009E2416"/>
    <w:rsid w:val="009E2AC9"/>
    <w:rsid w:val="009E2B1B"/>
    <w:rsid w:val="009E2FF5"/>
    <w:rsid w:val="009E3D4A"/>
    <w:rsid w:val="009E4841"/>
    <w:rsid w:val="009E4D8C"/>
    <w:rsid w:val="009E4FC9"/>
    <w:rsid w:val="009E561F"/>
    <w:rsid w:val="009E6502"/>
    <w:rsid w:val="009E655A"/>
    <w:rsid w:val="009E6EA2"/>
    <w:rsid w:val="009E775B"/>
    <w:rsid w:val="009E79A0"/>
    <w:rsid w:val="009E7ABF"/>
    <w:rsid w:val="009F000F"/>
    <w:rsid w:val="009F0146"/>
    <w:rsid w:val="009F1934"/>
    <w:rsid w:val="009F1B0D"/>
    <w:rsid w:val="009F1F30"/>
    <w:rsid w:val="009F224F"/>
    <w:rsid w:val="009F2467"/>
    <w:rsid w:val="009F2A02"/>
    <w:rsid w:val="009F2A77"/>
    <w:rsid w:val="009F3414"/>
    <w:rsid w:val="009F368A"/>
    <w:rsid w:val="009F3D2F"/>
    <w:rsid w:val="009F3FBC"/>
    <w:rsid w:val="009F446F"/>
    <w:rsid w:val="009F4515"/>
    <w:rsid w:val="009F4BB8"/>
    <w:rsid w:val="009F5231"/>
    <w:rsid w:val="009F53AD"/>
    <w:rsid w:val="009F587F"/>
    <w:rsid w:val="009F59B1"/>
    <w:rsid w:val="009F5CDC"/>
    <w:rsid w:val="009F5D43"/>
    <w:rsid w:val="009F6020"/>
    <w:rsid w:val="009F6877"/>
    <w:rsid w:val="009F6893"/>
    <w:rsid w:val="009F6DAD"/>
    <w:rsid w:val="009F6FC5"/>
    <w:rsid w:val="009F6FCB"/>
    <w:rsid w:val="009F70F9"/>
    <w:rsid w:val="009F7710"/>
    <w:rsid w:val="009F7CAC"/>
    <w:rsid w:val="00A002FD"/>
    <w:rsid w:val="00A0046D"/>
    <w:rsid w:val="00A01161"/>
    <w:rsid w:val="00A012BB"/>
    <w:rsid w:val="00A014C3"/>
    <w:rsid w:val="00A0171C"/>
    <w:rsid w:val="00A01A51"/>
    <w:rsid w:val="00A01A6F"/>
    <w:rsid w:val="00A0260A"/>
    <w:rsid w:val="00A0268A"/>
    <w:rsid w:val="00A02AE2"/>
    <w:rsid w:val="00A032D3"/>
    <w:rsid w:val="00A038CC"/>
    <w:rsid w:val="00A044A1"/>
    <w:rsid w:val="00A05136"/>
    <w:rsid w:val="00A05F06"/>
    <w:rsid w:val="00A06219"/>
    <w:rsid w:val="00A0757A"/>
    <w:rsid w:val="00A075A3"/>
    <w:rsid w:val="00A0763F"/>
    <w:rsid w:val="00A07AB9"/>
    <w:rsid w:val="00A07AE9"/>
    <w:rsid w:val="00A07B29"/>
    <w:rsid w:val="00A1024C"/>
    <w:rsid w:val="00A102B1"/>
    <w:rsid w:val="00A1096A"/>
    <w:rsid w:val="00A109A0"/>
    <w:rsid w:val="00A10E5C"/>
    <w:rsid w:val="00A11547"/>
    <w:rsid w:val="00A115E1"/>
    <w:rsid w:val="00A11911"/>
    <w:rsid w:val="00A11A8E"/>
    <w:rsid w:val="00A11DBB"/>
    <w:rsid w:val="00A12169"/>
    <w:rsid w:val="00A122B0"/>
    <w:rsid w:val="00A122BF"/>
    <w:rsid w:val="00A12FAC"/>
    <w:rsid w:val="00A1321B"/>
    <w:rsid w:val="00A133FF"/>
    <w:rsid w:val="00A1393D"/>
    <w:rsid w:val="00A13CA8"/>
    <w:rsid w:val="00A13E0A"/>
    <w:rsid w:val="00A13FEF"/>
    <w:rsid w:val="00A14012"/>
    <w:rsid w:val="00A147EB"/>
    <w:rsid w:val="00A14992"/>
    <w:rsid w:val="00A14D22"/>
    <w:rsid w:val="00A14D61"/>
    <w:rsid w:val="00A14DF6"/>
    <w:rsid w:val="00A1576A"/>
    <w:rsid w:val="00A157AC"/>
    <w:rsid w:val="00A158D2"/>
    <w:rsid w:val="00A1660B"/>
    <w:rsid w:val="00A16640"/>
    <w:rsid w:val="00A16855"/>
    <w:rsid w:val="00A168F1"/>
    <w:rsid w:val="00A169B3"/>
    <w:rsid w:val="00A17464"/>
    <w:rsid w:val="00A1783D"/>
    <w:rsid w:val="00A178DB"/>
    <w:rsid w:val="00A2001F"/>
    <w:rsid w:val="00A20098"/>
    <w:rsid w:val="00A200FD"/>
    <w:rsid w:val="00A206A9"/>
    <w:rsid w:val="00A20828"/>
    <w:rsid w:val="00A20D6C"/>
    <w:rsid w:val="00A21058"/>
    <w:rsid w:val="00A21148"/>
    <w:rsid w:val="00A21583"/>
    <w:rsid w:val="00A219FD"/>
    <w:rsid w:val="00A21D83"/>
    <w:rsid w:val="00A2205A"/>
    <w:rsid w:val="00A2239A"/>
    <w:rsid w:val="00A22F58"/>
    <w:rsid w:val="00A23263"/>
    <w:rsid w:val="00A23358"/>
    <w:rsid w:val="00A2369F"/>
    <w:rsid w:val="00A23A9F"/>
    <w:rsid w:val="00A24335"/>
    <w:rsid w:val="00A247C5"/>
    <w:rsid w:val="00A24BBA"/>
    <w:rsid w:val="00A24CB8"/>
    <w:rsid w:val="00A24E81"/>
    <w:rsid w:val="00A24F45"/>
    <w:rsid w:val="00A252AE"/>
    <w:rsid w:val="00A253AC"/>
    <w:rsid w:val="00A257D1"/>
    <w:rsid w:val="00A25DEF"/>
    <w:rsid w:val="00A26093"/>
    <w:rsid w:val="00A26170"/>
    <w:rsid w:val="00A26177"/>
    <w:rsid w:val="00A26323"/>
    <w:rsid w:val="00A263EB"/>
    <w:rsid w:val="00A26A18"/>
    <w:rsid w:val="00A26A4C"/>
    <w:rsid w:val="00A2709E"/>
    <w:rsid w:val="00A27142"/>
    <w:rsid w:val="00A2752C"/>
    <w:rsid w:val="00A27792"/>
    <w:rsid w:val="00A27896"/>
    <w:rsid w:val="00A30290"/>
    <w:rsid w:val="00A3053B"/>
    <w:rsid w:val="00A30613"/>
    <w:rsid w:val="00A30AA2"/>
    <w:rsid w:val="00A31DBF"/>
    <w:rsid w:val="00A31E63"/>
    <w:rsid w:val="00A32465"/>
    <w:rsid w:val="00A32625"/>
    <w:rsid w:val="00A329C9"/>
    <w:rsid w:val="00A331C8"/>
    <w:rsid w:val="00A3330A"/>
    <w:rsid w:val="00A3374E"/>
    <w:rsid w:val="00A337C0"/>
    <w:rsid w:val="00A33B0C"/>
    <w:rsid w:val="00A33BD1"/>
    <w:rsid w:val="00A33FED"/>
    <w:rsid w:val="00A3414F"/>
    <w:rsid w:val="00A348A3"/>
    <w:rsid w:val="00A3499F"/>
    <w:rsid w:val="00A3558D"/>
    <w:rsid w:val="00A35BDE"/>
    <w:rsid w:val="00A35E05"/>
    <w:rsid w:val="00A35E90"/>
    <w:rsid w:val="00A35F5A"/>
    <w:rsid w:val="00A35FE9"/>
    <w:rsid w:val="00A369EF"/>
    <w:rsid w:val="00A37007"/>
    <w:rsid w:val="00A37866"/>
    <w:rsid w:val="00A37999"/>
    <w:rsid w:val="00A379C7"/>
    <w:rsid w:val="00A37C7C"/>
    <w:rsid w:val="00A408C8"/>
    <w:rsid w:val="00A40BAA"/>
    <w:rsid w:val="00A40F85"/>
    <w:rsid w:val="00A40F94"/>
    <w:rsid w:val="00A41924"/>
    <w:rsid w:val="00A41A3C"/>
    <w:rsid w:val="00A423B0"/>
    <w:rsid w:val="00A42667"/>
    <w:rsid w:val="00A42F5B"/>
    <w:rsid w:val="00A431BA"/>
    <w:rsid w:val="00A43499"/>
    <w:rsid w:val="00A43EC7"/>
    <w:rsid w:val="00A44216"/>
    <w:rsid w:val="00A44409"/>
    <w:rsid w:val="00A4457E"/>
    <w:rsid w:val="00A44871"/>
    <w:rsid w:val="00A44E6D"/>
    <w:rsid w:val="00A45015"/>
    <w:rsid w:val="00A4505B"/>
    <w:rsid w:val="00A4537B"/>
    <w:rsid w:val="00A453B0"/>
    <w:rsid w:val="00A454FC"/>
    <w:rsid w:val="00A4565F"/>
    <w:rsid w:val="00A45846"/>
    <w:rsid w:val="00A45EF0"/>
    <w:rsid w:val="00A45F6E"/>
    <w:rsid w:val="00A46195"/>
    <w:rsid w:val="00A46A4C"/>
    <w:rsid w:val="00A46E0B"/>
    <w:rsid w:val="00A4766A"/>
    <w:rsid w:val="00A502BA"/>
    <w:rsid w:val="00A50371"/>
    <w:rsid w:val="00A505C0"/>
    <w:rsid w:val="00A5060F"/>
    <w:rsid w:val="00A50660"/>
    <w:rsid w:val="00A50681"/>
    <w:rsid w:val="00A5082F"/>
    <w:rsid w:val="00A508DC"/>
    <w:rsid w:val="00A510DE"/>
    <w:rsid w:val="00A51B2A"/>
    <w:rsid w:val="00A51B53"/>
    <w:rsid w:val="00A521C1"/>
    <w:rsid w:val="00A522B0"/>
    <w:rsid w:val="00A5235B"/>
    <w:rsid w:val="00A52966"/>
    <w:rsid w:val="00A52B98"/>
    <w:rsid w:val="00A5372B"/>
    <w:rsid w:val="00A545BF"/>
    <w:rsid w:val="00A54B50"/>
    <w:rsid w:val="00A54D6B"/>
    <w:rsid w:val="00A550B8"/>
    <w:rsid w:val="00A55A10"/>
    <w:rsid w:val="00A55DC8"/>
    <w:rsid w:val="00A55ED3"/>
    <w:rsid w:val="00A5632B"/>
    <w:rsid w:val="00A563D3"/>
    <w:rsid w:val="00A56579"/>
    <w:rsid w:val="00A56726"/>
    <w:rsid w:val="00A56765"/>
    <w:rsid w:val="00A56AC5"/>
    <w:rsid w:val="00A574F0"/>
    <w:rsid w:val="00A57755"/>
    <w:rsid w:val="00A57B63"/>
    <w:rsid w:val="00A57BA9"/>
    <w:rsid w:val="00A60132"/>
    <w:rsid w:val="00A60939"/>
    <w:rsid w:val="00A60A0F"/>
    <w:rsid w:val="00A60A69"/>
    <w:rsid w:val="00A617E7"/>
    <w:rsid w:val="00A619F3"/>
    <w:rsid w:val="00A61DC9"/>
    <w:rsid w:val="00A61F1E"/>
    <w:rsid w:val="00A61F43"/>
    <w:rsid w:val="00A62ED1"/>
    <w:rsid w:val="00A633E0"/>
    <w:rsid w:val="00A63601"/>
    <w:rsid w:val="00A63B2D"/>
    <w:rsid w:val="00A63D29"/>
    <w:rsid w:val="00A6404F"/>
    <w:rsid w:val="00A640B5"/>
    <w:rsid w:val="00A64426"/>
    <w:rsid w:val="00A64468"/>
    <w:rsid w:val="00A64728"/>
    <w:rsid w:val="00A64904"/>
    <w:rsid w:val="00A64C1C"/>
    <w:rsid w:val="00A64CBA"/>
    <w:rsid w:val="00A64E4E"/>
    <w:rsid w:val="00A659D8"/>
    <w:rsid w:val="00A65AFA"/>
    <w:rsid w:val="00A65B38"/>
    <w:rsid w:val="00A65E89"/>
    <w:rsid w:val="00A66603"/>
    <w:rsid w:val="00A66D4C"/>
    <w:rsid w:val="00A67379"/>
    <w:rsid w:val="00A67676"/>
    <w:rsid w:val="00A67BCA"/>
    <w:rsid w:val="00A67CCE"/>
    <w:rsid w:val="00A70EBC"/>
    <w:rsid w:val="00A70FE3"/>
    <w:rsid w:val="00A710D0"/>
    <w:rsid w:val="00A7118D"/>
    <w:rsid w:val="00A71339"/>
    <w:rsid w:val="00A7135B"/>
    <w:rsid w:val="00A71759"/>
    <w:rsid w:val="00A71A83"/>
    <w:rsid w:val="00A72091"/>
    <w:rsid w:val="00A723BF"/>
    <w:rsid w:val="00A72469"/>
    <w:rsid w:val="00A72829"/>
    <w:rsid w:val="00A72BFA"/>
    <w:rsid w:val="00A72CAF"/>
    <w:rsid w:val="00A730EA"/>
    <w:rsid w:val="00A73139"/>
    <w:rsid w:val="00A7374F"/>
    <w:rsid w:val="00A73894"/>
    <w:rsid w:val="00A73993"/>
    <w:rsid w:val="00A73BB9"/>
    <w:rsid w:val="00A73F82"/>
    <w:rsid w:val="00A742B1"/>
    <w:rsid w:val="00A74CDF"/>
    <w:rsid w:val="00A7507B"/>
    <w:rsid w:val="00A75408"/>
    <w:rsid w:val="00A75598"/>
    <w:rsid w:val="00A756D0"/>
    <w:rsid w:val="00A75BCB"/>
    <w:rsid w:val="00A75CC3"/>
    <w:rsid w:val="00A75F1D"/>
    <w:rsid w:val="00A75F8C"/>
    <w:rsid w:val="00A761CF"/>
    <w:rsid w:val="00A7631D"/>
    <w:rsid w:val="00A7667E"/>
    <w:rsid w:val="00A76D19"/>
    <w:rsid w:val="00A775E6"/>
    <w:rsid w:val="00A7768F"/>
    <w:rsid w:val="00A7771D"/>
    <w:rsid w:val="00A80BF6"/>
    <w:rsid w:val="00A80E98"/>
    <w:rsid w:val="00A81694"/>
    <w:rsid w:val="00A817CD"/>
    <w:rsid w:val="00A818A0"/>
    <w:rsid w:val="00A81935"/>
    <w:rsid w:val="00A82113"/>
    <w:rsid w:val="00A825A5"/>
    <w:rsid w:val="00A82899"/>
    <w:rsid w:val="00A82D87"/>
    <w:rsid w:val="00A83251"/>
    <w:rsid w:val="00A83ACB"/>
    <w:rsid w:val="00A844C2"/>
    <w:rsid w:val="00A84BBC"/>
    <w:rsid w:val="00A85698"/>
    <w:rsid w:val="00A859E4"/>
    <w:rsid w:val="00A85BDC"/>
    <w:rsid w:val="00A85C83"/>
    <w:rsid w:val="00A85CBA"/>
    <w:rsid w:val="00A861BB"/>
    <w:rsid w:val="00A8620B"/>
    <w:rsid w:val="00A866EE"/>
    <w:rsid w:val="00A8686B"/>
    <w:rsid w:val="00A875BA"/>
    <w:rsid w:val="00A875BE"/>
    <w:rsid w:val="00A87D9B"/>
    <w:rsid w:val="00A87DB4"/>
    <w:rsid w:val="00A901A1"/>
    <w:rsid w:val="00A9043C"/>
    <w:rsid w:val="00A90BEF"/>
    <w:rsid w:val="00A90D4F"/>
    <w:rsid w:val="00A90DF4"/>
    <w:rsid w:val="00A9166F"/>
    <w:rsid w:val="00A91DEE"/>
    <w:rsid w:val="00A92531"/>
    <w:rsid w:val="00A92A1A"/>
    <w:rsid w:val="00A937D2"/>
    <w:rsid w:val="00A94191"/>
    <w:rsid w:val="00A9428C"/>
    <w:rsid w:val="00A94A38"/>
    <w:rsid w:val="00A94E56"/>
    <w:rsid w:val="00A956DD"/>
    <w:rsid w:val="00A95A68"/>
    <w:rsid w:val="00A95ACC"/>
    <w:rsid w:val="00A95F24"/>
    <w:rsid w:val="00A96451"/>
    <w:rsid w:val="00A96524"/>
    <w:rsid w:val="00A9665E"/>
    <w:rsid w:val="00A96673"/>
    <w:rsid w:val="00A96DEB"/>
    <w:rsid w:val="00A96E97"/>
    <w:rsid w:val="00A96F5F"/>
    <w:rsid w:val="00A97168"/>
    <w:rsid w:val="00A9755C"/>
    <w:rsid w:val="00A978CC"/>
    <w:rsid w:val="00A97A15"/>
    <w:rsid w:val="00A97A3F"/>
    <w:rsid w:val="00A97BF0"/>
    <w:rsid w:val="00AA00E4"/>
    <w:rsid w:val="00AA0275"/>
    <w:rsid w:val="00AA04F7"/>
    <w:rsid w:val="00AA06BA"/>
    <w:rsid w:val="00AA0CBC"/>
    <w:rsid w:val="00AA0E60"/>
    <w:rsid w:val="00AA0EF1"/>
    <w:rsid w:val="00AA15D3"/>
    <w:rsid w:val="00AA1639"/>
    <w:rsid w:val="00AA165D"/>
    <w:rsid w:val="00AA1F49"/>
    <w:rsid w:val="00AA21D3"/>
    <w:rsid w:val="00AA2482"/>
    <w:rsid w:val="00AA25C1"/>
    <w:rsid w:val="00AA2EEE"/>
    <w:rsid w:val="00AA31A5"/>
    <w:rsid w:val="00AA3BB3"/>
    <w:rsid w:val="00AA42BD"/>
    <w:rsid w:val="00AA4F20"/>
    <w:rsid w:val="00AA617C"/>
    <w:rsid w:val="00AA626C"/>
    <w:rsid w:val="00AA65C9"/>
    <w:rsid w:val="00AA6BD8"/>
    <w:rsid w:val="00AA7B21"/>
    <w:rsid w:val="00AA7ED7"/>
    <w:rsid w:val="00AA7EE4"/>
    <w:rsid w:val="00AB0537"/>
    <w:rsid w:val="00AB06EC"/>
    <w:rsid w:val="00AB0845"/>
    <w:rsid w:val="00AB08D7"/>
    <w:rsid w:val="00AB0984"/>
    <w:rsid w:val="00AB0DC4"/>
    <w:rsid w:val="00AB0EFB"/>
    <w:rsid w:val="00AB28F6"/>
    <w:rsid w:val="00AB2949"/>
    <w:rsid w:val="00AB2B40"/>
    <w:rsid w:val="00AB2B51"/>
    <w:rsid w:val="00AB2C97"/>
    <w:rsid w:val="00AB304A"/>
    <w:rsid w:val="00AB331C"/>
    <w:rsid w:val="00AB34E3"/>
    <w:rsid w:val="00AB3533"/>
    <w:rsid w:val="00AB354B"/>
    <w:rsid w:val="00AB3B1C"/>
    <w:rsid w:val="00AB3B95"/>
    <w:rsid w:val="00AB45BE"/>
    <w:rsid w:val="00AB4670"/>
    <w:rsid w:val="00AB4835"/>
    <w:rsid w:val="00AB4A4E"/>
    <w:rsid w:val="00AB4CB4"/>
    <w:rsid w:val="00AB4DB7"/>
    <w:rsid w:val="00AB4EBF"/>
    <w:rsid w:val="00AB5709"/>
    <w:rsid w:val="00AB57DC"/>
    <w:rsid w:val="00AB592A"/>
    <w:rsid w:val="00AB5C1D"/>
    <w:rsid w:val="00AB5C38"/>
    <w:rsid w:val="00AB751C"/>
    <w:rsid w:val="00AB7625"/>
    <w:rsid w:val="00AB7910"/>
    <w:rsid w:val="00AB7C8E"/>
    <w:rsid w:val="00AC0214"/>
    <w:rsid w:val="00AC0251"/>
    <w:rsid w:val="00AC0646"/>
    <w:rsid w:val="00AC06D6"/>
    <w:rsid w:val="00AC0996"/>
    <w:rsid w:val="00AC0BA3"/>
    <w:rsid w:val="00AC0E98"/>
    <w:rsid w:val="00AC1341"/>
    <w:rsid w:val="00AC146B"/>
    <w:rsid w:val="00AC1919"/>
    <w:rsid w:val="00AC19A1"/>
    <w:rsid w:val="00AC1FB2"/>
    <w:rsid w:val="00AC24B4"/>
    <w:rsid w:val="00AC2A78"/>
    <w:rsid w:val="00AC2C4C"/>
    <w:rsid w:val="00AC2C5B"/>
    <w:rsid w:val="00AC2D57"/>
    <w:rsid w:val="00AC2DCB"/>
    <w:rsid w:val="00AC3531"/>
    <w:rsid w:val="00AC3665"/>
    <w:rsid w:val="00AC38A9"/>
    <w:rsid w:val="00AC3BC2"/>
    <w:rsid w:val="00AC40CC"/>
    <w:rsid w:val="00AC4122"/>
    <w:rsid w:val="00AC4C3A"/>
    <w:rsid w:val="00AC4DEF"/>
    <w:rsid w:val="00AC4F21"/>
    <w:rsid w:val="00AC4FD5"/>
    <w:rsid w:val="00AC4FF5"/>
    <w:rsid w:val="00AC547E"/>
    <w:rsid w:val="00AC54F6"/>
    <w:rsid w:val="00AC5642"/>
    <w:rsid w:val="00AC61B7"/>
    <w:rsid w:val="00AC6345"/>
    <w:rsid w:val="00AC656B"/>
    <w:rsid w:val="00AC67DD"/>
    <w:rsid w:val="00AC7039"/>
    <w:rsid w:val="00AC7174"/>
    <w:rsid w:val="00AC7595"/>
    <w:rsid w:val="00AC7801"/>
    <w:rsid w:val="00AC79F8"/>
    <w:rsid w:val="00AC7F37"/>
    <w:rsid w:val="00AD004B"/>
    <w:rsid w:val="00AD049F"/>
    <w:rsid w:val="00AD0C1E"/>
    <w:rsid w:val="00AD0E10"/>
    <w:rsid w:val="00AD12B8"/>
    <w:rsid w:val="00AD2D23"/>
    <w:rsid w:val="00AD2DBB"/>
    <w:rsid w:val="00AD2EFE"/>
    <w:rsid w:val="00AD317F"/>
    <w:rsid w:val="00AD4106"/>
    <w:rsid w:val="00AD4620"/>
    <w:rsid w:val="00AD4C1D"/>
    <w:rsid w:val="00AD5BF8"/>
    <w:rsid w:val="00AD5E5E"/>
    <w:rsid w:val="00AD602C"/>
    <w:rsid w:val="00AD6141"/>
    <w:rsid w:val="00AD62A3"/>
    <w:rsid w:val="00AD657D"/>
    <w:rsid w:val="00AD660E"/>
    <w:rsid w:val="00AD6D8B"/>
    <w:rsid w:val="00AD6FA9"/>
    <w:rsid w:val="00AD6FC8"/>
    <w:rsid w:val="00AD739E"/>
    <w:rsid w:val="00AD7C60"/>
    <w:rsid w:val="00AE013C"/>
    <w:rsid w:val="00AE0375"/>
    <w:rsid w:val="00AE044B"/>
    <w:rsid w:val="00AE061D"/>
    <w:rsid w:val="00AE06C9"/>
    <w:rsid w:val="00AE0777"/>
    <w:rsid w:val="00AE0879"/>
    <w:rsid w:val="00AE0B80"/>
    <w:rsid w:val="00AE137C"/>
    <w:rsid w:val="00AE13AD"/>
    <w:rsid w:val="00AE1601"/>
    <w:rsid w:val="00AE18EF"/>
    <w:rsid w:val="00AE20B3"/>
    <w:rsid w:val="00AE228C"/>
    <w:rsid w:val="00AE2757"/>
    <w:rsid w:val="00AE2DB2"/>
    <w:rsid w:val="00AE31F9"/>
    <w:rsid w:val="00AE3435"/>
    <w:rsid w:val="00AE34E1"/>
    <w:rsid w:val="00AE3C76"/>
    <w:rsid w:val="00AE3D7A"/>
    <w:rsid w:val="00AE4060"/>
    <w:rsid w:val="00AE4B0F"/>
    <w:rsid w:val="00AE4F52"/>
    <w:rsid w:val="00AE5F79"/>
    <w:rsid w:val="00AE6AA2"/>
    <w:rsid w:val="00AE6CA7"/>
    <w:rsid w:val="00AE7293"/>
    <w:rsid w:val="00AE7363"/>
    <w:rsid w:val="00AE761B"/>
    <w:rsid w:val="00AF0080"/>
    <w:rsid w:val="00AF020A"/>
    <w:rsid w:val="00AF0365"/>
    <w:rsid w:val="00AF0760"/>
    <w:rsid w:val="00AF0B54"/>
    <w:rsid w:val="00AF0D06"/>
    <w:rsid w:val="00AF0F01"/>
    <w:rsid w:val="00AF1227"/>
    <w:rsid w:val="00AF1AF2"/>
    <w:rsid w:val="00AF1E4E"/>
    <w:rsid w:val="00AF22DA"/>
    <w:rsid w:val="00AF306E"/>
    <w:rsid w:val="00AF3538"/>
    <w:rsid w:val="00AF387E"/>
    <w:rsid w:val="00AF39AD"/>
    <w:rsid w:val="00AF3B0A"/>
    <w:rsid w:val="00AF4055"/>
    <w:rsid w:val="00AF40DB"/>
    <w:rsid w:val="00AF4110"/>
    <w:rsid w:val="00AF45F2"/>
    <w:rsid w:val="00AF4672"/>
    <w:rsid w:val="00AF4A64"/>
    <w:rsid w:val="00AF550D"/>
    <w:rsid w:val="00AF5F2C"/>
    <w:rsid w:val="00AF6052"/>
    <w:rsid w:val="00AF614E"/>
    <w:rsid w:val="00AF638E"/>
    <w:rsid w:val="00AF63CB"/>
    <w:rsid w:val="00AF6717"/>
    <w:rsid w:val="00AF715D"/>
    <w:rsid w:val="00AF7FE0"/>
    <w:rsid w:val="00B001A4"/>
    <w:rsid w:val="00B00499"/>
    <w:rsid w:val="00B006BD"/>
    <w:rsid w:val="00B0084A"/>
    <w:rsid w:val="00B01065"/>
    <w:rsid w:val="00B01112"/>
    <w:rsid w:val="00B024DF"/>
    <w:rsid w:val="00B0257E"/>
    <w:rsid w:val="00B02B74"/>
    <w:rsid w:val="00B035BC"/>
    <w:rsid w:val="00B03661"/>
    <w:rsid w:val="00B03856"/>
    <w:rsid w:val="00B042C2"/>
    <w:rsid w:val="00B04665"/>
    <w:rsid w:val="00B04C1F"/>
    <w:rsid w:val="00B04C3B"/>
    <w:rsid w:val="00B04F8B"/>
    <w:rsid w:val="00B057B8"/>
    <w:rsid w:val="00B059B9"/>
    <w:rsid w:val="00B0678A"/>
    <w:rsid w:val="00B06859"/>
    <w:rsid w:val="00B06C77"/>
    <w:rsid w:val="00B0744B"/>
    <w:rsid w:val="00B07605"/>
    <w:rsid w:val="00B07B64"/>
    <w:rsid w:val="00B07BB2"/>
    <w:rsid w:val="00B101F3"/>
    <w:rsid w:val="00B10408"/>
    <w:rsid w:val="00B106E2"/>
    <w:rsid w:val="00B1097C"/>
    <w:rsid w:val="00B10DBF"/>
    <w:rsid w:val="00B10E4A"/>
    <w:rsid w:val="00B10FAB"/>
    <w:rsid w:val="00B110B4"/>
    <w:rsid w:val="00B114BF"/>
    <w:rsid w:val="00B116EF"/>
    <w:rsid w:val="00B11861"/>
    <w:rsid w:val="00B126D6"/>
    <w:rsid w:val="00B128F9"/>
    <w:rsid w:val="00B129C4"/>
    <w:rsid w:val="00B12C78"/>
    <w:rsid w:val="00B12EE3"/>
    <w:rsid w:val="00B13500"/>
    <w:rsid w:val="00B1373F"/>
    <w:rsid w:val="00B13C92"/>
    <w:rsid w:val="00B13D65"/>
    <w:rsid w:val="00B14227"/>
    <w:rsid w:val="00B14651"/>
    <w:rsid w:val="00B14738"/>
    <w:rsid w:val="00B14AF7"/>
    <w:rsid w:val="00B14F4E"/>
    <w:rsid w:val="00B15478"/>
    <w:rsid w:val="00B15797"/>
    <w:rsid w:val="00B15A5B"/>
    <w:rsid w:val="00B15B47"/>
    <w:rsid w:val="00B15FC9"/>
    <w:rsid w:val="00B166EB"/>
    <w:rsid w:val="00B168D1"/>
    <w:rsid w:val="00B16D40"/>
    <w:rsid w:val="00B16DA1"/>
    <w:rsid w:val="00B173D9"/>
    <w:rsid w:val="00B1741E"/>
    <w:rsid w:val="00B17F04"/>
    <w:rsid w:val="00B2013D"/>
    <w:rsid w:val="00B20236"/>
    <w:rsid w:val="00B202A7"/>
    <w:rsid w:val="00B20535"/>
    <w:rsid w:val="00B21592"/>
    <w:rsid w:val="00B21CDE"/>
    <w:rsid w:val="00B22497"/>
    <w:rsid w:val="00B22786"/>
    <w:rsid w:val="00B228A5"/>
    <w:rsid w:val="00B22F9C"/>
    <w:rsid w:val="00B238C1"/>
    <w:rsid w:val="00B23E9D"/>
    <w:rsid w:val="00B24054"/>
    <w:rsid w:val="00B240CB"/>
    <w:rsid w:val="00B24453"/>
    <w:rsid w:val="00B244B9"/>
    <w:rsid w:val="00B24B62"/>
    <w:rsid w:val="00B24BE1"/>
    <w:rsid w:val="00B2536C"/>
    <w:rsid w:val="00B25A88"/>
    <w:rsid w:val="00B25D3C"/>
    <w:rsid w:val="00B2602A"/>
    <w:rsid w:val="00B260A5"/>
    <w:rsid w:val="00B2621D"/>
    <w:rsid w:val="00B26A85"/>
    <w:rsid w:val="00B2708A"/>
    <w:rsid w:val="00B27865"/>
    <w:rsid w:val="00B27DD2"/>
    <w:rsid w:val="00B317D1"/>
    <w:rsid w:val="00B31CAC"/>
    <w:rsid w:val="00B31E02"/>
    <w:rsid w:val="00B3330F"/>
    <w:rsid w:val="00B334A7"/>
    <w:rsid w:val="00B3359A"/>
    <w:rsid w:val="00B3372F"/>
    <w:rsid w:val="00B337F4"/>
    <w:rsid w:val="00B33B4C"/>
    <w:rsid w:val="00B34F9E"/>
    <w:rsid w:val="00B35048"/>
    <w:rsid w:val="00B35250"/>
    <w:rsid w:val="00B3582D"/>
    <w:rsid w:val="00B35926"/>
    <w:rsid w:val="00B359DB"/>
    <w:rsid w:val="00B35ABB"/>
    <w:rsid w:val="00B35BA6"/>
    <w:rsid w:val="00B361E0"/>
    <w:rsid w:val="00B3675A"/>
    <w:rsid w:val="00B36927"/>
    <w:rsid w:val="00B373FA"/>
    <w:rsid w:val="00B37963"/>
    <w:rsid w:val="00B37C4D"/>
    <w:rsid w:val="00B37D48"/>
    <w:rsid w:val="00B37E43"/>
    <w:rsid w:val="00B40734"/>
    <w:rsid w:val="00B40D66"/>
    <w:rsid w:val="00B410BA"/>
    <w:rsid w:val="00B41511"/>
    <w:rsid w:val="00B41998"/>
    <w:rsid w:val="00B41F4B"/>
    <w:rsid w:val="00B42035"/>
    <w:rsid w:val="00B4240B"/>
    <w:rsid w:val="00B42525"/>
    <w:rsid w:val="00B42526"/>
    <w:rsid w:val="00B42CB3"/>
    <w:rsid w:val="00B42D7C"/>
    <w:rsid w:val="00B42FED"/>
    <w:rsid w:val="00B4322C"/>
    <w:rsid w:val="00B4324C"/>
    <w:rsid w:val="00B43E18"/>
    <w:rsid w:val="00B43E91"/>
    <w:rsid w:val="00B444A9"/>
    <w:rsid w:val="00B44AE5"/>
    <w:rsid w:val="00B44D61"/>
    <w:rsid w:val="00B454F3"/>
    <w:rsid w:val="00B45A17"/>
    <w:rsid w:val="00B45E84"/>
    <w:rsid w:val="00B4650D"/>
    <w:rsid w:val="00B46571"/>
    <w:rsid w:val="00B4657C"/>
    <w:rsid w:val="00B4667D"/>
    <w:rsid w:val="00B466D1"/>
    <w:rsid w:val="00B4683D"/>
    <w:rsid w:val="00B46907"/>
    <w:rsid w:val="00B46B38"/>
    <w:rsid w:val="00B46C0D"/>
    <w:rsid w:val="00B46CC8"/>
    <w:rsid w:val="00B46D06"/>
    <w:rsid w:val="00B47381"/>
    <w:rsid w:val="00B47724"/>
    <w:rsid w:val="00B47839"/>
    <w:rsid w:val="00B47991"/>
    <w:rsid w:val="00B47E30"/>
    <w:rsid w:val="00B506D1"/>
    <w:rsid w:val="00B5074D"/>
    <w:rsid w:val="00B50CE6"/>
    <w:rsid w:val="00B510EC"/>
    <w:rsid w:val="00B5160D"/>
    <w:rsid w:val="00B51656"/>
    <w:rsid w:val="00B51745"/>
    <w:rsid w:val="00B51A4C"/>
    <w:rsid w:val="00B51B65"/>
    <w:rsid w:val="00B51E74"/>
    <w:rsid w:val="00B522E0"/>
    <w:rsid w:val="00B52359"/>
    <w:rsid w:val="00B5250D"/>
    <w:rsid w:val="00B5279D"/>
    <w:rsid w:val="00B52894"/>
    <w:rsid w:val="00B53506"/>
    <w:rsid w:val="00B5350C"/>
    <w:rsid w:val="00B536C4"/>
    <w:rsid w:val="00B53715"/>
    <w:rsid w:val="00B53D25"/>
    <w:rsid w:val="00B53DA1"/>
    <w:rsid w:val="00B53F14"/>
    <w:rsid w:val="00B551C4"/>
    <w:rsid w:val="00B553E8"/>
    <w:rsid w:val="00B554A0"/>
    <w:rsid w:val="00B55A94"/>
    <w:rsid w:val="00B55CD5"/>
    <w:rsid w:val="00B561B3"/>
    <w:rsid w:val="00B57550"/>
    <w:rsid w:val="00B57908"/>
    <w:rsid w:val="00B57CBD"/>
    <w:rsid w:val="00B57DC8"/>
    <w:rsid w:val="00B60447"/>
    <w:rsid w:val="00B60819"/>
    <w:rsid w:val="00B60887"/>
    <w:rsid w:val="00B609E0"/>
    <w:rsid w:val="00B61427"/>
    <w:rsid w:val="00B629E7"/>
    <w:rsid w:val="00B62ABF"/>
    <w:rsid w:val="00B62D32"/>
    <w:rsid w:val="00B63594"/>
    <w:rsid w:val="00B6383A"/>
    <w:rsid w:val="00B638C5"/>
    <w:rsid w:val="00B63E7F"/>
    <w:rsid w:val="00B640A0"/>
    <w:rsid w:val="00B6489E"/>
    <w:rsid w:val="00B6494F"/>
    <w:rsid w:val="00B64A1C"/>
    <w:rsid w:val="00B64E53"/>
    <w:rsid w:val="00B64EF0"/>
    <w:rsid w:val="00B658E6"/>
    <w:rsid w:val="00B6599C"/>
    <w:rsid w:val="00B665EE"/>
    <w:rsid w:val="00B666AB"/>
    <w:rsid w:val="00B66B42"/>
    <w:rsid w:val="00B66E89"/>
    <w:rsid w:val="00B6715C"/>
    <w:rsid w:val="00B677F3"/>
    <w:rsid w:val="00B67C95"/>
    <w:rsid w:val="00B7040F"/>
    <w:rsid w:val="00B709AD"/>
    <w:rsid w:val="00B70ED5"/>
    <w:rsid w:val="00B712A1"/>
    <w:rsid w:val="00B7139C"/>
    <w:rsid w:val="00B7171E"/>
    <w:rsid w:val="00B719F8"/>
    <w:rsid w:val="00B720D1"/>
    <w:rsid w:val="00B7220E"/>
    <w:rsid w:val="00B72C03"/>
    <w:rsid w:val="00B72C33"/>
    <w:rsid w:val="00B72EA2"/>
    <w:rsid w:val="00B72EE3"/>
    <w:rsid w:val="00B72FCB"/>
    <w:rsid w:val="00B73A04"/>
    <w:rsid w:val="00B73C01"/>
    <w:rsid w:val="00B73C54"/>
    <w:rsid w:val="00B74070"/>
    <w:rsid w:val="00B74B48"/>
    <w:rsid w:val="00B74C67"/>
    <w:rsid w:val="00B74C8F"/>
    <w:rsid w:val="00B74DBE"/>
    <w:rsid w:val="00B754A2"/>
    <w:rsid w:val="00B7598D"/>
    <w:rsid w:val="00B75DB6"/>
    <w:rsid w:val="00B75E41"/>
    <w:rsid w:val="00B7631F"/>
    <w:rsid w:val="00B766D8"/>
    <w:rsid w:val="00B76A9D"/>
    <w:rsid w:val="00B77544"/>
    <w:rsid w:val="00B7772A"/>
    <w:rsid w:val="00B77C61"/>
    <w:rsid w:val="00B77DC4"/>
    <w:rsid w:val="00B77F5B"/>
    <w:rsid w:val="00B801B0"/>
    <w:rsid w:val="00B807D8"/>
    <w:rsid w:val="00B8092F"/>
    <w:rsid w:val="00B80F88"/>
    <w:rsid w:val="00B81261"/>
    <w:rsid w:val="00B81987"/>
    <w:rsid w:val="00B81BE4"/>
    <w:rsid w:val="00B81E3B"/>
    <w:rsid w:val="00B8235A"/>
    <w:rsid w:val="00B826F5"/>
    <w:rsid w:val="00B8291A"/>
    <w:rsid w:val="00B82DCD"/>
    <w:rsid w:val="00B83136"/>
    <w:rsid w:val="00B8325C"/>
    <w:rsid w:val="00B83CA3"/>
    <w:rsid w:val="00B83F54"/>
    <w:rsid w:val="00B840C8"/>
    <w:rsid w:val="00B8442C"/>
    <w:rsid w:val="00B855D9"/>
    <w:rsid w:val="00B856BA"/>
    <w:rsid w:val="00B85859"/>
    <w:rsid w:val="00B8600A"/>
    <w:rsid w:val="00B86261"/>
    <w:rsid w:val="00B8639B"/>
    <w:rsid w:val="00B86764"/>
    <w:rsid w:val="00B87561"/>
    <w:rsid w:val="00B87596"/>
    <w:rsid w:val="00B87721"/>
    <w:rsid w:val="00B8772F"/>
    <w:rsid w:val="00B87BA2"/>
    <w:rsid w:val="00B90433"/>
    <w:rsid w:val="00B9061C"/>
    <w:rsid w:val="00B908AA"/>
    <w:rsid w:val="00B90EAE"/>
    <w:rsid w:val="00B90F57"/>
    <w:rsid w:val="00B91894"/>
    <w:rsid w:val="00B91C4A"/>
    <w:rsid w:val="00B91F3B"/>
    <w:rsid w:val="00B9237D"/>
    <w:rsid w:val="00B92E95"/>
    <w:rsid w:val="00B937B5"/>
    <w:rsid w:val="00B938A0"/>
    <w:rsid w:val="00B938BA"/>
    <w:rsid w:val="00B94311"/>
    <w:rsid w:val="00B944CC"/>
    <w:rsid w:val="00B94553"/>
    <w:rsid w:val="00B94B2D"/>
    <w:rsid w:val="00B94D07"/>
    <w:rsid w:val="00B94DDD"/>
    <w:rsid w:val="00B94F7C"/>
    <w:rsid w:val="00B95063"/>
    <w:rsid w:val="00B955DE"/>
    <w:rsid w:val="00B957B1"/>
    <w:rsid w:val="00B95942"/>
    <w:rsid w:val="00B95C5E"/>
    <w:rsid w:val="00B96463"/>
    <w:rsid w:val="00B96A98"/>
    <w:rsid w:val="00B96E45"/>
    <w:rsid w:val="00B96F11"/>
    <w:rsid w:val="00BA09EA"/>
    <w:rsid w:val="00BA0A64"/>
    <w:rsid w:val="00BA0AA5"/>
    <w:rsid w:val="00BA0AE1"/>
    <w:rsid w:val="00BA0DBB"/>
    <w:rsid w:val="00BA1359"/>
    <w:rsid w:val="00BA1B39"/>
    <w:rsid w:val="00BA1DD6"/>
    <w:rsid w:val="00BA2416"/>
    <w:rsid w:val="00BA30C4"/>
    <w:rsid w:val="00BA326A"/>
    <w:rsid w:val="00BA32CB"/>
    <w:rsid w:val="00BA3D4F"/>
    <w:rsid w:val="00BA3E27"/>
    <w:rsid w:val="00BA3FD8"/>
    <w:rsid w:val="00BA41DC"/>
    <w:rsid w:val="00BA4402"/>
    <w:rsid w:val="00BA44A8"/>
    <w:rsid w:val="00BA4DB5"/>
    <w:rsid w:val="00BA56C3"/>
    <w:rsid w:val="00BA65A9"/>
    <w:rsid w:val="00BA6967"/>
    <w:rsid w:val="00BA6983"/>
    <w:rsid w:val="00BA6B44"/>
    <w:rsid w:val="00BA7251"/>
    <w:rsid w:val="00BA7320"/>
    <w:rsid w:val="00BA7712"/>
    <w:rsid w:val="00BA7C0C"/>
    <w:rsid w:val="00BB0503"/>
    <w:rsid w:val="00BB1143"/>
    <w:rsid w:val="00BB115A"/>
    <w:rsid w:val="00BB1A5C"/>
    <w:rsid w:val="00BB1CCC"/>
    <w:rsid w:val="00BB21AA"/>
    <w:rsid w:val="00BB24DB"/>
    <w:rsid w:val="00BB24FE"/>
    <w:rsid w:val="00BB2777"/>
    <w:rsid w:val="00BB2A1B"/>
    <w:rsid w:val="00BB2D69"/>
    <w:rsid w:val="00BB3F8B"/>
    <w:rsid w:val="00BB429F"/>
    <w:rsid w:val="00BB45B7"/>
    <w:rsid w:val="00BB51AE"/>
    <w:rsid w:val="00BB5BE7"/>
    <w:rsid w:val="00BB6025"/>
    <w:rsid w:val="00BB624A"/>
    <w:rsid w:val="00BB63B6"/>
    <w:rsid w:val="00BB64E2"/>
    <w:rsid w:val="00BB653D"/>
    <w:rsid w:val="00BB6A29"/>
    <w:rsid w:val="00BB6E1A"/>
    <w:rsid w:val="00BB731C"/>
    <w:rsid w:val="00BC0016"/>
    <w:rsid w:val="00BC0399"/>
    <w:rsid w:val="00BC0D47"/>
    <w:rsid w:val="00BC1223"/>
    <w:rsid w:val="00BC1278"/>
    <w:rsid w:val="00BC153B"/>
    <w:rsid w:val="00BC1791"/>
    <w:rsid w:val="00BC1DCC"/>
    <w:rsid w:val="00BC2582"/>
    <w:rsid w:val="00BC28E9"/>
    <w:rsid w:val="00BC2C71"/>
    <w:rsid w:val="00BC348F"/>
    <w:rsid w:val="00BC36CF"/>
    <w:rsid w:val="00BC3764"/>
    <w:rsid w:val="00BC39F8"/>
    <w:rsid w:val="00BC3BA2"/>
    <w:rsid w:val="00BC3CC1"/>
    <w:rsid w:val="00BC47F7"/>
    <w:rsid w:val="00BC4808"/>
    <w:rsid w:val="00BC490A"/>
    <w:rsid w:val="00BC4A08"/>
    <w:rsid w:val="00BC4CE5"/>
    <w:rsid w:val="00BC4CF2"/>
    <w:rsid w:val="00BC4D7B"/>
    <w:rsid w:val="00BC607E"/>
    <w:rsid w:val="00BC637E"/>
    <w:rsid w:val="00BC6401"/>
    <w:rsid w:val="00BC651F"/>
    <w:rsid w:val="00BC6901"/>
    <w:rsid w:val="00BC6A9D"/>
    <w:rsid w:val="00BC6F0A"/>
    <w:rsid w:val="00BC6FD6"/>
    <w:rsid w:val="00BC71B8"/>
    <w:rsid w:val="00BC76B8"/>
    <w:rsid w:val="00BD0A4C"/>
    <w:rsid w:val="00BD0D7D"/>
    <w:rsid w:val="00BD0D96"/>
    <w:rsid w:val="00BD12C4"/>
    <w:rsid w:val="00BD1929"/>
    <w:rsid w:val="00BD1EAB"/>
    <w:rsid w:val="00BD2465"/>
    <w:rsid w:val="00BD27E4"/>
    <w:rsid w:val="00BD2DF0"/>
    <w:rsid w:val="00BD31F3"/>
    <w:rsid w:val="00BD3ABB"/>
    <w:rsid w:val="00BD3EAE"/>
    <w:rsid w:val="00BD44C2"/>
    <w:rsid w:val="00BD490F"/>
    <w:rsid w:val="00BD4AA1"/>
    <w:rsid w:val="00BD55C2"/>
    <w:rsid w:val="00BD5716"/>
    <w:rsid w:val="00BD59A6"/>
    <w:rsid w:val="00BD59AA"/>
    <w:rsid w:val="00BD5C11"/>
    <w:rsid w:val="00BD5C90"/>
    <w:rsid w:val="00BD5CD1"/>
    <w:rsid w:val="00BD60F0"/>
    <w:rsid w:val="00BD677F"/>
    <w:rsid w:val="00BD6DA7"/>
    <w:rsid w:val="00BD6EF0"/>
    <w:rsid w:val="00BD6F0B"/>
    <w:rsid w:val="00BD7081"/>
    <w:rsid w:val="00BD718A"/>
    <w:rsid w:val="00BD728B"/>
    <w:rsid w:val="00BD761F"/>
    <w:rsid w:val="00BD76EA"/>
    <w:rsid w:val="00BD78A0"/>
    <w:rsid w:val="00BE06B6"/>
    <w:rsid w:val="00BE06E8"/>
    <w:rsid w:val="00BE0BE3"/>
    <w:rsid w:val="00BE12F5"/>
    <w:rsid w:val="00BE14F6"/>
    <w:rsid w:val="00BE15A9"/>
    <w:rsid w:val="00BE1669"/>
    <w:rsid w:val="00BE18D4"/>
    <w:rsid w:val="00BE1BA1"/>
    <w:rsid w:val="00BE27F2"/>
    <w:rsid w:val="00BE290C"/>
    <w:rsid w:val="00BE2963"/>
    <w:rsid w:val="00BE319B"/>
    <w:rsid w:val="00BE3619"/>
    <w:rsid w:val="00BE3B0F"/>
    <w:rsid w:val="00BE4068"/>
    <w:rsid w:val="00BE4A38"/>
    <w:rsid w:val="00BE4C8B"/>
    <w:rsid w:val="00BE5A1D"/>
    <w:rsid w:val="00BE5D38"/>
    <w:rsid w:val="00BE5DDA"/>
    <w:rsid w:val="00BE621A"/>
    <w:rsid w:val="00BE670A"/>
    <w:rsid w:val="00BE6B8C"/>
    <w:rsid w:val="00BE6BCE"/>
    <w:rsid w:val="00BE6D6C"/>
    <w:rsid w:val="00BE6DC1"/>
    <w:rsid w:val="00BE72D2"/>
    <w:rsid w:val="00BE72D4"/>
    <w:rsid w:val="00BE7433"/>
    <w:rsid w:val="00BE7618"/>
    <w:rsid w:val="00BE79AB"/>
    <w:rsid w:val="00BE7AFB"/>
    <w:rsid w:val="00BF06B6"/>
    <w:rsid w:val="00BF0A8D"/>
    <w:rsid w:val="00BF0C1D"/>
    <w:rsid w:val="00BF0E00"/>
    <w:rsid w:val="00BF133B"/>
    <w:rsid w:val="00BF1937"/>
    <w:rsid w:val="00BF1A02"/>
    <w:rsid w:val="00BF1A9C"/>
    <w:rsid w:val="00BF1AB6"/>
    <w:rsid w:val="00BF1C3C"/>
    <w:rsid w:val="00BF1FA4"/>
    <w:rsid w:val="00BF2309"/>
    <w:rsid w:val="00BF2597"/>
    <w:rsid w:val="00BF337F"/>
    <w:rsid w:val="00BF380D"/>
    <w:rsid w:val="00BF3867"/>
    <w:rsid w:val="00BF4122"/>
    <w:rsid w:val="00BF41E2"/>
    <w:rsid w:val="00BF4910"/>
    <w:rsid w:val="00BF4E4A"/>
    <w:rsid w:val="00BF5399"/>
    <w:rsid w:val="00BF57D7"/>
    <w:rsid w:val="00BF5E79"/>
    <w:rsid w:val="00BF648C"/>
    <w:rsid w:val="00BF7B16"/>
    <w:rsid w:val="00BF7BBC"/>
    <w:rsid w:val="00BF7C02"/>
    <w:rsid w:val="00BF7C26"/>
    <w:rsid w:val="00C00877"/>
    <w:rsid w:val="00C00BF6"/>
    <w:rsid w:val="00C011A5"/>
    <w:rsid w:val="00C011B1"/>
    <w:rsid w:val="00C011E4"/>
    <w:rsid w:val="00C011EC"/>
    <w:rsid w:val="00C01C82"/>
    <w:rsid w:val="00C01CC5"/>
    <w:rsid w:val="00C01CF9"/>
    <w:rsid w:val="00C01DEF"/>
    <w:rsid w:val="00C01E8D"/>
    <w:rsid w:val="00C020AC"/>
    <w:rsid w:val="00C02954"/>
    <w:rsid w:val="00C02AEA"/>
    <w:rsid w:val="00C03037"/>
    <w:rsid w:val="00C031A5"/>
    <w:rsid w:val="00C03262"/>
    <w:rsid w:val="00C034BB"/>
    <w:rsid w:val="00C034F9"/>
    <w:rsid w:val="00C0368E"/>
    <w:rsid w:val="00C03788"/>
    <w:rsid w:val="00C03AC7"/>
    <w:rsid w:val="00C03D25"/>
    <w:rsid w:val="00C040CF"/>
    <w:rsid w:val="00C0422F"/>
    <w:rsid w:val="00C04588"/>
    <w:rsid w:val="00C046E0"/>
    <w:rsid w:val="00C046EE"/>
    <w:rsid w:val="00C0475C"/>
    <w:rsid w:val="00C04D2A"/>
    <w:rsid w:val="00C0514C"/>
    <w:rsid w:val="00C05298"/>
    <w:rsid w:val="00C054D6"/>
    <w:rsid w:val="00C055A5"/>
    <w:rsid w:val="00C05695"/>
    <w:rsid w:val="00C05D41"/>
    <w:rsid w:val="00C05FAF"/>
    <w:rsid w:val="00C061A5"/>
    <w:rsid w:val="00C064D4"/>
    <w:rsid w:val="00C07572"/>
    <w:rsid w:val="00C0786D"/>
    <w:rsid w:val="00C07FC7"/>
    <w:rsid w:val="00C10FEB"/>
    <w:rsid w:val="00C11239"/>
    <w:rsid w:val="00C1176E"/>
    <w:rsid w:val="00C119CC"/>
    <w:rsid w:val="00C11CE5"/>
    <w:rsid w:val="00C11E5F"/>
    <w:rsid w:val="00C127B2"/>
    <w:rsid w:val="00C12E50"/>
    <w:rsid w:val="00C133B1"/>
    <w:rsid w:val="00C133C1"/>
    <w:rsid w:val="00C1381E"/>
    <w:rsid w:val="00C13858"/>
    <w:rsid w:val="00C1394A"/>
    <w:rsid w:val="00C13DB9"/>
    <w:rsid w:val="00C13F70"/>
    <w:rsid w:val="00C14423"/>
    <w:rsid w:val="00C14E00"/>
    <w:rsid w:val="00C15627"/>
    <w:rsid w:val="00C15696"/>
    <w:rsid w:val="00C1588C"/>
    <w:rsid w:val="00C15932"/>
    <w:rsid w:val="00C15A5A"/>
    <w:rsid w:val="00C15F19"/>
    <w:rsid w:val="00C1624A"/>
    <w:rsid w:val="00C16A8B"/>
    <w:rsid w:val="00C17519"/>
    <w:rsid w:val="00C1790D"/>
    <w:rsid w:val="00C17919"/>
    <w:rsid w:val="00C179FB"/>
    <w:rsid w:val="00C17C6C"/>
    <w:rsid w:val="00C17F4D"/>
    <w:rsid w:val="00C20121"/>
    <w:rsid w:val="00C202FA"/>
    <w:rsid w:val="00C208FE"/>
    <w:rsid w:val="00C20BFC"/>
    <w:rsid w:val="00C20FA0"/>
    <w:rsid w:val="00C2260B"/>
    <w:rsid w:val="00C22F97"/>
    <w:rsid w:val="00C22FA7"/>
    <w:rsid w:val="00C23113"/>
    <w:rsid w:val="00C23158"/>
    <w:rsid w:val="00C23666"/>
    <w:rsid w:val="00C24067"/>
    <w:rsid w:val="00C2406D"/>
    <w:rsid w:val="00C241B3"/>
    <w:rsid w:val="00C24E68"/>
    <w:rsid w:val="00C255D8"/>
    <w:rsid w:val="00C256D8"/>
    <w:rsid w:val="00C2572B"/>
    <w:rsid w:val="00C259B2"/>
    <w:rsid w:val="00C25AC1"/>
    <w:rsid w:val="00C2616C"/>
    <w:rsid w:val="00C2656D"/>
    <w:rsid w:val="00C26E51"/>
    <w:rsid w:val="00C272A8"/>
    <w:rsid w:val="00C273F9"/>
    <w:rsid w:val="00C27DB6"/>
    <w:rsid w:val="00C30029"/>
    <w:rsid w:val="00C3042A"/>
    <w:rsid w:val="00C3065B"/>
    <w:rsid w:val="00C30662"/>
    <w:rsid w:val="00C306EF"/>
    <w:rsid w:val="00C30DA4"/>
    <w:rsid w:val="00C3123C"/>
    <w:rsid w:val="00C314C5"/>
    <w:rsid w:val="00C315D6"/>
    <w:rsid w:val="00C316B1"/>
    <w:rsid w:val="00C31F2E"/>
    <w:rsid w:val="00C31FCB"/>
    <w:rsid w:val="00C3217F"/>
    <w:rsid w:val="00C3234E"/>
    <w:rsid w:val="00C32473"/>
    <w:rsid w:val="00C32771"/>
    <w:rsid w:val="00C32981"/>
    <w:rsid w:val="00C32D0D"/>
    <w:rsid w:val="00C32E2F"/>
    <w:rsid w:val="00C32E35"/>
    <w:rsid w:val="00C336A0"/>
    <w:rsid w:val="00C337F5"/>
    <w:rsid w:val="00C33A95"/>
    <w:rsid w:val="00C33F24"/>
    <w:rsid w:val="00C33FD7"/>
    <w:rsid w:val="00C33FF1"/>
    <w:rsid w:val="00C34B4F"/>
    <w:rsid w:val="00C34DA4"/>
    <w:rsid w:val="00C34DBA"/>
    <w:rsid w:val="00C34F52"/>
    <w:rsid w:val="00C3515C"/>
    <w:rsid w:val="00C353C6"/>
    <w:rsid w:val="00C35B4B"/>
    <w:rsid w:val="00C35C36"/>
    <w:rsid w:val="00C35F16"/>
    <w:rsid w:val="00C36277"/>
    <w:rsid w:val="00C36907"/>
    <w:rsid w:val="00C37450"/>
    <w:rsid w:val="00C374B9"/>
    <w:rsid w:val="00C37827"/>
    <w:rsid w:val="00C37894"/>
    <w:rsid w:val="00C41021"/>
    <w:rsid w:val="00C41315"/>
    <w:rsid w:val="00C4144B"/>
    <w:rsid w:val="00C4144E"/>
    <w:rsid w:val="00C415D1"/>
    <w:rsid w:val="00C41937"/>
    <w:rsid w:val="00C41DC4"/>
    <w:rsid w:val="00C41F79"/>
    <w:rsid w:val="00C420D9"/>
    <w:rsid w:val="00C42249"/>
    <w:rsid w:val="00C42525"/>
    <w:rsid w:val="00C430F1"/>
    <w:rsid w:val="00C43331"/>
    <w:rsid w:val="00C4391C"/>
    <w:rsid w:val="00C43B8C"/>
    <w:rsid w:val="00C4407C"/>
    <w:rsid w:val="00C4439D"/>
    <w:rsid w:val="00C443CA"/>
    <w:rsid w:val="00C44643"/>
    <w:rsid w:val="00C44B84"/>
    <w:rsid w:val="00C44BBE"/>
    <w:rsid w:val="00C44C55"/>
    <w:rsid w:val="00C450D9"/>
    <w:rsid w:val="00C45917"/>
    <w:rsid w:val="00C45C22"/>
    <w:rsid w:val="00C45D1F"/>
    <w:rsid w:val="00C46448"/>
    <w:rsid w:val="00C4652B"/>
    <w:rsid w:val="00C46605"/>
    <w:rsid w:val="00C46662"/>
    <w:rsid w:val="00C466BC"/>
    <w:rsid w:val="00C467ED"/>
    <w:rsid w:val="00C46866"/>
    <w:rsid w:val="00C469F0"/>
    <w:rsid w:val="00C46E53"/>
    <w:rsid w:val="00C46F20"/>
    <w:rsid w:val="00C4705F"/>
    <w:rsid w:val="00C47207"/>
    <w:rsid w:val="00C473F7"/>
    <w:rsid w:val="00C476CC"/>
    <w:rsid w:val="00C47864"/>
    <w:rsid w:val="00C50190"/>
    <w:rsid w:val="00C501B3"/>
    <w:rsid w:val="00C502F9"/>
    <w:rsid w:val="00C50307"/>
    <w:rsid w:val="00C5044E"/>
    <w:rsid w:val="00C50646"/>
    <w:rsid w:val="00C508ED"/>
    <w:rsid w:val="00C50ACB"/>
    <w:rsid w:val="00C50C36"/>
    <w:rsid w:val="00C50C44"/>
    <w:rsid w:val="00C511E1"/>
    <w:rsid w:val="00C5176A"/>
    <w:rsid w:val="00C5188E"/>
    <w:rsid w:val="00C5191D"/>
    <w:rsid w:val="00C51F95"/>
    <w:rsid w:val="00C5208F"/>
    <w:rsid w:val="00C5222E"/>
    <w:rsid w:val="00C5247E"/>
    <w:rsid w:val="00C52F7E"/>
    <w:rsid w:val="00C537A0"/>
    <w:rsid w:val="00C53913"/>
    <w:rsid w:val="00C53BB9"/>
    <w:rsid w:val="00C53EA4"/>
    <w:rsid w:val="00C547C3"/>
    <w:rsid w:val="00C550F7"/>
    <w:rsid w:val="00C553D5"/>
    <w:rsid w:val="00C55BC6"/>
    <w:rsid w:val="00C55FCD"/>
    <w:rsid w:val="00C5625F"/>
    <w:rsid w:val="00C5636F"/>
    <w:rsid w:val="00C568D5"/>
    <w:rsid w:val="00C57248"/>
    <w:rsid w:val="00C57595"/>
    <w:rsid w:val="00C57852"/>
    <w:rsid w:val="00C6021D"/>
    <w:rsid w:val="00C603C5"/>
    <w:rsid w:val="00C60B1F"/>
    <w:rsid w:val="00C60D71"/>
    <w:rsid w:val="00C60D8F"/>
    <w:rsid w:val="00C60E2A"/>
    <w:rsid w:val="00C60E31"/>
    <w:rsid w:val="00C610AB"/>
    <w:rsid w:val="00C6145A"/>
    <w:rsid w:val="00C61CDA"/>
    <w:rsid w:val="00C621D4"/>
    <w:rsid w:val="00C621F6"/>
    <w:rsid w:val="00C623C1"/>
    <w:rsid w:val="00C6279E"/>
    <w:rsid w:val="00C6294E"/>
    <w:rsid w:val="00C62EA3"/>
    <w:rsid w:val="00C635E0"/>
    <w:rsid w:val="00C63701"/>
    <w:rsid w:val="00C63A69"/>
    <w:rsid w:val="00C63A94"/>
    <w:rsid w:val="00C63B07"/>
    <w:rsid w:val="00C647C5"/>
    <w:rsid w:val="00C64989"/>
    <w:rsid w:val="00C6558A"/>
    <w:rsid w:val="00C659F9"/>
    <w:rsid w:val="00C65D21"/>
    <w:rsid w:val="00C65FDD"/>
    <w:rsid w:val="00C662DB"/>
    <w:rsid w:val="00C66666"/>
    <w:rsid w:val="00C66669"/>
    <w:rsid w:val="00C66DE2"/>
    <w:rsid w:val="00C66E87"/>
    <w:rsid w:val="00C6730B"/>
    <w:rsid w:val="00C67DE5"/>
    <w:rsid w:val="00C70743"/>
    <w:rsid w:val="00C70884"/>
    <w:rsid w:val="00C708E3"/>
    <w:rsid w:val="00C709B9"/>
    <w:rsid w:val="00C70DF7"/>
    <w:rsid w:val="00C70EF3"/>
    <w:rsid w:val="00C711AB"/>
    <w:rsid w:val="00C71469"/>
    <w:rsid w:val="00C717E7"/>
    <w:rsid w:val="00C71CA4"/>
    <w:rsid w:val="00C725D8"/>
    <w:rsid w:val="00C72A4D"/>
    <w:rsid w:val="00C7306C"/>
    <w:rsid w:val="00C733ED"/>
    <w:rsid w:val="00C735CC"/>
    <w:rsid w:val="00C7390B"/>
    <w:rsid w:val="00C739A6"/>
    <w:rsid w:val="00C739FC"/>
    <w:rsid w:val="00C739FF"/>
    <w:rsid w:val="00C73AF8"/>
    <w:rsid w:val="00C74A34"/>
    <w:rsid w:val="00C7537A"/>
    <w:rsid w:val="00C75665"/>
    <w:rsid w:val="00C75E90"/>
    <w:rsid w:val="00C761BD"/>
    <w:rsid w:val="00C761BE"/>
    <w:rsid w:val="00C762F4"/>
    <w:rsid w:val="00C763E3"/>
    <w:rsid w:val="00C7657E"/>
    <w:rsid w:val="00C766EE"/>
    <w:rsid w:val="00C769DC"/>
    <w:rsid w:val="00C76FF2"/>
    <w:rsid w:val="00C7702F"/>
    <w:rsid w:val="00C77054"/>
    <w:rsid w:val="00C77222"/>
    <w:rsid w:val="00C77EF6"/>
    <w:rsid w:val="00C80278"/>
    <w:rsid w:val="00C808EC"/>
    <w:rsid w:val="00C80A5B"/>
    <w:rsid w:val="00C80A9E"/>
    <w:rsid w:val="00C80D20"/>
    <w:rsid w:val="00C8151C"/>
    <w:rsid w:val="00C8155D"/>
    <w:rsid w:val="00C817C3"/>
    <w:rsid w:val="00C81848"/>
    <w:rsid w:val="00C81E75"/>
    <w:rsid w:val="00C81EB1"/>
    <w:rsid w:val="00C82012"/>
    <w:rsid w:val="00C82387"/>
    <w:rsid w:val="00C82548"/>
    <w:rsid w:val="00C828BA"/>
    <w:rsid w:val="00C82990"/>
    <w:rsid w:val="00C82D95"/>
    <w:rsid w:val="00C835CD"/>
    <w:rsid w:val="00C83787"/>
    <w:rsid w:val="00C8394C"/>
    <w:rsid w:val="00C83C6D"/>
    <w:rsid w:val="00C84400"/>
    <w:rsid w:val="00C8443D"/>
    <w:rsid w:val="00C845E7"/>
    <w:rsid w:val="00C84CDA"/>
    <w:rsid w:val="00C85352"/>
    <w:rsid w:val="00C85938"/>
    <w:rsid w:val="00C860B6"/>
    <w:rsid w:val="00C86B6D"/>
    <w:rsid w:val="00C86EC5"/>
    <w:rsid w:val="00C87072"/>
    <w:rsid w:val="00C870C0"/>
    <w:rsid w:val="00C87E79"/>
    <w:rsid w:val="00C87FCB"/>
    <w:rsid w:val="00C90123"/>
    <w:rsid w:val="00C9022E"/>
    <w:rsid w:val="00C90244"/>
    <w:rsid w:val="00C902C5"/>
    <w:rsid w:val="00C902E5"/>
    <w:rsid w:val="00C903EE"/>
    <w:rsid w:val="00C905F6"/>
    <w:rsid w:val="00C9097A"/>
    <w:rsid w:val="00C9104E"/>
    <w:rsid w:val="00C91554"/>
    <w:rsid w:val="00C91770"/>
    <w:rsid w:val="00C91884"/>
    <w:rsid w:val="00C91F7F"/>
    <w:rsid w:val="00C9218E"/>
    <w:rsid w:val="00C922BB"/>
    <w:rsid w:val="00C927F3"/>
    <w:rsid w:val="00C9308C"/>
    <w:rsid w:val="00C93FDC"/>
    <w:rsid w:val="00C946AC"/>
    <w:rsid w:val="00C95099"/>
    <w:rsid w:val="00C951CA"/>
    <w:rsid w:val="00C95518"/>
    <w:rsid w:val="00C955D2"/>
    <w:rsid w:val="00C95866"/>
    <w:rsid w:val="00C96D33"/>
    <w:rsid w:val="00C96DA8"/>
    <w:rsid w:val="00C96FB2"/>
    <w:rsid w:val="00C97137"/>
    <w:rsid w:val="00C972E0"/>
    <w:rsid w:val="00C972FE"/>
    <w:rsid w:val="00C976C5"/>
    <w:rsid w:val="00C97A1B"/>
    <w:rsid w:val="00CA02CE"/>
    <w:rsid w:val="00CA02CF"/>
    <w:rsid w:val="00CA03EC"/>
    <w:rsid w:val="00CA0984"/>
    <w:rsid w:val="00CA0AC9"/>
    <w:rsid w:val="00CA128F"/>
    <w:rsid w:val="00CA1C89"/>
    <w:rsid w:val="00CA1E33"/>
    <w:rsid w:val="00CA1ED3"/>
    <w:rsid w:val="00CA2AFD"/>
    <w:rsid w:val="00CA2C66"/>
    <w:rsid w:val="00CA2E00"/>
    <w:rsid w:val="00CA3558"/>
    <w:rsid w:val="00CA3950"/>
    <w:rsid w:val="00CA3A6C"/>
    <w:rsid w:val="00CA3B6B"/>
    <w:rsid w:val="00CA3CB8"/>
    <w:rsid w:val="00CA42E1"/>
    <w:rsid w:val="00CA4BB7"/>
    <w:rsid w:val="00CA4D0F"/>
    <w:rsid w:val="00CA5EBA"/>
    <w:rsid w:val="00CA5F70"/>
    <w:rsid w:val="00CA6488"/>
    <w:rsid w:val="00CA64CB"/>
    <w:rsid w:val="00CA6799"/>
    <w:rsid w:val="00CA69C5"/>
    <w:rsid w:val="00CA6A66"/>
    <w:rsid w:val="00CA6B8F"/>
    <w:rsid w:val="00CA6BD2"/>
    <w:rsid w:val="00CA6C49"/>
    <w:rsid w:val="00CA6CC0"/>
    <w:rsid w:val="00CA7CB0"/>
    <w:rsid w:val="00CA7E94"/>
    <w:rsid w:val="00CA7EAF"/>
    <w:rsid w:val="00CB01D3"/>
    <w:rsid w:val="00CB0465"/>
    <w:rsid w:val="00CB04F1"/>
    <w:rsid w:val="00CB0918"/>
    <w:rsid w:val="00CB0E4C"/>
    <w:rsid w:val="00CB1154"/>
    <w:rsid w:val="00CB18E2"/>
    <w:rsid w:val="00CB266C"/>
    <w:rsid w:val="00CB2789"/>
    <w:rsid w:val="00CB2827"/>
    <w:rsid w:val="00CB2A8C"/>
    <w:rsid w:val="00CB2C72"/>
    <w:rsid w:val="00CB2EA9"/>
    <w:rsid w:val="00CB2FD6"/>
    <w:rsid w:val="00CB3124"/>
    <w:rsid w:val="00CB3DB0"/>
    <w:rsid w:val="00CB3F6E"/>
    <w:rsid w:val="00CB4950"/>
    <w:rsid w:val="00CB4A0E"/>
    <w:rsid w:val="00CB4C8C"/>
    <w:rsid w:val="00CB4FA4"/>
    <w:rsid w:val="00CB55D5"/>
    <w:rsid w:val="00CB5DEA"/>
    <w:rsid w:val="00CB6269"/>
    <w:rsid w:val="00CB62F1"/>
    <w:rsid w:val="00CB6344"/>
    <w:rsid w:val="00CB66DE"/>
    <w:rsid w:val="00CB67C5"/>
    <w:rsid w:val="00CB6DA0"/>
    <w:rsid w:val="00CB6FC5"/>
    <w:rsid w:val="00CB7B12"/>
    <w:rsid w:val="00CB7C0A"/>
    <w:rsid w:val="00CB7CB1"/>
    <w:rsid w:val="00CC0827"/>
    <w:rsid w:val="00CC0AB9"/>
    <w:rsid w:val="00CC0CA3"/>
    <w:rsid w:val="00CC112F"/>
    <w:rsid w:val="00CC1466"/>
    <w:rsid w:val="00CC15E9"/>
    <w:rsid w:val="00CC19B8"/>
    <w:rsid w:val="00CC1B9B"/>
    <w:rsid w:val="00CC22BF"/>
    <w:rsid w:val="00CC2BB1"/>
    <w:rsid w:val="00CC2DE3"/>
    <w:rsid w:val="00CC34BB"/>
    <w:rsid w:val="00CC3E5D"/>
    <w:rsid w:val="00CC4261"/>
    <w:rsid w:val="00CC44A5"/>
    <w:rsid w:val="00CC50DB"/>
    <w:rsid w:val="00CC53D9"/>
    <w:rsid w:val="00CC74F6"/>
    <w:rsid w:val="00CD003F"/>
    <w:rsid w:val="00CD021E"/>
    <w:rsid w:val="00CD03EC"/>
    <w:rsid w:val="00CD072C"/>
    <w:rsid w:val="00CD087F"/>
    <w:rsid w:val="00CD0892"/>
    <w:rsid w:val="00CD0DE6"/>
    <w:rsid w:val="00CD1C33"/>
    <w:rsid w:val="00CD23C6"/>
    <w:rsid w:val="00CD27BA"/>
    <w:rsid w:val="00CD2944"/>
    <w:rsid w:val="00CD2B5B"/>
    <w:rsid w:val="00CD2DA6"/>
    <w:rsid w:val="00CD2FF2"/>
    <w:rsid w:val="00CD311C"/>
    <w:rsid w:val="00CD32F4"/>
    <w:rsid w:val="00CD3362"/>
    <w:rsid w:val="00CD33AD"/>
    <w:rsid w:val="00CD3806"/>
    <w:rsid w:val="00CD408D"/>
    <w:rsid w:val="00CD4120"/>
    <w:rsid w:val="00CD412E"/>
    <w:rsid w:val="00CD442C"/>
    <w:rsid w:val="00CD48EC"/>
    <w:rsid w:val="00CD4AA5"/>
    <w:rsid w:val="00CD5201"/>
    <w:rsid w:val="00CD5537"/>
    <w:rsid w:val="00CD5682"/>
    <w:rsid w:val="00CD66B3"/>
    <w:rsid w:val="00CD6825"/>
    <w:rsid w:val="00CD6DFF"/>
    <w:rsid w:val="00CD6FAE"/>
    <w:rsid w:val="00CE0076"/>
    <w:rsid w:val="00CE00B5"/>
    <w:rsid w:val="00CE00B7"/>
    <w:rsid w:val="00CE01A8"/>
    <w:rsid w:val="00CE024F"/>
    <w:rsid w:val="00CE06C4"/>
    <w:rsid w:val="00CE0752"/>
    <w:rsid w:val="00CE0962"/>
    <w:rsid w:val="00CE0CA4"/>
    <w:rsid w:val="00CE16BE"/>
    <w:rsid w:val="00CE1774"/>
    <w:rsid w:val="00CE1957"/>
    <w:rsid w:val="00CE1977"/>
    <w:rsid w:val="00CE202D"/>
    <w:rsid w:val="00CE230F"/>
    <w:rsid w:val="00CE2C1E"/>
    <w:rsid w:val="00CE3531"/>
    <w:rsid w:val="00CE3F0B"/>
    <w:rsid w:val="00CE3F94"/>
    <w:rsid w:val="00CE4C99"/>
    <w:rsid w:val="00CE4DCA"/>
    <w:rsid w:val="00CE4DEC"/>
    <w:rsid w:val="00CE5093"/>
    <w:rsid w:val="00CE55D9"/>
    <w:rsid w:val="00CE57A1"/>
    <w:rsid w:val="00CE6002"/>
    <w:rsid w:val="00CE60CA"/>
    <w:rsid w:val="00CE613A"/>
    <w:rsid w:val="00CE6CB6"/>
    <w:rsid w:val="00CE6FBA"/>
    <w:rsid w:val="00CE7321"/>
    <w:rsid w:val="00CE741B"/>
    <w:rsid w:val="00CE7733"/>
    <w:rsid w:val="00CE78C1"/>
    <w:rsid w:val="00CE78D7"/>
    <w:rsid w:val="00CE7CF2"/>
    <w:rsid w:val="00CF0112"/>
    <w:rsid w:val="00CF02FE"/>
    <w:rsid w:val="00CF0788"/>
    <w:rsid w:val="00CF0A9D"/>
    <w:rsid w:val="00CF0D15"/>
    <w:rsid w:val="00CF0D7F"/>
    <w:rsid w:val="00CF0EA2"/>
    <w:rsid w:val="00CF0ED8"/>
    <w:rsid w:val="00CF0F4D"/>
    <w:rsid w:val="00CF11B0"/>
    <w:rsid w:val="00CF134F"/>
    <w:rsid w:val="00CF13CC"/>
    <w:rsid w:val="00CF1788"/>
    <w:rsid w:val="00CF17A6"/>
    <w:rsid w:val="00CF18BA"/>
    <w:rsid w:val="00CF1E64"/>
    <w:rsid w:val="00CF224B"/>
    <w:rsid w:val="00CF2503"/>
    <w:rsid w:val="00CF2889"/>
    <w:rsid w:val="00CF2A7D"/>
    <w:rsid w:val="00CF2C08"/>
    <w:rsid w:val="00CF2C65"/>
    <w:rsid w:val="00CF2CA9"/>
    <w:rsid w:val="00CF2E0D"/>
    <w:rsid w:val="00CF324E"/>
    <w:rsid w:val="00CF3934"/>
    <w:rsid w:val="00CF3986"/>
    <w:rsid w:val="00CF39E8"/>
    <w:rsid w:val="00CF3A14"/>
    <w:rsid w:val="00CF3BC8"/>
    <w:rsid w:val="00CF42AF"/>
    <w:rsid w:val="00CF43BA"/>
    <w:rsid w:val="00CF44F4"/>
    <w:rsid w:val="00CF450C"/>
    <w:rsid w:val="00CF472B"/>
    <w:rsid w:val="00CF51DE"/>
    <w:rsid w:val="00CF56B7"/>
    <w:rsid w:val="00CF56D5"/>
    <w:rsid w:val="00CF581C"/>
    <w:rsid w:val="00CF5CAA"/>
    <w:rsid w:val="00CF5F3A"/>
    <w:rsid w:val="00CF6318"/>
    <w:rsid w:val="00CF647F"/>
    <w:rsid w:val="00CF6E1B"/>
    <w:rsid w:val="00CF6FF1"/>
    <w:rsid w:val="00CF702F"/>
    <w:rsid w:val="00CF7075"/>
    <w:rsid w:val="00CF724E"/>
    <w:rsid w:val="00CF75A4"/>
    <w:rsid w:val="00CF773E"/>
    <w:rsid w:val="00CF7757"/>
    <w:rsid w:val="00CF7C54"/>
    <w:rsid w:val="00CF7D1F"/>
    <w:rsid w:val="00D000F1"/>
    <w:rsid w:val="00D00297"/>
    <w:rsid w:val="00D0081E"/>
    <w:rsid w:val="00D00C46"/>
    <w:rsid w:val="00D010A1"/>
    <w:rsid w:val="00D013D0"/>
    <w:rsid w:val="00D0148E"/>
    <w:rsid w:val="00D01491"/>
    <w:rsid w:val="00D014BC"/>
    <w:rsid w:val="00D0181A"/>
    <w:rsid w:val="00D01FC6"/>
    <w:rsid w:val="00D02280"/>
    <w:rsid w:val="00D0248A"/>
    <w:rsid w:val="00D025B4"/>
    <w:rsid w:val="00D02B3C"/>
    <w:rsid w:val="00D038AC"/>
    <w:rsid w:val="00D03A90"/>
    <w:rsid w:val="00D03E66"/>
    <w:rsid w:val="00D0403D"/>
    <w:rsid w:val="00D04E3E"/>
    <w:rsid w:val="00D05196"/>
    <w:rsid w:val="00D052D5"/>
    <w:rsid w:val="00D05E6C"/>
    <w:rsid w:val="00D062D0"/>
    <w:rsid w:val="00D06335"/>
    <w:rsid w:val="00D06A58"/>
    <w:rsid w:val="00D076B1"/>
    <w:rsid w:val="00D078CA"/>
    <w:rsid w:val="00D07B7A"/>
    <w:rsid w:val="00D07DF8"/>
    <w:rsid w:val="00D07EE1"/>
    <w:rsid w:val="00D104F2"/>
    <w:rsid w:val="00D10645"/>
    <w:rsid w:val="00D10E41"/>
    <w:rsid w:val="00D111FB"/>
    <w:rsid w:val="00D11B16"/>
    <w:rsid w:val="00D12872"/>
    <w:rsid w:val="00D129EE"/>
    <w:rsid w:val="00D12FF9"/>
    <w:rsid w:val="00D132B2"/>
    <w:rsid w:val="00D136E5"/>
    <w:rsid w:val="00D13A0B"/>
    <w:rsid w:val="00D13D58"/>
    <w:rsid w:val="00D14922"/>
    <w:rsid w:val="00D14D14"/>
    <w:rsid w:val="00D14EB4"/>
    <w:rsid w:val="00D150AE"/>
    <w:rsid w:val="00D1540B"/>
    <w:rsid w:val="00D156F3"/>
    <w:rsid w:val="00D15796"/>
    <w:rsid w:val="00D159CF"/>
    <w:rsid w:val="00D15C52"/>
    <w:rsid w:val="00D16648"/>
    <w:rsid w:val="00D16B48"/>
    <w:rsid w:val="00D16BB4"/>
    <w:rsid w:val="00D16CE7"/>
    <w:rsid w:val="00D170D2"/>
    <w:rsid w:val="00D17228"/>
    <w:rsid w:val="00D1733C"/>
    <w:rsid w:val="00D1753D"/>
    <w:rsid w:val="00D17E7C"/>
    <w:rsid w:val="00D203D0"/>
    <w:rsid w:val="00D20966"/>
    <w:rsid w:val="00D20CDE"/>
    <w:rsid w:val="00D20DB8"/>
    <w:rsid w:val="00D21302"/>
    <w:rsid w:val="00D2167E"/>
    <w:rsid w:val="00D21C13"/>
    <w:rsid w:val="00D229CF"/>
    <w:rsid w:val="00D22BE6"/>
    <w:rsid w:val="00D22D56"/>
    <w:rsid w:val="00D23356"/>
    <w:rsid w:val="00D234C6"/>
    <w:rsid w:val="00D236FD"/>
    <w:rsid w:val="00D23AF3"/>
    <w:rsid w:val="00D23C83"/>
    <w:rsid w:val="00D23E16"/>
    <w:rsid w:val="00D23E40"/>
    <w:rsid w:val="00D2402E"/>
    <w:rsid w:val="00D242D2"/>
    <w:rsid w:val="00D24C6C"/>
    <w:rsid w:val="00D24D8E"/>
    <w:rsid w:val="00D24FD9"/>
    <w:rsid w:val="00D25395"/>
    <w:rsid w:val="00D25B96"/>
    <w:rsid w:val="00D260F4"/>
    <w:rsid w:val="00D27694"/>
    <w:rsid w:val="00D27F3B"/>
    <w:rsid w:val="00D30031"/>
    <w:rsid w:val="00D30799"/>
    <w:rsid w:val="00D3124C"/>
    <w:rsid w:val="00D31967"/>
    <w:rsid w:val="00D31DE7"/>
    <w:rsid w:val="00D32557"/>
    <w:rsid w:val="00D32F47"/>
    <w:rsid w:val="00D330A5"/>
    <w:rsid w:val="00D33121"/>
    <w:rsid w:val="00D33576"/>
    <w:rsid w:val="00D337C4"/>
    <w:rsid w:val="00D33A99"/>
    <w:rsid w:val="00D33BCB"/>
    <w:rsid w:val="00D33CE4"/>
    <w:rsid w:val="00D3479A"/>
    <w:rsid w:val="00D34A0E"/>
    <w:rsid w:val="00D34BBF"/>
    <w:rsid w:val="00D34E03"/>
    <w:rsid w:val="00D34E47"/>
    <w:rsid w:val="00D358F0"/>
    <w:rsid w:val="00D35CBE"/>
    <w:rsid w:val="00D368DE"/>
    <w:rsid w:val="00D36CFF"/>
    <w:rsid w:val="00D375EB"/>
    <w:rsid w:val="00D377B1"/>
    <w:rsid w:val="00D400A1"/>
    <w:rsid w:val="00D400C3"/>
    <w:rsid w:val="00D4051E"/>
    <w:rsid w:val="00D40ABC"/>
    <w:rsid w:val="00D40AF0"/>
    <w:rsid w:val="00D410F2"/>
    <w:rsid w:val="00D4169C"/>
    <w:rsid w:val="00D425AC"/>
    <w:rsid w:val="00D42871"/>
    <w:rsid w:val="00D42880"/>
    <w:rsid w:val="00D42F41"/>
    <w:rsid w:val="00D4302F"/>
    <w:rsid w:val="00D430C5"/>
    <w:rsid w:val="00D43176"/>
    <w:rsid w:val="00D43ABD"/>
    <w:rsid w:val="00D43D09"/>
    <w:rsid w:val="00D448EA"/>
    <w:rsid w:val="00D44CFD"/>
    <w:rsid w:val="00D44EC1"/>
    <w:rsid w:val="00D45D49"/>
    <w:rsid w:val="00D45EF7"/>
    <w:rsid w:val="00D45FB6"/>
    <w:rsid w:val="00D46304"/>
    <w:rsid w:val="00D46D2E"/>
    <w:rsid w:val="00D46FDC"/>
    <w:rsid w:val="00D47044"/>
    <w:rsid w:val="00D47EE2"/>
    <w:rsid w:val="00D50110"/>
    <w:rsid w:val="00D5046F"/>
    <w:rsid w:val="00D5078E"/>
    <w:rsid w:val="00D50CCB"/>
    <w:rsid w:val="00D511E6"/>
    <w:rsid w:val="00D513BC"/>
    <w:rsid w:val="00D5160C"/>
    <w:rsid w:val="00D516B9"/>
    <w:rsid w:val="00D521C5"/>
    <w:rsid w:val="00D522A3"/>
    <w:rsid w:val="00D5264F"/>
    <w:rsid w:val="00D526CA"/>
    <w:rsid w:val="00D528B8"/>
    <w:rsid w:val="00D52BCB"/>
    <w:rsid w:val="00D535C5"/>
    <w:rsid w:val="00D535F7"/>
    <w:rsid w:val="00D536C0"/>
    <w:rsid w:val="00D5400D"/>
    <w:rsid w:val="00D549A2"/>
    <w:rsid w:val="00D55016"/>
    <w:rsid w:val="00D55737"/>
    <w:rsid w:val="00D558B1"/>
    <w:rsid w:val="00D55A1B"/>
    <w:rsid w:val="00D55F0A"/>
    <w:rsid w:val="00D56055"/>
    <w:rsid w:val="00D56177"/>
    <w:rsid w:val="00D563D5"/>
    <w:rsid w:val="00D5673E"/>
    <w:rsid w:val="00D56B32"/>
    <w:rsid w:val="00D5745C"/>
    <w:rsid w:val="00D57466"/>
    <w:rsid w:val="00D576FB"/>
    <w:rsid w:val="00D578EC"/>
    <w:rsid w:val="00D60052"/>
    <w:rsid w:val="00D60261"/>
    <w:rsid w:val="00D6038E"/>
    <w:rsid w:val="00D605D4"/>
    <w:rsid w:val="00D60DA1"/>
    <w:rsid w:val="00D610C1"/>
    <w:rsid w:val="00D6149D"/>
    <w:rsid w:val="00D61D28"/>
    <w:rsid w:val="00D620C4"/>
    <w:rsid w:val="00D622BD"/>
    <w:rsid w:val="00D625E7"/>
    <w:rsid w:val="00D627F7"/>
    <w:rsid w:val="00D62B05"/>
    <w:rsid w:val="00D62FA1"/>
    <w:rsid w:val="00D6304D"/>
    <w:rsid w:val="00D63380"/>
    <w:rsid w:val="00D633AF"/>
    <w:rsid w:val="00D6360C"/>
    <w:rsid w:val="00D638FC"/>
    <w:rsid w:val="00D63978"/>
    <w:rsid w:val="00D63CA0"/>
    <w:rsid w:val="00D63CE4"/>
    <w:rsid w:val="00D63F75"/>
    <w:rsid w:val="00D640E6"/>
    <w:rsid w:val="00D64961"/>
    <w:rsid w:val="00D6510E"/>
    <w:rsid w:val="00D65371"/>
    <w:rsid w:val="00D6586C"/>
    <w:rsid w:val="00D6598B"/>
    <w:rsid w:val="00D659A4"/>
    <w:rsid w:val="00D66145"/>
    <w:rsid w:val="00D66A8A"/>
    <w:rsid w:val="00D66C1C"/>
    <w:rsid w:val="00D66F0E"/>
    <w:rsid w:val="00D67889"/>
    <w:rsid w:val="00D701B9"/>
    <w:rsid w:val="00D70333"/>
    <w:rsid w:val="00D70460"/>
    <w:rsid w:val="00D7104B"/>
    <w:rsid w:val="00D71280"/>
    <w:rsid w:val="00D71617"/>
    <w:rsid w:val="00D71EB0"/>
    <w:rsid w:val="00D722CF"/>
    <w:rsid w:val="00D72B52"/>
    <w:rsid w:val="00D72F11"/>
    <w:rsid w:val="00D7318B"/>
    <w:rsid w:val="00D73210"/>
    <w:rsid w:val="00D732C3"/>
    <w:rsid w:val="00D737DE"/>
    <w:rsid w:val="00D748E9"/>
    <w:rsid w:val="00D74BF2"/>
    <w:rsid w:val="00D75030"/>
    <w:rsid w:val="00D750A5"/>
    <w:rsid w:val="00D7511C"/>
    <w:rsid w:val="00D755E7"/>
    <w:rsid w:val="00D7587E"/>
    <w:rsid w:val="00D75D40"/>
    <w:rsid w:val="00D760C5"/>
    <w:rsid w:val="00D7695A"/>
    <w:rsid w:val="00D77649"/>
    <w:rsid w:val="00D7788C"/>
    <w:rsid w:val="00D779F9"/>
    <w:rsid w:val="00D77AF0"/>
    <w:rsid w:val="00D77DFF"/>
    <w:rsid w:val="00D80053"/>
    <w:rsid w:val="00D80337"/>
    <w:rsid w:val="00D80462"/>
    <w:rsid w:val="00D80670"/>
    <w:rsid w:val="00D807B7"/>
    <w:rsid w:val="00D8080B"/>
    <w:rsid w:val="00D80A4F"/>
    <w:rsid w:val="00D80BB3"/>
    <w:rsid w:val="00D80DD3"/>
    <w:rsid w:val="00D80E33"/>
    <w:rsid w:val="00D81386"/>
    <w:rsid w:val="00D81EC5"/>
    <w:rsid w:val="00D81F1F"/>
    <w:rsid w:val="00D8212C"/>
    <w:rsid w:val="00D824D5"/>
    <w:rsid w:val="00D827E2"/>
    <w:rsid w:val="00D82AB8"/>
    <w:rsid w:val="00D830A0"/>
    <w:rsid w:val="00D83912"/>
    <w:rsid w:val="00D84009"/>
    <w:rsid w:val="00D840BB"/>
    <w:rsid w:val="00D845A3"/>
    <w:rsid w:val="00D847F5"/>
    <w:rsid w:val="00D849DB"/>
    <w:rsid w:val="00D84B46"/>
    <w:rsid w:val="00D85210"/>
    <w:rsid w:val="00D86791"/>
    <w:rsid w:val="00D86A15"/>
    <w:rsid w:val="00D86B32"/>
    <w:rsid w:val="00D86CDD"/>
    <w:rsid w:val="00D86D62"/>
    <w:rsid w:val="00D86D91"/>
    <w:rsid w:val="00D873CC"/>
    <w:rsid w:val="00D8757F"/>
    <w:rsid w:val="00D876DD"/>
    <w:rsid w:val="00D87AA3"/>
    <w:rsid w:val="00D87ADC"/>
    <w:rsid w:val="00D87BEC"/>
    <w:rsid w:val="00D87E58"/>
    <w:rsid w:val="00D9006C"/>
    <w:rsid w:val="00D9024E"/>
    <w:rsid w:val="00D903F4"/>
    <w:rsid w:val="00D90D80"/>
    <w:rsid w:val="00D910D6"/>
    <w:rsid w:val="00D91386"/>
    <w:rsid w:val="00D922E7"/>
    <w:rsid w:val="00D9255F"/>
    <w:rsid w:val="00D92609"/>
    <w:rsid w:val="00D9266C"/>
    <w:rsid w:val="00D92E4A"/>
    <w:rsid w:val="00D93267"/>
    <w:rsid w:val="00D94257"/>
    <w:rsid w:val="00D94D1F"/>
    <w:rsid w:val="00D94DF7"/>
    <w:rsid w:val="00D9560C"/>
    <w:rsid w:val="00D95A82"/>
    <w:rsid w:val="00D9625F"/>
    <w:rsid w:val="00D963B5"/>
    <w:rsid w:val="00D96488"/>
    <w:rsid w:val="00D967C8"/>
    <w:rsid w:val="00D968CA"/>
    <w:rsid w:val="00D96B03"/>
    <w:rsid w:val="00D96D60"/>
    <w:rsid w:val="00D96DAA"/>
    <w:rsid w:val="00D9756E"/>
    <w:rsid w:val="00D976C2"/>
    <w:rsid w:val="00D97A49"/>
    <w:rsid w:val="00D97CDE"/>
    <w:rsid w:val="00D97DAB"/>
    <w:rsid w:val="00D97ED6"/>
    <w:rsid w:val="00DA0163"/>
    <w:rsid w:val="00DA098A"/>
    <w:rsid w:val="00DA0C94"/>
    <w:rsid w:val="00DA0F0A"/>
    <w:rsid w:val="00DA1332"/>
    <w:rsid w:val="00DA13A0"/>
    <w:rsid w:val="00DA17D0"/>
    <w:rsid w:val="00DA1984"/>
    <w:rsid w:val="00DA1C9F"/>
    <w:rsid w:val="00DA1D64"/>
    <w:rsid w:val="00DA1DFB"/>
    <w:rsid w:val="00DA2028"/>
    <w:rsid w:val="00DA2185"/>
    <w:rsid w:val="00DA2297"/>
    <w:rsid w:val="00DA231C"/>
    <w:rsid w:val="00DA235A"/>
    <w:rsid w:val="00DA2395"/>
    <w:rsid w:val="00DA2920"/>
    <w:rsid w:val="00DA2973"/>
    <w:rsid w:val="00DA30B7"/>
    <w:rsid w:val="00DA370A"/>
    <w:rsid w:val="00DA37FE"/>
    <w:rsid w:val="00DA395C"/>
    <w:rsid w:val="00DA3A22"/>
    <w:rsid w:val="00DA3AF4"/>
    <w:rsid w:val="00DA422C"/>
    <w:rsid w:val="00DA46B2"/>
    <w:rsid w:val="00DA4706"/>
    <w:rsid w:val="00DA4A0E"/>
    <w:rsid w:val="00DA4DD5"/>
    <w:rsid w:val="00DA5B86"/>
    <w:rsid w:val="00DA5EBB"/>
    <w:rsid w:val="00DA6372"/>
    <w:rsid w:val="00DA65B4"/>
    <w:rsid w:val="00DA6D29"/>
    <w:rsid w:val="00DA7003"/>
    <w:rsid w:val="00DA71CF"/>
    <w:rsid w:val="00DA7390"/>
    <w:rsid w:val="00DA7974"/>
    <w:rsid w:val="00DA79C0"/>
    <w:rsid w:val="00DA7F78"/>
    <w:rsid w:val="00DA7FBB"/>
    <w:rsid w:val="00DA7FEA"/>
    <w:rsid w:val="00DB013B"/>
    <w:rsid w:val="00DB039E"/>
    <w:rsid w:val="00DB03D5"/>
    <w:rsid w:val="00DB0904"/>
    <w:rsid w:val="00DB1851"/>
    <w:rsid w:val="00DB1C06"/>
    <w:rsid w:val="00DB1CD2"/>
    <w:rsid w:val="00DB1D28"/>
    <w:rsid w:val="00DB1FD6"/>
    <w:rsid w:val="00DB2990"/>
    <w:rsid w:val="00DB311E"/>
    <w:rsid w:val="00DB33FD"/>
    <w:rsid w:val="00DB3427"/>
    <w:rsid w:val="00DB36C3"/>
    <w:rsid w:val="00DB3C34"/>
    <w:rsid w:val="00DB3D43"/>
    <w:rsid w:val="00DB3FA3"/>
    <w:rsid w:val="00DB41C2"/>
    <w:rsid w:val="00DB45C2"/>
    <w:rsid w:val="00DB4676"/>
    <w:rsid w:val="00DB4E53"/>
    <w:rsid w:val="00DB5B68"/>
    <w:rsid w:val="00DB5E66"/>
    <w:rsid w:val="00DB5EDB"/>
    <w:rsid w:val="00DB61C3"/>
    <w:rsid w:val="00DB691D"/>
    <w:rsid w:val="00DB6A90"/>
    <w:rsid w:val="00DB6BA1"/>
    <w:rsid w:val="00DB6C82"/>
    <w:rsid w:val="00DB6CB7"/>
    <w:rsid w:val="00DB7A41"/>
    <w:rsid w:val="00DB7CC3"/>
    <w:rsid w:val="00DB7D2E"/>
    <w:rsid w:val="00DB7E00"/>
    <w:rsid w:val="00DB7E70"/>
    <w:rsid w:val="00DC0252"/>
    <w:rsid w:val="00DC0913"/>
    <w:rsid w:val="00DC0B96"/>
    <w:rsid w:val="00DC1044"/>
    <w:rsid w:val="00DC146A"/>
    <w:rsid w:val="00DC14BE"/>
    <w:rsid w:val="00DC15D0"/>
    <w:rsid w:val="00DC180D"/>
    <w:rsid w:val="00DC180F"/>
    <w:rsid w:val="00DC1B38"/>
    <w:rsid w:val="00DC1B5C"/>
    <w:rsid w:val="00DC1C83"/>
    <w:rsid w:val="00DC1EDE"/>
    <w:rsid w:val="00DC1FAB"/>
    <w:rsid w:val="00DC1FD0"/>
    <w:rsid w:val="00DC208E"/>
    <w:rsid w:val="00DC2104"/>
    <w:rsid w:val="00DC21E0"/>
    <w:rsid w:val="00DC220E"/>
    <w:rsid w:val="00DC2489"/>
    <w:rsid w:val="00DC268A"/>
    <w:rsid w:val="00DC2889"/>
    <w:rsid w:val="00DC296A"/>
    <w:rsid w:val="00DC29D6"/>
    <w:rsid w:val="00DC2B64"/>
    <w:rsid w:val="00DC2BEA"/>
    <w:rsid w:val="00DC2D77"/>
    <w:rsid w:val="00DC33BF"/>
    <w:rsid w:val="00DC3873"/>
    <w:rsid w:val="00DC38D1"/>
    <w:rsid w:val="00DC393F"/>
    <w:rsid w:val="00DC3969"/>
    <w:rsid w:val="00DC3A76"/>
    <w:rsid w:val="00DC3AEA"/>
    <w:rsid w:val="00DC3B40"/>
    <w:rsid w:val="00DC499D"/>
    <w:rsid w:val="00DC4A9E"/>
    <w:rsid w:val="00DC50B5"/>
    <w:rsid w:val="00DC5135"/>
    <w:rsid w:val="00DC5951"/>
    <w:rsid w:val="00DC5953"/>
    <w:rsid w:val="00DC59C8"/>
    <w:rsid w:val="00DC5DC5"/>
    <w:rsid w:val="00DC5EEA"/>
    <w:rsid w:val="00DD0382"/>
    <w:rsid w:val="00DD0E3B"/>
    <w:rsid w:val="00DD1020"/>
    <w:rsid w:val="00DD1EB5"/>
    <w:rsid w:val="00DD2373"/>
    <w:rsid w:val="00DD24C7"/>
    <w:rsid w:val="00DD2B86"/>
    <w:rsid w:val="00DD2E62"/>
    <w:rsid w:val="00DD2EB6"/>
    <w:rsid w:val="00DD385E"/>
    <w:rsid w:val="00DD3F4A"/>
    <w:rsid w:val="00DD40C1"/>
    <w:rsid w:val="00DD42E4"/>
    <w:rsid w:val="00DD4899"/>
    <w:rsid w:val="00DD5552"/>
    <w:rsid w:val="00DD5679"/>
    <w:rsid w:val="00DD5DD3"/>
    <w:rsid w:val="00DD6030"/>
    <w:rsid w:val="00DD6199"/>
    <w:rsid w:val="00DD6234"/>
    <w:rsid w:val="00DD64F3"/>
    <w:rsid w:val="00DD6BEE"/>
    <w:rsid w:val="00DD6C04"/>
    <w:rsid w:val="00DD6F77"/>
    <w:rsid w:val="00DD70E9"/>
    <w:rsid w:val="00DD7545"/>
    <w:rsid w:val="00DD75BC"/>
    <w:rsid w:val="00DD770D"/>
    <w:rsid w:val="00DD7936"/>
    <w:rsid w:val="00DD7E11"/>
    <w:rsid w:val="00DE08EE"/>
    <w:rsid w:val="00DE0C6A"/>
    <w:rsid w:val="00DE1855"/>
    <w:rsid w:val="00DE1EAB"/>
    <w:rsid w:val="00DE1F2F"/>
    <w:rsid w:val="00DE2061"/>
    <w:rsid w:val="00DE26EE"/>
    <w:rsid w:val="00DE27FA"/>
    <w:rsid w:val="00DE2A82"/>
    <w:rsid w:val="00DE2B6D"/>
    <w:rsid w:val="00DE2E7D"/>
    <w:rsid w:val="00DE3406"/>
    <w:rsid w:val="00DE37E1"/>
    <w:rsid w:val="00DE3814"/>
    <w:rsid w:val="00DE391D"/>
    <w:rsid w:val="00DE39A1"/>
    <w:rsid w:val="00DE3C60"/>
    <w:rsid w:val="00DE3EED"/>
    <w:rsid w:val="00DE4593"/>
    <w:rsid w:val="00DE4A83"/>
    <w:rsid w:val="00DE4AD5"/>
    <w:rsid w:val="00DE5580"/>
    <w:rsid w:val="00DE5B20"/>
    <w:rsid w:val="00DE5DB5"/>
    <w:rsid w:val="00DE5FF3"/>
    <w:rsid w:val="00DE60E5"/>
    <w:rsid w:val="00DE634F"/>
    <w:rsid w:val="00DE664D"/>
    <w:rsid w:val="00DE6A7B"/>
    <w:rsid w:val="00DE6B0F"/>
    <w:rsid w:val="00DE6C09"/>
    <w:rsid w:val="00DE709A"/>
    <w:rsid w:val="00DE7116"/>
    <w:rsid w:val="00DE75F5"/>
    <w:rsid w:val="00DE76B5"/>
    <w:rsid w:val="00DE7E07"/>
    <w:rsid w:val="00DF004F"/>
    <w:rsid w:val="00DF052F"/>
    <w:rsid w:val="00DF06CB"/>
    <w:rsid w:val="00DF07BA"/>
    <w:rsid w:val="00DF08F2"/>
    <w:rsid w:val="00DF0F35"/>
    <w:rsid w:val="00DF0FF5"/>
    <w:rsid w:val="00DF11FA"/>
    <w:rsid w:val="00DF124D"/>
    <w:rsid w:val="00DF1331"/>
    <w:rsid w:val="00DF13F5"/>
    <w:rsid w:val="00DF194D"/>
    <w:rsid w:val="00DF1B3E"/>
    <w:rsid w:val="00DF1D2E"/>
    <w:rsid w:val="00DF1F77"/>
    <w:rsid w:val="00DF24E3"/>
    <w:rsid w:val="00DF2B33"/>
    <w:rsid w:val="00DF3E3E"/>
    <w:rsid w:val="00DF493E"/>
    <w:rsid w:val="00DF49B5"/>
    <w:rsid w:val="00DF49FA"/>
    <w:rsid w:val="00DF4FC6"/>
    <w:rsid w:val="00DF4FCB"/>
    <w:rsid w:val="00DF5619"/>
    <w:rsid w:val="00DF5CAB"/>
    <w:rsid w:val="00DF5EDF"/>
    <w:rsid w:val="00DF615A"/>
    <w:rsid w:val="00DF679C"/>
    <w:rsid w:val="00DF6841"/>
    <w:rsid w:val="00DF7114"/>
    <w:rsid w:val="00DF7492"/>
    <w:rsid w:val="00DF75E6"/>
    <w:rsid w:val="00DF7806"/>
    <w:rsid w:val="00DF7D65"/>
    <w:rsid w:val="00DF7F98"/>
    <w:rsid w:val="00DF7FD1"/>
    <w:rsid w:val="00E0005B"/>
    <w:rsid w:val="00E00672"/>
    <w:rsid w:val="00E0077C"/>
    <w:rsid w:val="00E010D7"/>
    <w:rsid w:val="00E011DC"/>
    <w:rsid w:val="00E013E6"/>
    <w:rsid w:val="00E0165C"/>
    <w:rsid w:val="00E016CB"/>
    <w:rsid w:val="00E01775"/>
    <w:rsid w:val="00E01AC9"/>
    <w:rsid w:val="00E01B79"/>
    <w:rsid w:val="00E02412"/>
    <w:rsid w:val="00E024E6"/>
    <w:rsid w:val="00E0278D"/>
    <w:rsid w:val="00E02A70"/>
    <w:rsid w:val="00E02BC4"/>
    <w:rsid w:val="00E02DC9"/>
    <w:rsid w:val="00E02F19"/>
    <w:rsid w:val="00E032C0"/>
    <w:rsid w:val="00E0380B"/>
    <w:rsid w:val="00E03AF9"/>
    <w:rsid w:val="00E03B96"/>
    <w:rsid w:val="00E045F6"/>
    <w:rsid w:val="00E04A2D"/>
    <w:rsid w:val="00E04B9A"/>
    <w:rsid w:val="00E04FB9"/>
    <w:rsid w:val="00E05408"/>
    <w:rsid w:val="00E055A1"/>
    <w:rsid w:val="00E05EA7"/>
    <w:rsid w:val="00E0691D"/>
    <w:rsid w:val="00E06C3E"/>
    <w:rsid w:val="00E07667"/>
    <w:rsid w:val="00E0773C"/>
    <w:rsid w:val="00E0798C"/>
    <w:rsid w:val="00E07B89"/>
    <w:rsid w:val="00E07FF0"/>
    <w:rsid w:val="00E1021B"/>
    <w:rsid w:val="00E10344"/>
    <w:rsid w:val="00E10ED5"/>
    <w:rsid w:val="00E112B8"/>
    <w:rsid w:val="00E11449"/>
    <w:rsid w:val="00E11642"/>
    <w:rsid w:val="00E11825"/>
    <w:rsid w:val="00E11BF1"/>
    <w:rsid w:val="00E11C50"/>
    <w:rsid w:val="00E11F29"/>
    <w:rsid w:val="00E11F2D"/>
    <w:rsid w:val="00E1210B"/>
    <w:rsid w:val="00E12139"/>
    <w:rsid w:val="00E122D6"/>
    <w:rsid w:val="00E12A55"/>
    <w:rsid w:val="00E12E22"/>
    <w:rsid w:val="00E12E28"/>
    <w:rsid w:val="00E12F0A"/>
    <w:rsid w:val="00E12F43"/>
    <w:rsid w:val="00E13357"/>
    <w:rsid w:val="00E13ED2"/>
    <w:rsid w:val="00E14132"/>
    <w:rsid w:val="00E14A2D"/>
    <w:rsid w:val="00E15278"/>
    <w:rsid w:val="00E15345"/>
    <w:rsid w:val="00E15770"/>
    <w:rsid w:val="00E1581C"/>
    <w:rsid w:val="00E15F47"/>
    <w:rsid w:val="00E16353"/>
    <w:rsid w:val="00E1693D"/>
    <w:rsid w:val="00E16A5A"/>
    <w:rsid w:val="00E16D36"/>
    <w:rsid w:val="00E16FE5"/>
    <w:rsid w:val="00E17D2A"/>
    <w:rsid w:val="00E203B7"/>
    <w:rsid w:val="00E20632"/>
    <w:rsid w:val="00E208BE"/>
    <w:rsid w:val="00E20BE5"/>
    <w:rsid w:val="00E20D5E"/>
    <w:rsid w:val="00E20F4E"/>
    <w:rsid w:val="00E2144F"/>
    <w:rsid w:val="00E2153E"/>
    <w:rsid w:val="00E215F1"/>
    <w:rsid w:val="00E2345B"/>
    <w:rsid w:val="00E2387C"/>
    <w:rsid w:val="00E238D0"/>
    <w:rsid w:val="00E24251"/>
    <w:rsid w:val="00E246E9"/>
    <w:rsid w:val="00E24A0F"/>
    <w:rsid w:val="00E24E9F"/>
    <w:rsid w:val="00E25E5A"/>
    <w:rsid w:val="00E261BF"/>
    <w:rsid w:val="00E2685B"/>
    <w:rsid w:val="00E26987"/>
    <w:rsid w:val="00E26B36"/>
    <w:rsid w:val="00E26DD6"/>
    <w:rsid w:val="00E26E2C"/>
    <w:rsid w:val="00E2707B"/>
    <w:rsid w:val="00E2749F"/>
    <w:rsid w:val="00E27601"/>
    <w:rsid w:val="00E27645"/>
    <w:rsid w:val="00E27B96"/>
    <w:rsid w:val="00E30031"/>
    <w:rsid w:val="00E304F8"/>
    <w:rsid w:val="00E30702"/>
    <w:rsid w:val="00E3078D"/>
    <w:rsid w:val="00E3173F"/>
    <w:rsid w:val="00E31C45"/>
    <w:rsid w:val="00E31ED9"/>
    <w:rsid w:val="00E322C8"/>
    <w:rsid w:val="00E325E4"/>
    <w:rsid w:val="00E32727"/>
    <w:rsid w:val="00E32E4C"/>
    <w:rsid w:val="00E3307E"/>
    <w:rsid w:val="00E335D0"/>
    <w:rsid w:val="00E33BB0"/>
    <w:rsid w:val="00E33F91"/>
    <w:rsid w:val="00E343B2"/>
    <w:rsid w:val="00E346DF"/>
    <w:rsid w:val="00E35012"/>
    <w:rsid w:val="00E351EA"/>
    <w:rsid w:val="00E35607"/>
    <w:rsid w:val="00E367E4"/>
    <w:rsid w:val="00E369CC"/>
    <w:rsid w:val="00E36C0B"/>
    <w:rsid w:val="00E36E4A"/>
    <w:rsid w:val="00E37A29"/>
    <w:rsid w:val="00E4018F"/>
    <w:rsid w:val="00E402D6"/>
    <w:rsid w:val="00E4080F"/>
    <w:rsid w:val="00E408BF"/>
    <w:rsid w:val="00E409D7"/>
    <w:rsid w:val="00E40BCB"/>
    <w:rsid w:val="00E40CAD"/>
    <w:rsid w:val="00E40D08"/>
    <w:rsid w:val="00E411E8"/>
    <w:rsid w:val="00E41316"/>
    <w:rsid w:val="00E4138F"/>
    <w:rsid w:val="00E41893"/>
    <w:rsid w:val="00E418A4"/>
    <w:rsid w:val="00E41DB1"/>
    <w:rsid w:val="00E42018"/>
    <w:rsid w:val="00E42245"/>
    <w:rsid w:val="00E42CF2"/>
    <w:rsid w:val="00E43329"/>
    <w:rsid w:val="00E43391"/>
    <w:rsid w:val="00E4362C"/>
    <w:rsid w:val="00E438A6"/>
    <w:rsid w:val="00E43EF7"/>
    <w:rsid w:val="00E43FA9"/>
    <w:rsid w:val="00E44075"/>
    <w:rsid w:val="00E4437D"/>
    <w:rsid w:val="00E4446A"/>
    <w:rsid w:val="00E44579"/>
    <w:rsid w:val="00E451D7"/>
    <w:rsid w:val="00E452AC"/>
    <w:rsid w:val="00E4544B"/>
    <w:rsid w:val="00E457EB"/>
    <w:rsid w:val="00E4597D"/>
    <w:rsid w:val="00E45EBE"/>
    <w:rsid w:val="00E463A2"/>
    <w:rsid w:val="00E4650F"/>
    <w:rsid w:val="00E46555"/>
    <w:rsid w:val="00E46EC1"/>
    <w:rsid w:val="00E47325"/>
    <w:rsid w:val="00E4794F"/>
    <w:rsid w:val="00E47D3F"/>
    <w:rsid w:val="00E47DA3"/>
    <w:rsid w:val="00E47FA6"/>
    <w:rsid w:val="00E5062B"/>
    <w:rsid w:val="00E5066E"/>
    <w:rsid w:val="00E50CBB"/>
    <w:rsid w:val="00E50D53"/>
    <w:rsid w:val="00E51A36"/>
    <w:rsid w:val="00E51A61"/>
    <w:rsid w:val="00E51CC1"/>
    <w:rsid w:val="00E520D3"/>
    <w:rsid w:val="00E52385"/>
    <w:rsid w:val="00E529B5"/>
    <w:rsid w:val="00E52FC8"/>
    <w:rsid w:val="00E5378B"/>
    <w:rsid w:val="00E53CD7"/>
    <w:rsid w:val="00E541AD"/>
    <w:rsid w:val="00E54354"/>
    <w:rsid w:val="00E54BED"/>
    <w:rsid w:val="00E5522B"/>
    <w:rsid w:val="00E556F9"/>
    <w:rsid w:val="00E55844"/>
    <w:rsid w:val="00E55FD5"/>
    <w:rsid w:val="00E56330"/>
    <w:rsid w:val="00E563B1"/>
    <w:rsid w:val="00E56DC3"/>
    <w:rsid w:val="00E56EA4"/>
    <w:rsid w:val="00E570B0"/>
    <w:rsid w:val="00E571B1"/>
    <w:rsid w:val="00E5770B"/>
    <w:rsid w:val="00E57D2F"/>
    <w:rsid w:val="00E6023E"/>
    <w:rsid w:val="00E602E5"/>
    <w:rsid w:val="00E6036E"/>
    <w:rsid w:val="00E603AF"/>
    <w:rsid w:val="00E60991"/>
    <w:rsid w:val="00E60C38"/>
    <w:rsid w:val="00E60C4A"/>
    <w:rsid w:val="00E61336"/>
    <w:rsid w:val="00E61727"/>
    <w:rsid w:val="00E61F88"/>
    <w:rsid w:val="00E626B9"/>
    <w:rsid w:val="00E62730"/>
    <w:rsid w:val="00E6284F"/>
    <w:rsid w:val="00E62B8B"/>
    <w:rsid w:val="00E630B8"/>
    <w:rsid w:val="00E63396"/>
    <w:rsid w:val="00E6360A"/>
    <w:rsid w:val="00E636D4"/>
    <w:rsid w:val="00E637AB"/>
    <w:rsid w:val="00E63D29"/>
    <w:rsid w:val="00E64355"/>
    <w:rsid w:val="00E64400"/>
    <w:rsid w:val="00E64567"/>
    <w:rsid w:val="00E645EF"/>
    <w:rsid w:val="00E64615"/>
    <w:rsid w:val="00E6498A"/>
    <w:rsid w:val="00E64A18"/>
    <w:rsid w:val="00E64BB0"/>
    <w:rsid w:val="00E65438"/>
    <w:rsid w:val="00E65979"/>
    <w:rsid w:val="00E65A02"/>
    <w:rsid w:val="00E65B71"/>
    <w:rsid w:val="00E66176"/>
    <w:rsid w:val="00E66452"/>
    <w:rsid w:val="00E66ADA"/>
    <w:rsid w:val="00E674C1"/>
    <w:rsid w:val="00E6750B"/>
    <w:rsid w:val="00E679EF"/>
    <w:rsid w:val="00E7030D"/>
    <w:rsid w:val="00E70748"/>
    <w:rsid w:val="00E707FE"/>
    <w:rsid w:val="00E70E2D"/>
    <w:rsid w:val="00E70FF1"/>
    <w:rsid w:val="00E7125D"/>
    <w:rsid w:val="00E71723"/>
    <w:rsid w:val="00E71926"/>
    <w:rsid w:val="00E71AAB"/>
    <w:rsid w:val="00E71BB4"/>
    <w:rsid w:val="00E7221E"/>
    <w:rsid w:val="00E722BC"/>
    <w:rsid w:val="00E722C6"/>
    <w:rsid w:val="00E72A2C"/>
    <w:rsid w:val="00E72B09"/>
    <w:rsid w:val="00E72BC5"/>
    <w:rsid w:val="00E72DB8"/>
    <w:rsid w:val="00E7309D"/>
    <w:rsid w:val="00E734CB"/>
    <w:rsid w:val="00E735F2"/>
    <w:rsid w:val="00E73615"/>
    <w:rsid w:val="00E73841"/>
    <w:rsid w:val="00E73976"/>
    <w:rsid w:val="00E73A7D"/>
    <w:rsid w:val="00E742CD"/>
    <w:rsid w:val="00E74FB6"/>
    <w:rsid w:val="00E75356"/>
    <w:rsid w:val="00E7537E"/>
    <w:rsid w:val="00E754BB"/>
    <w:rsid w:val="00E75896"/>
    <w:rsid w:val="00E75DAE"/>
    <w:rsid w:val="00E75F59"/>
    <w:rsid w:val="00E760DB"/>
    <w:rsid w:val="00E76429"/>
    <w:rsid w:val="00E766E3"/>
    <w:rsid w:val="00E76A87"/>
    <w:rsid w:val="00E76FCF"/>
    <w:rsid w:val="00E771F5"/>
    <w:rsid w:val="00E7793F"/>
    <w:rsid w:val="00E77E4B"/>
    <w:rsid w:val="00E80394"/>
    <w:rsid w:val="00E803FE"/>
    <w:rsid w:val="00E806C3"/>
    <w:rsid w:val="00E80C95"/>
    <w:rsid w:val="00E80CC0"/>
    <w:rsid w:val="00E81BB1"/>
    <w:rsid w:val="00E81C2E"/>
    <w:rsid w:val="00E81D02"/>
    <w:rsid w:val="00E82145"/>
    <w:rsid w:val="00E8273A"/>
    <w:rsid w:val="00E82A0E"/>
    <w:rsid w:val="00E82DBE"/>
    <w:rsid w:val="00E82EBA"/>
    <w:rsid w:val="00E82FCA"/>
    <w:rsid w:val="00E83232"/>
    <w:rsid w:val="00E833EC"/>
    <w:rsid w:val="00E8356B"/>
    <w:rsid w:val="00E83CF9"/>
    <w:rsid w:val="00E8417B"/>
    <w:rsid w:val="00E846B8"/>
    <w:rsid w:val="00E84D1C"/>
    <w:rsid w:val="00E84F38"/>
    <w:rsid w:val="00E852DD"/>
    <w:rsid w:val="00E8549B"/>
    <w:rsid w:val="00E859AB"/>
    <w:rsid w:val="00E85E42"/>
    <w:rsid w:val="00E8606E"/>
    <w:rsid w:val="00E86381"/>
    <w:rsid w:val="00E863CE"/>
    <w:rsid w:val="00E86515"/>
    <w:rsid w:val="00E87855"/>
    <w:rsid w:val="00E878EC"/>
    <w:rsid w:val="00E87C3E"/>
    <w:rsid w:val="00E87C51"/>
    <w:rsid w:val="00E87D08"/>
    <w:rsid w:val="00E87F1E"/>
    <w:rsid w:val="00E90436"/>
    <w:rsid w:val="00E908CF"/>
    <w:rsid w:val="00E90A69"/>
    <w:rsid w:val="00E91231"/>
    <w:rsid w:val="00E9138E"/>
    <w:rsid w:val="00E9159C"/>
    <w:rsid w:val="00E91649"/>
    <w:rsid w:val="00E91C5B"/>
    <w:rsid w:val="00E923AB"/>
    <w:rsid w:val="00E92ADF"/>
    <w:rsid w:val="00E933AC"/>
    <w:rsid w:val="00E9497A"/>
    <w:rsid w:val="00E949D3"/>
    <w:rsid w:val="00E94B22"/>
    <w:rsid w:val="00E94D6A"/>
    <w:rsid w:val="00E94DF0"/>
    <w:rsid w:val="00E95199"/>
    <w:rsid w:val="00E953A5"/>
    <w:rsid w:val="00E95466"/>
    <w:rsid w:val="00E957A2"/>
    <w:rsid w:val="00E9584C"/>
    <w:rsid w:val="00E958F1"/>
    <w:rsid w:val="00E959E8"/>
    <w:rsid w:val="00E96455"/>
    <w:rsid w:val="00E965BC"/>
    <w:rsid w:val="00E965ED"/>
    <w:rsid w:val="00E96634"/>
    <w:rsid w:val="00E96855"/>
    <w:rsid w:val="00E975A4"/>
    <w:rsid w:val="00EA0CC4"/>
    <w:rsid w:val="00EA13BF"/>
    <w:rsid w:val="00EA13FD"/>
    <w:rsid w:val="00EA1656"/>
    <w:rsid w:val="00EA1BBB"/>
    <w:rsid w:val="00EA2380"/>
    <w:rsid w:val="00EA2C30"/>
    <w:rsid w:val="00EA2CB7"/>
    <w:rsid w:val="00EA2DD9"/>
    <w:rsid w:val="00EA3435"/>
    <w:rsid w:val="00EA43FC"/>
    <w:rsid w:val="00EA4E49"/>
    <w:rsid w:val="00EA51C2"/>
    <w:rsid w:val="00EA5582"/>
    <w:rsid w:val="00EA5A2A"/>
    <w:rsid w:val="00EA60EC"/>
    <w:rsid w:val="00EA6374"/>
    <w:rsid w:val="00EA669D"/>
    <w:rsid w:val="00EA6C55"/>
    <w:rsid w:val="00EA7446"/>
    <w:rsid w:val="00EB0679"/>
    <w:rsid w:val="00EB06B1"/>
    <w:rsid w:val="00EB06DD"/>
    <w:rsid w:val="00EB0959"/>
    <w:rsid w:val="00EB0B01"/>
    <w:rsid w:val="00EB0CE3"/>
    <w:rsid w:val="00EB15BE"/>
    <w:rsid w:val="00EB15E4"/>
    <w:rsid w:val="00EB1947"/>
    <w:rsid w:val="00EB1964"/>
    <w:rsid w:val="00EB1DD4"/>
    <w:rsid w:val="00EB2719"/>
    <w:rsid w:val="00EB2801"/>
    <w:rsid w:val="00EB312F"/>
    <w:rsid w:val="00EB33B1"/>
    <w:rsid w:val="00EB35D8"/>
    <w:rsid w:val="00EB367F"/>
    <w:rsid w:val="00EB3716"/>
    <w:rsid w:val="00EB378C"/>
    <w:rsid w:val="00EB3B93"/>
    <w:rsid w:val="00EB3C93"/>
    <w:rsid w:val="00EB3E6F"/>
    <w:rsid w:val="00EB3EF4"/>
    <w:rsid w:val="00EB4056"/>
    <w:rsid w:val="00EB43BA"/>
    <w:rsid w:val="00EB4894"/>
    <w:rsid w:val="00EB4FF7"/>
    <w:rsid w:val="00EB503F"/>
    <w:rsid w:val="00EB50FD"/>
    <w:rsid w:val="00EB575F"/>
    <w:rsid w:val="00EB59A8"/>
    <w:rsid w:val="00EB5AA6"/>
    <w:rsid w:val="00EB693F"/>
    <w:rsid w:val="00EB695C"/>
    <w:rsid w:val="00EB6C89"/>
    <w:rsid w:val="00EB6FA6"/>
    <w:rsid w:val="00EB7233"/>
    <w:rsid w:val="00EB7250"/>
    <w:rsid w:val="00EB7436"/>
    <w:rsid w:val="00EB7D3A"/>
    <w:rsid w:val="00EC005A"/>
    <w:rsid w:val="00EC0167"/>
    <w:rsid w:val="00EC0666"/>
    <w:rsid w:val="00EC0B95"/>
    <w:rsid w:val="00EC0CF2"/>
    <w:rsid w:val="00EC12D6"/>
    <w:rsid w:val="00EC20BE"/>
    <w:rsid w:val="00EC20C9"/>
    <w:rsid w:val="00EC2166"/>
    <w:rsid w:val="00EC272E"/>
    <w:rsid w:val="00EC273E"/>
    <w:rsid w:val="00EC475D"/>
    <w:rsid w:val="00EC4876"/>
    <w:rsid w:val="00EC4ED4"/>
    <w:rsid w:val="00EC5042"/>
    <w:rsid w:val="00EC50B7"/>
    <w:rsid w:val="00EC5607"/>
    <w:rsid w:val="00EC5899"/>
    <w:rsid w:val="00EC59A2"/>
    <w:rsid w:val="00EC60A2"/>
    <w:rsid w:val="00EC633F"/>
    <w:rsid w:val="00EC6D09"/>
    <w:rsid w:val="00EC70D3"/>
    <w:rsid w:val="00EC739D"/>
    <w:rsid w:val="00EC79AA"/>
    <w:rsid w:val="00EC7DD8"/>
    <w:rsid w:val="00EC7F35"/>
    <w:rsid w:val="00EC7FA3"/>
    <w:rsid w:val="00ED017D"/>
    <w:rsid w:val="00ED02AB"/>
    <w:rsid w:val="00ED02E6"/>
    <w:rsid w:val="00ED0328"/>
    <w:rsid w:val="00ED04FB"/>
    <w:rsid w:val="00ED0516"/>
    <w:rsid w:val="00ED0619"/>
    <w:rsid w:val="00ED163A"/>
    <w:rsid w:val="00ED17E7"/>
    <w:rsid w:val="00ED1893"/>
    <w:rsid w:val="00ED1D71"/>
    <w:rsid w:val="00ED2544"/>
    <w:rsid w:val="00ED2B7E"/>
    <w:rsid w:val="00ED36E6"/>
    <w:rsid w:val="00ED3705"/>
    <w:rsid w:val="00ED3B86"/>
    <w:rsid w:val="00ED417C"/>
    <w:rsid w:val="00ED4351"/>
    <w:rsid w:val="00ED47D4"/>
    <w:rsid w:val="00ED4955"/>
    <w:rsid w:val="00ED4971"/>
    <w:rsid w:val="00ED4AD7"/>
    <w:rsid w:val="00ED4C35"/>
    <w:rsid w:val="00ED5075"/>
    <w:rsid w:val="00ED5115"/>
    <w:rsid w:val="00ED5560"/>
    <w:rsid w:val="00ED56CC"/>
    <w:rsid w:val="00ED585E"/>
    <w:rsid w:val="00ED5E81"/>
    <w:rsid w:val="00ED6083"/>
    <w:rsid w:val="00ED613D"/>
    <w:rsid w:val="00ED6C45"/>
    <w:rsid w:val="00ED6EE6"/>
    <w:rsid w:val="00ED7245"/>
    <w:rsid w:val="00ED726E"/>
    <w:rsid w:val="00ED77DC"/>
    <w:rsid w:val="00ED7BB2"/>
    <w:rsid w:val="00ED7E8C"/>
    <w:rsid w:val="00EE0871"/>
    <w:rsid w:val="00EE0D6E"/>
    <w:rsid w:val="00EE0E5A"/>
    <w:rsid w:val="00EE1058"/>
    <w:rsid w:val="00EE1251"/>
    <w:rsid w:val="00EE130E"/>
    <w:rsid w:val="00EE148B"/>
    <w:rsid w:val="00EE16D8"/>
    <w:rsid w:val="00EE17BB"/>
    <w:rsid w:val="00EE19E7"/>
    <w:rsid w:val="00EE1B54"/>
    <w:rsid w:val="00EE1E16"/>
    <w:rsid w:val="00EE2153"/>
    <w:rsid w:val="00EE23B4"/>
    <w:rsid w:val="00EE2930"/>
    <w:rsid w:val="00EE3150"/>
    <w:rsid w:val="00EE3248"/>
    <w:rsid w:val="00EE3FDA"/>
    <w:rsid w:val="00EE4165"/>
    <w:rsid w:val="00EE44B0"/>
    <w:rsid w:val="00EE4BF8"/>
    <w:rsid w:val="00EE4D62"/>
    <w:rsid w:val="00EE5081"/>
    <w:rsid w:val="00EE5325"/>
    <w:rsid w:val="00EE539B"/>
    <w:rsid w:val="00EE5582"/>
    <w:rsid w:val="00EE564E"/>
    <w:rsid w:val="00EE5771"/>
    <w:rsid w:val="00EE5A01"/>
    <w:rsid w:val="00EE5C21"/>
    <w:rsid w:val="00EE602C"/>
    <w:rsid w:val="00EE60A5"/>
    <w:rsid w:val="00EE62E3"/>
    <w:rsid w:val="00EE6483"/>
    <w:rsid w:val="00EE687D"/>
    <w:rsid w:val="00EE6A95"/>
    <w:rsid w:val="00EE6C36"/>
    <w:rsid w:val="00EE6C44"/>
    <w:rsid w:val="00EE7646"/>
    <w:rsid w:val="00EE7AC0"/>
    <w:rsid w:val="00EE7DF4"/>
    <w:rsid w:val="00EF0218"/>
    <w:rsid w:val="00EF03DA"/>
    <w:rsid w:val="00EF0C96"/>
    <w:rsid w:val="00EF0D7F"/>
    <w:rsid w:val="00EF1AEC"/>
    <w:rsid w:val="00EF1B43"/>
    <w:rsid w:val="00EF1BB0"/>
    <w:rsid w:val="00EF1C74"/>
    <w:rsid w:val="00EF29F1"/>
    <w:rsid w:val="00EF2A1B"/>
    <w:rsid w:val="00EF2B0C"/>
    <w:rsid w:val="00EF2D67"/>
    <w:rsid w:val="00EF307C"/>
    <w:rsid w:val="00EF312E"/>
    <w:rsid w:val="00EF33CE"/>
    <w:rsid w:val="00EF3511"/>
    <w:rsid w:val="00EF35D4"/>
    <w:rsid w:val="00EF36DF"/>
    <w:rsid w:val="00EF38BF"/>
    <w:rsid w:val="00EF39A3"/>
    <w:rsid w:val="00EF3F7B"/>
    <w:rsid w:val="00EF4515"/>
    <w:rsid w:val="00EF4594"/>
    <w:rsid w:val="00EF4690"/>
    <w:rsid w:val="00EF476C"/>
    <w:rsid w:val="00EF4921"/>
    <w:rsid w:val="00EF4A7B"/>
    <w:rsid w:val="00EF4B8D"/>
    <w:rsid w:val="00EF4D37"/>
    <w:rsid w:val="00EF5501"/>
    <w:rsid w:val="00EF56FD"/>
    <w:rsid w:val="00EF5AEE"/>
    <w:rsid w:val="00EF5C07"/>
    <w:rsid w:val="00EF5EC7"/>
    <w:rsid w:val="00EF61DB"/>
    <w:rsid w:val="00EF695C"/>
    <w:rsid w:val="00EF6D9D"/>
    <w:rsid w:val="00EF732C"/>
    <w:rsid w:val="00EF7677"/>
    <w:rsid w:val="00EF7DCB"/>
    <w:rsid w:val="00EF7F83"/>
    <w:rsid w:val="00F0014F"/>
    <w:rsid w:val="00F0016F"/>
    <w:rsid w:val="00F006A7"/>
    <w:rsid w:val="00F006E4"/>
    <w:rsid w:val="00F00776"/>
    <w:rsid w:val="00F00B43"/>
    <w:rsid w:val="00F00C1D"/>
    <w:rsid w:val="00F00D0D"/>
    <w:rsid w:val="00F00EC4"/>
    <w:rsid w:val="00F00F38"/>
    <w:rsid w:val="00F00FBC"/>
    <w:rsid w:val="00F0132F"/>
    <w:rsid w:val="00F01512"/>
    <w:rsid w:val="00F01771"/>
    <w:rsid w:val="00F01A6C"/>
    <w:rsid w:val="00F01B17"/>
    <w:rsid w:val="00F01CD3"/>
    <w:rsid w:val="00F01EB6"/>
    <w:rsid w:val="00F0232F"/>
    <w:rsid w:val="00F023C6"/>
    <w:rsid w:val="00F02F7E"/>
    <w:rsid w:val="00F0318D"/>
    <w:rsid w:val="00F0321E"/>
    <w:rsid w:val="00F0361C"/>
    <w:rsid w:val="00F03A7B"/>
    <w:rsid w:val="00F03B86"/>
    <w:rsid w:val="00F03C1E"/>
    <w:rsid w:val="00F03D9C"/>
    <w:rsid w:val="00F03DD6"/>
    <w:rsid w:val="00F04214"/>
    <w:rsid w:val="00F043EF"/>
    <w:rsid w:val="00F05678"/>
    <w:rsid w:val="00F0567D"/>
    <w:rsid w:val="00F05BD3"/>
    <w:rsid w:val="00F06022"/>
    <w:rsid w:val="00F06190"/>
    <w:rsid w:val="00F062D7"/>
    <w:rsid w:val="00F06745"/>
    <w:rsid w:val="00F06B3F"/>
    <w:rsid w:val="00F06C4F"/>
    <w:rsid w:val="00F0719A"/>
    <w:rsid w:val="00F072AE"/>
    <w:rsid w:val="00F0730A"/>
    <w:rsid w:val="00F073EA"/>
    <w:rsid w:val="00F07896"/>
    <w:rsid w:val="00F07AC6"/>
    <w:rsid w:val="00F07BA8"/>
    <w:rsid w:val="00F101AC"/>
    <w:rsid w:val="00F1081A"/>
    <w:rsid w:val="00F10C55"/>
    <w:rsid w:val="00F110FA"/>
    <w:rsid w:val="00F11303"/>
    <w:rsid w:val="00F115EC"/>
    <w:rsid w:val="00F12691"/>
    <w:rsid w:val="00F13248"/>
    <w:rsid w:val="00F132A4"/>
    <w:rsid w:val="00F1347B"/>
    <w:rsid w:val="00F13564"/>
    <w:rsid w:val="00F136DD"/>
    <w:rsid w:val="00F13A19"/>
    <w:rsid w:val="00F13BB3"/>
    <w:rsid w:val="00F13D7E"/>
    <w:rsid w:val="00F14047"/>
    <w:rsid w:val="00F1490E"/>
    <w:rsid w:val="00F14AC9"/>
    <w:rsid w:val="00F152D6"/>
    <w:rsid w:val="00F1588B"/>
    <w:rsid w:val="00F159B9"/>
    <w:rsid w:val="00F15C7B"/>
    <w:rsid w:val="00F15EA4"/>
    <w:rsid w:val="00F1620C"/>
    <w:rsid w:val="00F17111"/>
    <w:rsid w:val="00F1754F"/>
    <w:rsid w:val="00F1755C"/>
    <w:rsid w:val="00F175FD"/>
    <w:rsid w:val="00F17781"/>
    <w:rsid w:val="00F178BE"/>
    <w:rsid w:val="00F17E1D"/>
    <w:rsid w:val="00F17FF9"/>
    <w:rsid w:val="00F20462"/>
    <w:rsid w:val="00F2065D"/>
    <w:rsid w:val="00F20B32"/>
    <w:rsid w:val="00F21B8C"/>
    <w:rsid w:val="00F21C72"/>
    <w:rsid w:val="00F21D0B"/>
    <w:rsid w:val="00F2210D"/>
    <w:rsid w:val="00F2216F"/>
    <w:rsid w:val="00F22578"/>
    <w:rsid w:val="00F23134"/>
    <w:rsid w:val="00F238D2"/>
    <w:rsid w:val="00F23AAB"/>
    <w:rsid w:val="00F2405E"/>
    <w:rsid w:val="00F2411C"/>
    <w:rsid w:val="00F24281"/>
    <w:rsid w:val="00F2450A"/>
    <w:rsid w:val="00F2465C"/>
    <w:rsid w:val="00F249D2"/>
    <w:rsid w:val="00F24C32"/>
    <w:rsid w:val="00F25109"/>
    <w:rsid w:val="00F25560"/>
    <w:rsid w:val="00F2581F"/>
    <w:rsid w:val="00F263D9"/>
    <w:rsid w:val="00F26475"/>
    <w:rsid w:val="00F26721"/>
    <w:rsid w:val="00F26865"/>
    <w:rsid w:val="00F26967"/>
    <w:rsid w:val="00F26D11"/>
    <w:rsid w:val="00F27156"/>
    <w:rsid w:val="00F2758F"/>
    <w:rsid w:val="00F279B8"/>
    <w:rsid w:val="00F27B13"/>
    <w:rsid w:val="00F3033A"/>
    <w:rsid w:val="00F3074E"/>
    <w:rsid w:val="00F30936"/>
    <w:rsid w:val="00F3115F"/>
    <w:rsid w:val="00F311BF"/>
    <w:rsid w:val="00F3175A"/>
    <w:rsid w:val="00F31CCE"/>
    <w:rsid w:val="00F31CD9"/>
    <w:rsid w:val="00F32149"/>
    <w:rsid w:val="00F3231E"/>
    <w:rsid w:val="00F32D6D"/>
    <w:rsid w:val="00F33681"/>
    <w:rsid w:val="00F3370B"/>
    <w:rsid w:val="00F33BD9"/>
    <w:rsid w:val="00F34707"/>
    <w:rsid w:val="00F34A91"/>
    <w:rsid w:val="00F34DCE"/>
    <w:rsid w:val="00F34F03"/>
    <w:rsid w:val="00F35039"/>
    <w:rsid w:val="00F35101"/>
    <w:rsid w:val="00F351DC"/>
    <w:rsid w:val="00F35BFD"/>
    <w:rsid w:val="00F35EBE"/>
    <w:rsid w:val="00F364A6"/>
    <w:rsid w:val="00F36EE2"/>
    <w:rsid w:val="00F3726A"/>
    <w:rsid w:val="00F37993"/>
    <w:rsid w:val="00F37DFB"/>
    <w:rsid w:val="00F404A2"/>
    <w:rsid w:val="00F40F05"/>
    <w:rsid w:val="00F41BA7"/>
    <w:rsid w:val="00F42613"/>
    <w:rsid w:val="00F427EB"/>
    <w:rsid w:val="00F42A7B"/>
    <w:rsid w:val="00F42B39"/>
    <w:rsid w:val="00F42C9B"/>
    <w:rsid w:val="00F43160"/>
    <w:rsid w:val="00F4323A"/>
    <w:rsid w:val="00F43817"/>
    <w:rsid w:val="00F43A48"/>
    <w:rsid w:val="00F43A75"/>
    <w:rsid w:val="00F43C2F"/>
    <w:rsid w:val="00F443C7"/>
    <w:rsid w:val="00F4444E"/>
    <w:rsid w:val="00F44657"/>
    <w:rsid w:val="00F44B7B"/>
    <w:rsid w:val="00F455F3"/>
    <w:rsid w:val="00F45CE7"/>
    <w:rsid w:val="00F45E2C"/>
    <w:rsid w:val="00F465B1"/>
    <w:rsid w:val="00F46756"/>
    <w:rsid w:val="00F46788"/>
    <w:rsid w:val="00F46A12"/>
    <w:rsid w:val="00F46A5E"/>
    <w:rsid w:val="00F46E18"/>
    <w:rsid w:val="00F47145"/>
    <w:rsid w:val="00F474C4"/>
    <w:rsid w:val="00F4755B"/>
    <w:rsid w:val="00F47572"/>
    <w:rsid w:val="00F477DE"/>
    <w:rsid w:val="00F47A07"/>
    <w:rsid w:val="00F47E33"/>
    <w:rsid w:val="00F502B4"/>
    <w:rsid w:val="00F50475"/>
    <w:rsid w:val="00F50A4F"/>
    <w:rsid w:val="00F51096"/>
    <w:rsid w:val="00F51413"/>
    <w:rsid w:val="00F515C9"/>
    <w:rsid w:val="00F51781"/>
    <w:rsid w:val="00F517B7"/>
    <w:rsid w:val="00F517FC"/>
    <w:rsid w:val="00F51994"/>
    <w:rsid w:val="00F51EE6"/>
    <w:rsid w:val="00F5247C"/>
    <w:rsid w:val="00F525CC"/>
    <w:rsid w:val="00F52858"/>
    <w:rsid w:val="00F52EC4"/>
    <w:rsid w:val="00F5331A"/>
    <w:rsid w:val="00F53446"/>
    <w:rsid w:val="00F5354A"/>
    <w:rsid w:val="00F53720"/>
    <w:rsid w:val="00F53740"/>
    <w:rsid w:val="00F53817"/>
    <w:rsid w:val="00F538D8"/>
    <w:rsid w:val="00F53E5F"/>
    <w:rsid w:val="00F5406D"/>
    <w:rsid w:val="00F540C7"/>
    <w:rsid w:val="00F54129"/>
    <w:rsid w:val="00F5419A"/>
    <w:rsid w:val="00F545E0"/>
    <w:rsid w:val="00F545EE"/>
    <w:rsid w:val="00F546FD"/>
    <w:rsid w:val="00F54934"/>
    <w:rsid w:val="00F54E1E"/>
    <w:rsid w:val="00F5501A"/>
    <w:rsid w:val="00F55251"/>
    <w:rsid w:val="00F553C5"/>
    <w:rsid w:val="00F5549C"/>
    <w:rsid w:val="00F55B06"/>
    <w:rsid w:val="00F55CAB"/>
    <w:rsid w:val="00F55DA0"/>
    <w:rsid w:val="00F55DF1"/>
    <w:rsid w:val="00F56007"/>
    <w:rsid w:val="00F564B1"/>
    <w:rsid w:val="00F56502"/>
    <w:rsid w:val="00F566AB"/>
    <w:rsid w:val="00F568AA"/>
    <w:rsid w:val="00F574D8"/>
    <w:rsid w:val="00F575E8"/>
    <w:rsid w:val="00F57956"/>
    <w:rsid w:val="00F57CEB"/>
    <w:rsid w:val="00F57E29"/>
    <w:rsid w:val="00F60330"/>
    <w:rsid w:val="00F6039C"/>
    <w:rsid w:val="00F609A0"/>
    <w:rsid w:val="00F60E04"/>
    <w:rsid w:val="00F61870"/>
    <w:rsid w:val="00F61893"/>
    <w:rsid w:val="00F61E8B"/>
    <w:rsid w:val="00F6288D"/>
    <w:rsid w:val="00F62E6F"/>
    <w:rsid w:val="00F630AF"/>
    <w:rsid w:val="00F632B5"/>
    <w:rsid w:val="00F633CD"/>
    <w:rsid w:val="00F63680"/>
    <w:rsid w:val="00F63A3C"/>
    <w:rsid w:val="00F63D77"/>
    <w:rsid w:val="00F63F6B"/>
    <w:rsid w:val="00F63FDF"/>
    <w:rsid w:val="00F64096"/>
    <w:rsid w:val="00F64964"/>
    <w:rsid w:val="00F64AEE"/>
    <w:rsid w:val="00F64D2F"/>
    <w:rsid w:val="00F6509A"/>
    <w:rsid w:val="00F6608E"/>
    <w:rsid w:val="00F6620B"/>
    <w:rsid w:val="00F6625F"/>
    <w:rsid w:val="00F66631"/>
    <w:rsid w:val="00F66722"/>
    <w:rsid w:val="00F66B82"/>
    <w:rsid w:val="00F66C8A"/>
    <w:rsid w:val="00F676F9"/>
    <w:rsid w:val="00F6775D"/>
    <w:rsid w:val="00F677EA"/>
    <w:rsid w:val="00F679DE"/>
    <w:rsid w:val="00F67D52"/>
    <w:rsid w:val="00F67DD2"/>
    <w:rsid w:val="00F70308"/>
    <w:rsid w:val="00F703BD"/>
    <w:rsid w:val="00F705EC"/>
    <w:rsid w:val="00F70602"/>
    <w:rsid w:val="00F70669"/>
    <w:rsid w:val="00F70F5B"/>
    <w:rsid w:val="00F7165F"/>
    <w:rsid w:val="00F71A12"/>
    <w:rsid w:val="00F71B1C"/>
    <w:rsid w:val="00F71B30"/>
    <w:rsid w:val="00F721F0"/>
    <w:rsid w:val="00F72482"/>
    <w:rsid w:val="00F72977"/>
    <w:rsid w:val="00F73476"/>
    <w:rsid w:val="00F7348B"/>
    <w:rsid w:val="00F73E97"/>
    <w:rsid w:val="00F73FA8"/>
    <w:rsid w:val="00F740C0"/>
    <w:rsid w:val="00F74539"/>
    <w:rsid w:val="00F74863"/>
    <w:rsid w:val="00F748AA"/>
    <w:rsid w:val="00F74E51"/>
    <w:rsid w:val="00F74F33"/>
    <w:rsid w:val="00F76162"/>
    <w:rsid w:val="00F761D4"/>
    <w:rsid w:val="00F764D0"/>
    <w:rsid w:val="00F764E9"/>
    <w:rsid w:val="00F76590"/>
    <w:rsid w:val="00F7665B"/>
    <w:rsid w:val="00F7688B"/>
    <w:rsid w:val="00F76C10"/>
    <w:rsid w:val="00F77977"/>
    <w:rsid w:val="00F77A4A"/>
    <w:rsid w:val="00F77A59"/>
    <w:rsid w:val="00F77DB5"/>
    <w:rsid w:val="00F80764"/>
    <w:rsid w:val="00F807EB"/>
    <w:rsid w:val="00F808CE"/>
    <w:rsid w:val="00F80A72"/>
    <w:rsid w:val="00F810C3"/>
    <w:rsid w:val="00F81370"/>
    <w:rsid w:val="00F816C4"/>
    <w:rsid w:val="00F81A28"/>
    <w:rsid w:val="00F81E5A"/>
    <w:rsid w:val="00F81FDD"/>
    <w:rsid w:val="00F821E8"/>
    <w:rsid w:val="00F82A66"/>
    <w:rsid w:val="00F82DD4"/>
    <w:rsid w:val="00F838D2"/>
    <w:rsid w:val="00F83BCA"/>
    <w:rsid w:val="00F83BCC"/>
    <w:rsid w:val="00F84160"/>
    <w:rsid w:val="00F844F2"/>
    <w:rsid w:val="00F84799"/>
    <w:rsid w:val="00F84C50"/>
    <w:rsid w:val="00F85925"/>
    <w:rsid w:val="00F85B3C"/>
    <w:rsid w:val="00F85F3E"/>
    <w:rsid w:val="00F865DF"/>
    <w:rsid w:val="00F86F69"/>
    <w:rsid w:val="00F871F7"/>
    <w:rsid w:val="00F8758B"/>
    <w:rsid w:val="00F87700"/>
    <w:rsid w:val="00F87947"/>
    <w:rsid w:val="00F87F06"/>
    <w:rsid w:val="00F900C1"/>
    <w:rsid w:val="00F9096C"/>
    <w:rsid w:val="00F90AC7"/>
    <w:rsid w:val="00F90CEE"/>
    <w:rsid w:val="00F9153D"/>
    <w:rsid w:val="00F91ADB"/>
    <w:rsid w:val="00F92078"/>
    <w:rsid w:val="00F9219F"/>
    <w:rsid w:val="00F924AD"/>
    <w:rsid w:val="00F92F39"/>
    <w:rsid w:val="00F93032"/>
    <w:rsid w:val="00F930BC"/>
    <w:rsid w:val="00F934ED"/>
    <w:rsid w:val="00F93A88"/>
    <w:rsid w:val="00F93D58"/>
    <w:rsid w:val="00F942DB"/>
    <w:rsid w:val="00F94560"/>
    <w:rsid w:val="00F946C9"/>
    <w:rsid w:val="00F94C1F"/>
    <w:rsid w:val="00F94FCA"/>
    <w:rsid w:val="00F9509C"/>
    <w:rsid w:val="00F95449"/>
    <w:rsid w:val="00F9562F"/>
    <w:rsid w:val="00F956D6"/>
    <w:rsid w:val="00F956F9"/>
    <w:rsid w:val="00F957B7"/>
    <w:rsid w:val="00F95A96"/>
    <w:rsid w:val="00F95B1C"/>
    <w:rsid w:val="00F960CD"/>
    <w:rsid w:val="00F96281"/>
    <w:rsid w:val="00F9680A"/>
    <w:rsid w:val="00F96869"/>
    <w:rsid w:val="00F9686B"/>
    <w:rsid w:val="00F96A38"/>
    <w:rsid w:val="00F96B17"/>
    <w:rsid w:val="00F96CBA"/>
    <w:rsid w:val="00F96E18"/>
    <w:rsid w:val="00F9701E"/>
    <w:rsid w:val="00F9751F"/>
    <w:rsid w:val="00F97943"/>
    <w:rsid w:val="00F97E6C"/>
    <w:rsid w:val="00FA0351"/>
    <w:rsid w:val="00FA0F6F"/>
    <w:rsid w:val="00FA1134"/>
    <w:rsid w:val="00FA16B9"/>
    <w:rsid w:val="00FA1726"/>
    <w:rsid w:val="00FA1980"/>
    <w:rsid w:val="00FA1D87"/>
    <w:rsid w:val="00FA284D"/>
    <w:rsid w:val="00FA296B"/>
    <w:rsid w:val="00FA2FFA"/>
    <w:rsid w:val="00FA3470"/>
    <w:rsid w:val="00FA3B3A"/>
    <w:rsid w:val="00FA42D5"/>
    <w:rsid w:val="00FA45E6"/>
    <w:rsid w:val="00FA4688"/>
    <w:rsid w:val="00FA48B7"/>
    <w:rsid w:val="00FA5060"/>
    <w:rsid w:val="00FA50F9"/>
    <w:rsid w:val="00FA5574"/>
    <w:rsid w:val="00FA5580"/>
    <w:rsid w:val="00FA558C"/>
    <w:rsid w:val="00FA5B47"/>
    <w:rsid w:val="00FA5C3E"/>
    <w:rsid w:val="00FA6138"/>
    <w:rsid w:val="00FA6649"/>
    <w:rsid w:val="00FA66B1"/>
    <w:rsid w:val="00FA6982"/>
    <w:rsid w:val="00FA6FDB"/>
    <w:rsid w:val="00FA7140"/>
    <w:rsid w:val="00FA7211"/>
    <w:rsid w:val="00FA72E3"/>
    <w:rsid w:val="00FA7CC5"/>
    <w:rsid w:val="00FA7D6D"/>
    <w:rsid w:val="00FA7E55"/>
    <w:rsid w:val="00FA7F80"/>
    <w:rsid w:val="00FB01A0"/>
    <w:rsid w:val="00FB08FC"/>
    <w:rsid w:val="00FB0D95"/>
    <w:rsid w:val="00FB23A3"/>
    <w:rsid w:val="00FB26F2"/>
    <w:rsid w:val="00FB270D"/>
    <w:rsid w:val="00FB2909"/>
    <w:rsid w:val="00FB2C62"/>
    <w:rsid w:val="00FB2F0D"/>
    <w:rsid w:val="00FB32B9"/>
    <w:rsid w:val="00FB38F2"/>
    <w:rsid w:val="00FB3B00"/>
    <w:rsid w:val="00FB3B9A"/>
    <w:rsid w:val="00FB3FD9"/>
    <w:rsid w:val="00FB435C"/>
    <w:rsid w:val="00FB45F6"/>
    <w:rsid w:val="00FB4B19"/>
    <w:rsid w:val="00FB4CDD"/>
    <w:rsid w:val="00FB5287"/>
    <w:rsid w:val="00FB5789"/>
    <w:rsid w:val="00FB5B35"/>
    <w:rsid w:val="00FB62AA"/>
    <w:rsid w:val="00FB6858"/>
    <w:rsid w:val="00FB6928"/>
    <w:rsid w:val="00FB6AB1"/>
    <w:rsid w:val="00FB6EB9"/>
    <w:rsid w:val="00FB6ECD"/>
    <w:rsid w:val="00FB6F2E"/>
    <w:rsid w:val="00FB6F82"/>
    <w:rsid w:val="00FB7190"/>
    <w:rsid w:val="00FB731C"/>
    <w:rsid w:val="00FB76C8"/>
    <w:rsid w:val="00FB76E5"/>
    <w:rsid w:val="00FB7A17"/>
    <w:rsid w:val="00FC030F"/>
    <w:rsid w:val="00FC092D"/>
    <w:rsid w:val="00FC0D64"/>
    <w:rsid w:val="00FC137A"/>
    <w:rsid w:val="00FC158F"/>
    <w:rsid w:val="00FC1D68"/>
    <w:rsid w:val="00FC1E65"/>
    <w:rsid w:val="00FC2119"/>
    <w:rsid w:val="00FC37C5"/>
    <w:rsid w:val="00FC3893"/>
    <w:rsid w:val="00FC3BC2"/>
    <w:rsid w:val="00FC3D1F"/>
    <w:rsid w:val="00FC426A"/>
    <w:rsid w:val="00FC4326"/>
    <w:rsid w:val="00FC4B88"/>
    <w:rsid w:val="00FC4C25"/>
    <w:rsid w:val="00FC4F30"/>
    <w:rsid w:val="00FC5426"/>
    <w:rsid w:val="00FC5AD5"/>
    <w:rsid w:val="00FC5BF2"/>
    <w:rsid w:val="00FC5D55"/>
    <w:rsid w:val="00FC5E15"/>
    <w:rsid w:val="00FC5F7A"/>
    <w:rsid w:val="00FC6103"/>
    <w:rsid w:val="00FC6371"/>
    <w:rsid w:val="00FC657E"/>
    <w:rsid w:val="00FC6872"/>
    <w:rsid w:val="00FC6B31"/>
    <w:rsid w:val="00FC6C2F"/>
    <w:rsid w:val="00FC6C40"/>
    <w:rsid w:val="00FC6D65"/>
    <w:rsid w:val="00FC736F"/>
    <w:rsid w:val="00FC7D05"/>
    <w:rsid w:val="00FC7E74"/>
    <w:rsid w:val="00FD020F"/>
    <w:rsid w:val="00FD04E9"/>
    <w:rsid w:val="00FD09EE"/>
    <w:rsid w:val="00FD0BD2"/>
    <w:rsid w:val="00FD1304"/>
    <w:rsid w:val="00FD13FA"/>
    <w:rsid w:val="00FD1421"/>
    <w:rsid w:val="00FD19EA"/>
    <w:rsid w:val="00FD1FF2"/>
    <w:rsid w:val="00FD24E5"/>
    <w:rsid w:val="00FD2986"/>
    <w:rsid w:val="00FD31E6"/>
    <w:rsid w:val="00FD3590"/>
    <w:rsid w:val="00FD41D8"/>
    <w:rsid w:val="00FD437B"/>
    <w:rsid w:val="00FD446E"/>
    <w:rsid w:val="00FD4626"/>
    <w:rsid w:val="00FD4881"/>
    <w:rsid w:val="00FD5525"/>
    <w:rsid w:val="00FD5553"/>
    <w:rsid w:val="00FD56F5"/>
    <w:rsid w:val="00FD58D9"/>
    <w:rsid w:val="00FD5B0B"/>
    <w:rsid w:val="00FD5C08"/>
    <w:rsid w:val="00FD5CF6"/>
    <w:rsid w:val="00FD60F3"/>
    <w:rsid w:val="00FD6209"/>
    <w:rsid w:val="00FD6996"/>
    <w:rsid w:val="00FD7798"/>
    <w:rsid w:val="00FD7917"/>
    <w:rsid w:val="00FD7B33"/>
    <w:rsid w:val="00FD7CC4"/>
    <w:rsid w:val="00FD7EC9"/>
    <w:rsid w:val="00FE036D"/>
    <w:rsid w:val="00FE0B2E"/>
    <w:rsid w:val="00FE14EC"/>
    <w:rsid w:val="00FE1887"/>
    <w:rsid w:val="00FE1ECC"/>
    <w:rsid w:val="00FE2122"/>
    <w:rsid w:val="00FE23B6"/>
    <w:rsid w:val="00FE29AA"/>
    <w:rsid w:val="00FE2D10"/>
    <w:rsid w:val="00FE3067"/>
    <w:rsid w:val="00FE3957"/>
    <w:rsid w:val="00FE3A5A"/>
    <w:rsid w:val="00FE3EC2"/>
    <w:rsid w:val="00FE3F6B"/>
    <w:rsid w:val="00FE4003"/>
    <w:rsid w:val="00FE4E99"/>
    <w:rsid w:val="00FE519B"/>
    <w:rsid w:val="00FE53A1"/>
    <w:rsid w:val="00FE5673"/>
    <w:rsid w:val="00FE5866"/>
    <w:rsid w:val="00FE60CA"/>
    <w:rsid w:val="00FE60D6"/>
    <w:rsid w:val="00FE692B"/>
    <w:rsid w:val="00FE6AC5"/>
    <w:rsid w:val="00FE6D55"/>
    <w:rsid w:val="00FE6E8C"/>
    <w:rsid w:val="00FE6EA1"/>
    <w:rsid w:val="00FE6F14"/>
    <w:rsid w:val="00FE7437"/>
    <w:rsid w:val="00FE799B"/>
    <w:rsid w:val="00FE7EBD"/>
    <w:rsid w:val="00FF09D0"/>
    <w:rsid w:val="00FF0A58"/>
    <w:rsid w:val="00FF0A75"/>
    <w:rsid w:val="00FF0FBF"/>
    <w:rsid w:val="00FF1241"/>
    <w:rsid w:val="00FF14E7"/>
    <w:rsid w:val="00FF1892"/>
    <w:rsid w:val="00FF1915"/>
    <w:rsid w:val="00FF198C"/>
    <w:rsid w:val="00FF1A9B"/>
    <w:rsid w:val="00FF2C6E"/>
    <w:rsid w:val="00FF2E3D"/>
    <w:rsid w:val="00FF32FB"/>
    <w:rsid w:val="00FF3986"/>
    <w:rsid w:val="00FF3A27"/>
    <w:rsid w:val="00FF3AB2"/>
    <w:rsid w:val="00FF3CB7"/>
    <w:rsid w:val="00FF3F46"/>
    <w:rsid w:val="00FF409C"/>
    <w:rsid w:val="00FF43D5"/>
    <w:rsid w:val="00FF4FEE"/>
    <w:rsid w:val="00FF52F7"/>
    <w:rsid w:val="00FF5417"/>
    <w:rsid w:val="00FF5869"/>
    <w:rsid w:val="00FF5ADC"/>
    <w:rsid w:val="00FF5B3D"/>
    <w:rsid w:val="00FF5C6B"/>
    <w:rsid w:val="00FF5CAC"/>
    <w:rsid w:val="00FF5EEB"/>
    <w:rsid w:val="00FF6186"/>
    <w:rsid w:val="00FF65BC"/>
    <w:rsid w:val="00FF6A62"/>
    <w:rsid w:val="00FF6B1B"/>
    <w:rsid w:val="00FF703D"/>
    <w:rsid w:val="00FF711A"/>
    <w:rsid w:val="00FF7128"/>
    <w:rsid w:val="00FF712C"/>
    <w:rsid w:val="00FF7144"/>
    <w:rsid w:val="00FF7151"/>
    <w:rsid w:val="00FF71DE"/>
    <w:rsid w:val="00FF7592"/>
    <w:rsid w:val="00FF770B"/>
    <w:rsid w:val="00FF78EA"/>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490A6054"/>
  <w15:docId w15:val="{1C116717-8F5B-4718-800E-F1E6D3E3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21E"/>
    <w:rPr>
      <w:rFonts w:ascii="Arial" w:hAnsi="Arial"/>
      <w:sz w:val="19"/>
      <w:szCs w:val="24"/>
    </w:rPr>
  </w:style>
  <w:style w:type="paragraph" w:styleId="Heading1">
    <w:name w:val="heading 1"/>
    <w:basedOn w:val="Normal"/>
    <w:next w:val="Normal"/>
    <w:link w:val="Heading1Char"/>
    <w:qFormat/>
    <w:rsid w:val="00F968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661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A5A"/>
    <w:pPr>
      <w:tabs>
        <w:tab w:val="center" w:pos="4153"/>
        <w:tab w:val="right" w:pos="8306"/>
      </w:tabs>
    </w:pPr>
  </w:style>
  <w:style w:type="paragraph" w:styleId="Footer">
    <w:name w:val="footer"/>
    <w:basedOn w:val="Normal"/>
    <w:rsid w:val="00E16A5A"/>
    <w:pPr>
      <w:tabs>
        <w:tab w:val="center" w:pos="4153"/>
        <w:tab w:val="right" w:pos="8306"/>
      </w:tabs>
    </w:pPr>
  </w:style>
  <w:style w:type="character" w:styleId="Hyperlink">
    <w:name w:val="Hyperlink"/>
    <w:rsid w:val="00C61CDA"/>
    <w:rPr>
      <w:rFonts w:ascii="Verdana" w:hAnsi="Verdana"/>
      <w:color w:val="000080"/>
      <w:sz w:val="18"/>
      <w:szCs w:val="18"/>
      <w:u w:val="single" w:color="000080"/>
    </w:rPr>
  </w:style>
  <w:style w:type="character" w:styleId="FollowedHyperlink">
    <w:name w:val="FollowedHyperlink"/>
    <w:rsid w:val="00C61CDA"/>
    <w:rPr>
      <w:rFonts w:ascii="Verdana" w:hAnsi="Verdana"/>
      <w:color w:val="800080"/>
      <w:sz w:val="18"/>
      <w:szCs w:val="18"/>
      <w:u w:val="single" w:color="800080"/>
    </w:rPr>
  </w:style>
  <w:style w:type="paragraph" w:styleId="BalloonText">
    <w:name w:val="Balloon Text"/>
    <w:basedOn w:val="Normal"/>
    <w:semiHidden/>
    <w:rsid w:val="00B53715"/>
    <w:rPr>
      <w:rFonts w:ascii="Tahoma" w:hAnsi="Tahoma" w:cs="Tahoma"/>
      <w:sz w:val="16"/>
      <w:szCs w:val="16"/>
    </w:rPr>
  </w:style>
  <w:style w:type="paragraph" w:customStyle="1" w:styleId="Default">
    <w:name w:val="Default"/>
    <w:rsid w:val="0076397D"/>
    <w:pPr>
      <w:autoSpaceDE w:val="0"/>
      <w:autoSpaceDN w:val="0"/>
      <w:adjustRightInd w:val="0"/>
    </w:pPr>
    <w:rPr>
      <w:rFonts w:ascii="Verdana" w:hAnsi="Verdana" w:cs="Verdana"/>
      <w:color w:val="000000"/>
      <w:sz w:val="24"/>
      <w:szCs w:val="24"/>
    </w:rPr>
  </w:style>
  <w:style w:type="character" w:styleId="CommentReference">
    <w:name w:val="annotation reference"/>
    <w:rsid w:val="00C273F9"/>
    <w:rPr>
      <w:sz w:val="16"/>
      <w:szCs w:val="16"/>
    </w:rPr>
  </w:style>
  <w:style w:type="paragraph" w:styleId="CommentText">
    <w:name w:val="annotation text"/>
    <w:basedOn w:val="Normal"/>
    <w:link w:val="CommentTextChar"/>
    <w:rsid w:val="00C273F9"/>
    <w:rPr>
      <w:sz w:val="20"/>
      <w:szCs w:val="20"/>
    </w:rPr>
  </w:style>
  <w:style w:type="character" w:customStyle="1" w:styleId="CommentTextChar">
    <w:name w:val="Comment Text Char"/>
    <w:basedOn w:val="DefaultParagraphFont"/>
    <w:link w:val="CommentText"/>
    <w:rsid w:val="00C273F9"/>
  </w:style>
  <w:style w:type="paragraph" w:styleId="CommentSubject">
    <w:name w:val="annotation subject"/>
    <w:basedOn w:val="CommentText"/>
    <w:next w:val="CommentText"/>
    <w:link w:val="CommentSubjectChar"/>
    <w:rsid w:val="00C273F9"/>
    <w:rPr>
      <w:b/>
      <w:bCs/>
    </w:rPr>
  </w:style>
  <w:style w:type="character" w:customStyle="1" w:styleId="CommentSubjectChar">
    <w:name w:val="Comment Subject Char"/>
    <w:link w:val="CommentSubject"/>
    <w:rsid w:val="00C273F9"/>
    <w:rPr>
      <w:b/>
      <w:bCs/>
    </w:rPr>
  </w:style>
  <w:style w:type="character" w:customStyle="1" w:styleId="Heading3Char">
    <w:name w:val="Heading 3 Char"/>
    <w:link w:val="Heading3"/>
    <w:semiHidden/>
    <w:rsid w:val="009661D0"/>
    <w:rPr>
      <w:rFonts w:ascii="Cambria" w:eastAsia="Times New Roman" w:hAnsi="Cambria" w:cs="Times New Roman"/>
      <w:b/>
      <w:bCs/>
      <w:sz w:val="26"/>
      <w:szCs w:val="26"/>
    </w:rPr>
  </w:style>
  <w:style w:type="character" w:customStyle="1" w:styleId="Heading1Char">
    <w:name w:val="Heading 1 Char"/>
    <w:link w:val="Heading1"/>
    <w:rsid w:val="00F96869"/>
    <w:rPr>
      <w:rFonts w:ascii="Cambria" w:eastAsia="Times New Roman" w:hAnsi="Cambria" w:cs="Times New Roman"/>
      <w:b/>
      <w:bCs/>
      <w:kern w:val="32"/>
      <w:sz w:val="32"/>
      <w:szCs w:val="32"/>
    </w:rPr>
  </w:style>
  <w:style w:type="paragraph" w:customStyle="1" w:styleId="Explanatorytext">
    <w:name w:val="Explanatory text"/>
    <w:basedOn w:val="Normal"/>
    <w:link w:val="ExplanatorytextChar"/>
    <w:qFormat/>
    <w:rsid w:val="00CD021E"/>
    <w:pPr>
      <w:tabs>
        <w:tab w:val="center" w:pos="3152"/>
      </w:tabs>
    </w:pPr>
    <w:rPr>
      <w:rFonts w:cs="Arial"/>
      <w:sz w:val="16"/>
      <w:szCs w:val="19"/>
      <w:lang w:val="en-US"/>
    </w:rPr>
  </w:style>
  <w:style w:type="character" w:customStyle="1" w:styleId="ExplanatorytextChar">
    <w:name w:val="Explanatory text Char"/>
    <w:basedOn w:val="DefaultParagraphFont"/>
    <w:link w:val="Explanatorytext"/>
    <w:rsid w:val="00CD021E"/>
    <w:rPr>
      <w:rFonts w:ascii="Arial" w:hAnsi="Arial" w:cs="Arial"/>
      <w:sz w:val="16"/>
      <w:szCs w:val="19"/>
      <w:lang w:val="en-US"/>
    </w:rPr>
  </w:style>
  <w:style w:type="character" w:styleId="PlaceholderText">
    <w:name w:val="Placeholder Text"/>
    <w:basedOn w:val="DefaultParagraphFont"/>
    <w:uiPriority w:val="99"/>
    <w:semiHidden/>
    <w:rsid w:val="00DD6B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655">
      <w:bodyDiv w:val="1"/>
      <w:marLeft w:val="0"/>
      <w:marRight w:val="0"/>
      <w:marTop w:val="0"/>
      <w:marBottom w:val="0"/>
      <w:divBdr>
        <w:top w:val="none" w:sz="0" w:space="0" w:color="auto"/>
        <w:left w:val="none" w:sz="0" w:space="0" w:color="auto"/>
        <w:bottom w:val="none" w:sz="0" w:space="0" w:color="auto"/>
        <w:right w:val="none" w:sz="0" w:space="0" w:color="auto"/>
      </w:divBdr>
    </w:div>
    <w:div w:id="18940625">
      <w:bodyDiv w:val="1"/>
      <w:marLeft w:val="0"/>
      <w:marRight w:val="0"/>
      <w:marTop w:val="0"/>
      <w:marBottom w:val="0"/>
      <w:divBdr>
        <w:top w:val="none" w:sz="0" w:space="0" w:color="auto"/>
        <w:left w:val="none" w:sz="0" w:space="0" w:color="auto"/>
        <w:bottom w:val="none" w:sz="0" w:space="0" w:color="auto"/>
        <w:right w:val="none" w:sz="0" w:space="0" w:color="auto"/>
      </w:divBdr>
    </w:div>
    <w:div w:id="36780126">
      <w:bodyDiv w:val="1"/>
      <w:marLeft w:val="0"/>
      <w:marRight w:val="0"/>
      <w:marTop w:val="0"/>
      <w:marBottom w:val="0"/>
      <w:divBdr>
        <w:top w:val="none" w:sz="0" w:space="0" w:color="auto"/>
        <w:left w:val="none" w:sz="0" w:space="0" w:color="auto"/>
        <w:bottom w:val="none" w:sz="0" w:space="0" w:color="auto"/>
        <w:right w:val="none" w:sz="0" w:space="0" w:color="auto"/>
      </w:divBdr>
    </w:div>
    <w:div w:id="38287828">
      <w:bodyDiv w:val="1"/>
      <w:marLeft w:val="0"/>
      <w:marRight w:val="0"/>
      <w:marTop w:val="0"/>
      <w:marBottom w:val="0"/>
      <w:divBdr>
        <w:top w:val="none" w:sz="0" w:space="0" w:color="auto"/>
        <w:left w:val="none" w:sz="0" w:space="0" w:color="auto"/>
        <w:bottom w:val="none" w:sz="0" w:space="0" w:color="auto"/>
        <w:right w:val="none" w:sz="0" w:space="0" w:color="auto"/>
      </w:divBdr>
    </w:div>
    <w:div w:id="44254406">
      <w:bodyDiv w:val="1"/>
      <w:marLeft w:val="0"/>
      <w:marRight w:val="0"/>
      <w:marTop w:val="0"/>
      <w:marBottom w:val="0"/>
      <w:divBdr>
        <w:top w:val="none" w:sz="0" w:space="0" w:color="auto"/>
        <w:left w:val="none" w:sz="0" w:space="0" w:color="auto"/>
        <w:bottom w:val="none" w:sz="0" w:space="0" w:color="auto"/>
        <w:right w:val="none" w:sz="0" w:space="0" w:color="auto"/>
      </w:divBdr>
    </w:div>
    <w:div w:id="49577063">
      <w:bodyDiv w:val="1"/>
      <w:marLeft w:val="0"/>
      <w:marRight w:val="0"/>
      <w:marTop w:val="0"/>
      <w:marBottom w:val="0"/>
      <w:divBdr>
        <w:top w:val="none" w:sz="0" w:space="0" w:color="auto"/>
        <w:left w:val="none" w:sz="0" w:space="0" w:color="auto"/>
        <w:bottom w:val="none" w:sz="0" w:space="0" w:color="auto"/>
        <w:right w:val="none" w:sz="0" w:space="0" w:color="auto"/>
      </w:divBdr>
    </w:div>
    <w:div w:id="50203157">
      <w:bodyDiv w:val="1"/>
      <w:marLeft w:val="0"/>
      <w:marRight w:val="0"/>
      <w:marTop w:val="0"/>
      <w:marBottom w:val="0"/>
      <w:divBdr>
        <w:top w:val="none" w:sz="0" w:space="0" w:color="auto"/>
        <w:left w:val="none" w:sz="0" w:space="0" w:color="auto"/>
        <w:bottom w:val="none" w:sz="0" w:space="0" w:color="auto"/>
        <w:right w:val="none" w:sz="0" w:space="0" w:color="auto"/>
      </w:divBdr>
    </w:div>
    <w:div w:id="75133025">
      <w:bodyDiv w:val="1"/>
      <w:marLeft w:val="0"/>
      <w:marRight w:val="0"/>
      <w:marTop w:val="0"/>
      <w:marBottom w:val="0"/>
      <w:divBdr>
        <w:top w:val="none" w:sz="0" w:space="0" w:color="auto"/>
        <w:left w:val="none" w:sz="0" w:space="0" w:color="auto"/>
        <w:bottom w:val="none" w:sz="0" w:space="0" w:color="auto"/>
        <w:right w:val="none" w:sz="0" w:space="0" w:color="auto"/>
      </w:divBdr>
    </w:div>
    <w:div w:id="105078129">
      <w:bodyDiv w:val="1"/>
      <w:marLeft w:val="0"/>
      <w:marRight w:val="0"/>
      <w:marTop w:val="0"/>
      <w:marBottom w:val="0"/>
      <w:divBdr>
        <w:top w:val="none" w:sz="0" w:space="0" w:color="auto"/>
        <w:left w:val="none" w:sz="0" w:space="0" w:color="auto"/>
        <w:bottom w:val="none" w:sz="0" w:space="0" w:color="auto"/>
        <w:right w:val="none" w:sz="0" w:space="0" w:color="auto"/>
      </w:divBdr>
    </w:div>
    <w:div w:id="166293802">
      <w:bodyDiv w:val="1"/>
      <w:marLeft w:val="0"/>
      <w:marRight w:val="0"/>
      <w:marTop w:val="0"/>
      <w:marBottom w:val="0"/>
      <w:divBdr>
        <w:top w:val="none" w:sz="0" w:space="0" w:color="auto"/>
        <w:left w:val="none" w:sz="0" w:space="0" w:color="auto"/>
        <w:bottom w:val="none" w:sz="0" w:space="0" w:color="auto"/>
        <w:right w:val="none" w:sz="0" w:space="0" w:color="auto"/>
      </w:divBdr>
    </w:div>
    <w:div w:id="182062482">
      <w:bodyDiv w:val="1"/>
      <w:marLeft w:val="0"/>
      <w:marRight w:val="0"/>
      <w:marTop w:val="0"/>
      <w:marBottom w:val="0"/>
      <w:divBdr>
        <w:top w:val="none" w:sz="0" w:space="0" w:color="auto"/>
        <w:left w:val="none" w:sz="0" w:space="0" w:color="auto"/>
        <w:bottom w:val="none" w:sz="0" w:space="0" w:color="auto"/>
        <w:right w:val="none" w:sz="0" w:space="0" w:color="auto"/>
      </w:divBdr>
    </w:div>
    <w:div w:id="188568170">
      <w:bodyDiv w:val="1"/>
      <w:marLeft w:val="0"/>
      <w:marRight w:val="0"/>
      <w:marTop w:val="0"/>
      <w:marBottom w:val="0"/>
      <w:divBdr>
        <w:top w:val="none" w:sz="0" w:space="0" w:color="auto"/>
        <w:left w:val="none" w:sz="0" w:space="0" w:color="auto"/>
        <w:bottom w:val="none" w:sz="0" w:space="0" w:color="auto"/>
        <w:right w:val="none" w:sz="0" w:space="0" w:color="auto"/>
      </w:divBdr>
    </w:div>
    <w:div w:id="196285041">
      <w:bodyDiv w:val="1"/>
      <w:marLeft w:val="0"/>
      <w:marRight w:val="0"/>
      <w:marTop w:val="0"/>
      <w:marBottom w:val="0"/>
      <w:divBdr>
        <w:top w:val="none" w:sz="0" w:space="0" w:color="auto"/>
        <w:left w:val="none" w:sz="0" w:space="0" w:color="auto"/>
        <w:bottom w:val="none" w:sz="0" w:space="0" w:color="auto"/>
        <w:right w:val="none" w:sz="0" w:space="0" w:color="auto"/>
      </w:divBdr>
    </w:div>
    <w:div w:id="205456442">
      <w:bodyDiv w:val="1"/>
      <w:marLeft w:val="0"/>
      <w:marRight w:val="0"/>
      <w:marTop w:val="0"/>
      <w:marBottom w:val="0"/>
      <w:divBdr>
        <w:top w:val="none" w:sz="0" w:space="0" w:color="auto"/>
        <w:left w:val="none" w:sz="0" w:space="0" w:color="auto"/>
        <w:bottom w:val="none" w:sz="0" w:space="0" w:color="auto"/>
        <w:right w:val="none" w:sz="0" w:space="0" w:color="auto"/>
      </w:divBdr>
    </w:div>
    <w:div w:id="225457942">
      <w:bodyDiv w:val="1"/>
      <w:marLeft w:val="0"/>
      <w:marRight w:val="0"/>
      <w:marTop w:val="0"/>
      <w:marBottom w:val="0"/>
      <w:divBdr>
        <w:top w:val="none" w:sz="0" w:space="0" w:color="auto"/>
        <w:left w:val="none" w:sz="0" w:space="0" w:color="auto"/>
        <w:bottom w:val="none" w:sz="0" w:space="0" w:color="auto"/>
        <w:right w:val="none" w:sz="0" w:space="0" w:color="auto"/>
      </w:divBdr>
    </w:div>
    <w:div w:id="241646439">
      <w:bodyDiv w:val="1"/>
      <w:marLeft w:val="0"/>
      <w:marRight w:val="0"/>
      <w:marTop w:val="0"/>
      <w:marBottom w:val="0"/>
      <w:divBdr>
        <w:top w:val="none" w:sz="0" w:space="0" w:color="auto"/>
        <w:left w:val="none" w:sz="0" w:space="0" w:color="auto"/>
        <w:bottom w:val="none" w:sz="0" w:space="0" w:color="auto"/>
        <w:right w:val="none" w:sz="0" w:space="0" w:color="auto"/>
      </w:divBdr>
    </w:div>
    <w:div w:id="262612622">
      <w:bodyDiv w:val="1"/>
      <w:marLeft w:val="0"/>
      <w:marRight w:val="0"/>
      <w:marTop w:val="0"/>
      <w:marBottom w:val="0"/>
      <w:divBdr>
        <w:top w:val="none" w:sz="0" w:space="0" w:color="auto"/>
        <w:left w:val="none" w:sz="0" w:space="0" w:color="auto"/>
        <w:bottom w:val="none" w:sz="0" w:space="0" w:color="auto"/>
        <w:right w:val="none" w:sz="0" w:space="0" w:color="auto"/>
      </w:divBdr>
    </w:div>
    <w:div w:id="268316975">
      <w:bodyDiv w:val="1"/>
      <w:marLeft w:val="0"/>
      <w:marRight w:val="0"/>
      <w:marTop w:val="0"/>
      <w:marBottom w:val="0"/>
      <w:divBdr>
        <w:top w:val="none" w:sz="0" w:space="0" w:color="auto"/>
        <w:left w:val="none" w:sz="0" w:space="0" w:color="auto"/>
        <w:bottom w:val="none" w:sz="0" w:space="0" w:color="auto"/>
        <w:right w:val="none" w:sz="0" w:space="0" w:color="auto"/>
      </w:divBdr>
    </w:div>
    <w:div w:id="271980019">
      <w:bodyDiv w:val="1"/>
      <w:marLeft w:val="0"/>
      <w:marRight w:val="0"/>
      <w:marTop w:val="0"/>
      <w:marBottom w:val="0"/>
      <w:divBdr>
        <w:top w:val="none" w:sz="0" w:space="0" w:color="auto"/>
        <w:left w:val="none" w:sz="0" w:space="0" w:color="auto"/>
        <w:bottom w:val="none" w:sz="0" w:space="0" w:color="auto"/>
        <w:right w:val="none" w:sz="0" w:space="0" w:color="auto"/>
      </w:divBdr>
    </w:div>
    <w:div w:id="281309733">
      <w:bodyDiv w:val="1"/>
      <w:marLeft w:val="0"/>
      <w:marRight w:val="0"/>
      <w:marTop w:val="0"/>
      <w:marBottom w:val="0"/>
      <w:divBdr>
        <w:top w:val="none" w:sz="0" w:space="0" w:color="auto"/>
        <w:left w:val="none" w:sz="0" w:space="0" w:color="auto"/>
        <w:bottom w:val="none" w:sz="0" w:space="0" w:color="auto"/>
        <w:right w:val="none" w:sz="0" w:space="0" w:color="auto"/>
      </w:divBdr>
    </w:div>
    <w:div w:id="299922167">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04697955">
      <w:bodyDiv w:val="1"/>
      <w:marLeft w:val="0"/>
      <w:marRight w:val="0"/>
      <w:marTop w:val="0"/>
      <w:marBottom w:val="0"/>
      <w:divBdr>
        <w:top w:val="none" w:sz="0" w:space="0" w:color="auto"/>
        <w:left w:val="none" w:sz="0" w:space="0" w:color="auto"/>
        <w:bottom w:val="none" w:sz="0" w:space="0" w:color="auto"/>
        <w:right w:val="none" w:sz="0" w:space="0" w:color="auto"/>
      </w:divBdr>
    </w:div>
    <w:div w:id="313025055">
      <w:bodyDiv w:val="1"/>
      <w:marLeft w:val="0"/>
      <w:marRight w:val="0"/>
      <w:marTop w:val="0"/>
      <w:marBottom w:val="0"/>
      <w:divBdr>
        <w:top w:val="none" w:sz="0" w:space="0" w:color="auto"/>
        <w:left w:val="none" w:sz="0" w:space="0" w:color="auto"/>
        <w:bottom w:val="none" w:sz="0" w:space="0" w:color="auto"/>
        <w:right w:val="none" w:sz="0" w:space="0" w:color="auto"/>
      </w:divBdr>
    </w:div>
    <w:div w:id="329790941">
      <w:bodyDiv w:val="1"/>
      <w:marLeft w:val="0"/>
      <w:marRight w:val="0"/>
      <w:marTop w:val="0"/>
      <w:marBottom w:val="0"/>
      <w:divBdr>
        <w:top w:val="none" w:sz="0" w:space="0" w:color="auto"/>
        <w:left w:val="none" w:sz="0" w:space="0" w:color="auto"/>
        <w:bottom w:val="none" w:sz="0" w:space="0" w:color="auto"/>
        <w:right w:val="none" w:sz="0" w:space="0" w:color="auto"/>
      </w:divBdr>
    </w:div>
    <w:div w:id="350422774">
      <w:bodyDiv w:val="1"/>
      <w:marLeft w:val="0"/>
      <w:marRight w:val="0"/>
      <w:marTop w:val="0"/>
      <w:marBottom w:val="0"/>
      <w:divBdr>
        <w:top w:val="none" w:sz="0" w:space="0" w:color="auto"/>
        <w:left w:val="none" w:sz="0" w:space="0" w:color="auto"/>
        <w:bottom w:val="none" w:sz="0" w:space="0" w:color="auto"/>
        <w:right w:val="none" w:sz="0" w:space="0" w:color="auto"/>
      </w:divBdr>
    </w:div>
    <w:div w:id="353506112">
      <w:bodyDiv w:val="1"/>
      <w:marLeft w:val="0"/>
      <w:marRight w:val="0"/>
      <w:marTop w:val="0"/>
      <w:marBottom w:val="0"/>
      <w:divBdr>
        <w:top w:val="none" w:sz="0" w:space="0" w:color="auto"/>
        <w:left w:val="none" w:sz="0" w:space="0" w:color="auto"/>
        <w:bottom w:val="none" w:sz="0" w:space="0" w:color="auto"/>
        <w:right w:val="none" w:sz="0" w:space="0" w:color="auto"/>
      </w:divBdr>
    </w:div>
    <w:div w:id="357661603">
      <w:bodyDiv w:val="1"/>
      <w:marLeft w:val="0"/>
      <w:marRight w:val="0"/>
      <w:marTop w:val="0"/>
      <w:marBottom w:val="0"/>
      <w:divBdr>
        <w:top w:val="none" w:sz="0" w:space="0" w:color="auto"/>
        <w:left w:val="none" w:sz="0" w:space="0" w:color="auto"/>
        <w:bottom w:val="none" w:sz="0" w:space="0" w:color="auto"/>
        <w:right w:val="none" w:sz="0" w:space="0" w:color="auto"/>
      </w:divBdr>
    </w:div>
    <w:div w:id="410395297">
      <w:bodyDiv w:val="1"/>
      <w:marLeft w:val="0"/>
      <w:marRight w:val="0"/>
      <w:marTop w:val="0"/>
      <w:marBottom w:val="0"/>
      <w:divBdr>
        <w:top w:val="none" w:sz="0" w:space="0" w:color="auto"/>
        <w:left w:val="none" w:sz="0" w:space="0" w:color="auto"/>
        <w:bottom w:val="none" w:sz="0" w:space="0" w:color="auto"/>
        <w:right w:val="none" w:sz="0" w:space="0" w:color="auto"/>
      </w:divBdr>
    </w:div>
    <w:div w:id="440492896">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80464002">
      <w:bodyDiv w:val="1"/>
      <w:marLeft w:val="0"/>
      <w:marRight w:val="0"/>
      <w:marTop w:val="0"/>
      <w:marBottom w:val="0"/>
      <w:divBdr>
        <w:top w:val="none" w:sz="0" w:space="0" w:color="auto"/>
        <w:left w:val="none" w:sz="0" w:space="0" w:color="auto"/>
        <w:bottom w:val="none" w:sz="0" w:space="0" w:color="auto"/>
        <w:right w:val="none" w:sz="0" w:space="0" w:color="auto"/>
      </w:divBdr>
    </w:div>
    <w:div w:id="496532464">
      <w:bodyDiv w:val="1"/>
      <w:marLeft w:val="0"/>
      <w:marRight w:val="0"/>
      <w:marTop w:val="0"/>
      <w:marBottom w:val="0"/>
      <w:divBdr>
        <w:top w:val="none" w:sz="0" w:space="0" w:color="auto"/>
        <w:left w:val="none" w:sz="0" w:space="0" w:color="auto"/>
        <w:bottom w:val="none" w:sz="0" w:space="0" w:color="auto"/>
        <w:right w:val="none" w:sz="0" w:space="0" w:color="auto"/>
      </w:divBdr>
    </w:div>
    <w:div w:id="505635167">
      <w:bodyDiv w:val="1"/>
      <w:marLeft w:val="0"/>
      <w:marRight w:val="0"/>
      <w:marTop w:val="0"/>
      <w:marBottom w:val="0"/>
      <w:divBdr>
        <w:top w:val="none" w:sz="0" w:space="0" w:color="auto"/>
        <w:left w:val="none" w:sz="0" w:space="0" w:color="auto"/>
        <w:bottom w:val="none" w:sz="0" w:space="0" w:color="auto"/>
        <w:right w:val="none" w:sz="0" w:space="0" w:color="auto"/>
      </w:divBdr>
    </w:div>
    <w:div w:id="526722528">
      <w:bodyDiv w:val="1"/>
      <w:marLeft w:val="0"/>
      <w:marRight w:val="0"/>
      <w:marTop w:val="0"/>
      <w:marBottom w:val="0"/>
      <w:divBdr>
        <w:top w:val="none" w:sz="0" w:space="0" w:color="auto"/>
        <w:left w:val="none" w:sz="0" w:space="0" w:color="auto"/>
        <w:bottom w:val="none" w:sz="0" w:space="0" w:color="auto"/>
        <w:right w:val="none" w:sz="0" w:space="0" w:color="auto"/>
      </w:divBdr>
    </w:div>
    <w:div w:id="546260429">
      <w:bodyDiv w:val="1"/>
      <w:marLeft w:val="0"/>
      <w:marRight w:val="0"/>
      <w:marTop w:val="0"/>
      <w:marBottom w:val="0"/>
      <w:divBdr>
        <w:top w:val="none" w:sz="0" w:space="0" w:color="auto"/>
        <w:left w:val="none" w:sz="0" w:space="0" w:color="auto"/>
        <w:bottom w:val="none" w:sz="0" w:space="0" w:color="auto"/>
        <w:right w:val="none" w:sz="0" w:space="0" w:color="auto"/>
      </w:divBdr>
    </w:div>
    <w:div w:id="576134585">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604581575">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651788207">
      <w:bodyDiv w:val="1"/>
      <w:marLeft w:val="0"/>
      <w:marRight w:val="0"/>
      <w:marTop w:val="0"/>
      <w:marBottom w:val="0"/>
      <w:divBdr>
        <w:top w:val="none" w:sz="0" w:space="0" w:color="auto"/>
        <w:left w:val="none" w:sz="0" w:space="0" w:color="auto"/>
        <w:bottom w:val="none" w:sz="0" w:space="0" w:color="auto"/>
        <w:right w:val="none" w:sz="0" w:space="0" w:color="auto"/>
      </w:divBdr>
    </w:div>
    <w:div w:id="686950297">
      <w:bodyDiv w:val="1"/>
      <w:marLeft w:val="0"/>
      <w:marRight w:val="0"/>
      <w:marTop w:val="0"/>
      <w:marBottom w:val="0"/>
      <w:divBdr>
        <w:top w:val="none" w:sz="0" w:space="0" w:color="auto"/>
        <w:left w:val="none" w:sz="0" w:space="0" w:color="auto"/>
        <w:bottom w:val="none" w:sz="0" w:space="0" w:color="auto"/>
        <w:right w:val="none" w:sz="0" w:space="0" w:color="auto"/>
      </w:divBdr>
    </w:div>
    <w:div w:id="716705382">
      <w:bodyDiv w:val="1"/>
      <w:marLeft w:val="0"/>
      <w:marRight w:val="0"/>
      <w:marTop w:val="0"/>
      <w:marBottom w:val="0"/>
      <w:divBdr>
        <w:top w:val="none" w:sz="0" w:space="0" w:color="auto"/>
        <w:left w:val="none" w:sz="0" w:space="0" w:color="auto"/>
        <w:bottom w:val="none" w:sz="0" w:space="0" w:color="auto"/>
        <w:right w:val="none" w:sz="0" w:space="0" w:color="auto"/>
      </w:divBdr>
    </w:div>
    <w:div w:id="719551592">
      <w:bodyDiv w:val="1"/>
      <w:marLeft w:val="0"/>
      <w:marRight w:val="0"/>
      <w:marTop w:val="0"/>
      <w:marBottom w:val="0"/>
      <w:divBdr>
        <w:top w:val="none" w:sz="0" w:space="0" w:color="auto"/>
        <w:left w:val="none" w:sz="0" w:space="0" w:color="auto"/>
        <w:bottom w:val="none" w:sz="0" w:space="0" w:color="auto"/>
        <w:right w:val="none" w:sz="0" w:space="0" w:color="auto"/>
      </w:divBdr>
    </w:div>
    <w:div w:id="768159267">
      <w:bodyDiv w:val="1"/>
      <w:marLeft w:val="0"/>
      <w:marRight w:val="0"/>
      <w:marTop w:val="0"/>
      <w:marBottom w:val="0"/>
      <w:divBdr>
        <w:top w:val="none" w:sz="0" w:space="0" w:color="auto"/>
        <w:left w:val="none" w:sz="0" w:space="0" w:color="auto"/>
        <w:bottom w:val="none" w:sz="0" w:space="0" w:color="auto"/>
        <w:right w:val="none" w:sz="0" w:space="0" w:color="auto"/>
      </w:divBdr>
    </w:div>
    <w:div w:id="775758363">
      <w:bodyDiv w:val="1"/>
      <w:marLeft w:val="0"/>
      <w:marRight w:val="0"/>
      <w:marTop w:val="0"/>
      <w:marBottom w:val="0"/>
      <w:divBdr>
        <w:top w:val="none" w:sz="0" w:space="0" w:color="auto"/>
        <w:left w:val="none" w:sz="0" w:space="0" w:color="auto"/>
        <w:bottom w:val="none" w:sz="0" w:space="0" w:color="auto"/>
        <w:right w:val="none" w:sz="0" w:space="0" w:color="auto"/>
      </w:divBdr>
    </w:div>
    <w:div w:id="775835043">
      <w:bodyDiv w:val="1"/>
      <w:marLeft w:val="0"/>
      <w:marRight w:val="0"/>
      <w:marTop w:val="0"/>
      <w:marBottom w:val="0"/>
      <w:divBdr>
        <w:top w:val="none" w:sz="0" w:space="0" w:color="auto"/>
        <w:left w:val="none" w:sz="0" w:space="0" w:color="auto"/>
        <w:bottom w:val="none" w:sz="0" w:space="0" w:color="auto"/>
        <w:right w:val="none" w:sz="0" w:space="0" w:color="auto"/>
      </w:divBdr>
    </w:div>
    <w:div w:id="812259928">
      <w:bodyDiv w:val="1"/>
      <w:marLeft w:val="0"/>
      <w:marRight w:val="0"/>
      <w:marTop w:val="0"/>
      <w:marBottom w:val="0"/>
      <w:divBdr>
        <w:top w:val="none" w:sz="0" w:space="0" w:color="auto"/>
        <w:left w:val="none" w:sz="0" w:space="0" w:color="auto"/>
        <w:bottom w:val="none" w:sz="0" w:space="0" w:color="auto"/>
        <w:right w:val="none" w:sz="0" w:space="0" w:color="auto"/>
      </w:divBdr>
    </w:div>
    <w:div w:id="836308796">
      <w:bodyDiv w:val="1"/>
      <w:marLeft w:val="0"/>
      <w:marRight w:val="0"/>
      <w:marTop w:val="0"/>
      <w:marBottom w:val="0"/>
      <w:divBdr>
        <w:top w:val="none" w:sz="0" w:space="0" w:color="auto"/>
        <w:left w:val="none" w:sz="0" w:space="0" w:color="auto"/>
        <w:bottom w:val="none" w:sz="0" w:space="0" w:color="auto"/>
        <w:right w:val="none" w:sz="0" w:space="0" w:color="auto"/>
      </w:divBdr>
    </w:div>
    <w:div w:id="845486405">
      <w:bodyDiv w:val="1"/>
      <w:marLeft w:val="0"/>
      <w:marRight w:val="0"/>
      <w:marTop w:val="0"/>
      <w:marBottom w:val="0"/>
      <w:divBdr>
        <w:top w:val="none" w:sz="0" w:space="0" w:color="auto"/>
        <w:left w:val="none" w:sz="0" w:space="0" w:color="auto"/>
        <w:bottom w:val="none" w:sz="0" w:space="0" w:color="auto"/>
        <w:right w:val="none" w:sz="0" w:space="0" w:color="auto"/>
      </w:divBdr>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893154804">
      <w:bodyDiv w:val="1"/>
      <w:marLeft w:val="0"/>
      <w:marRight w:val="0"/>
      <w:marTop w:val="0"/>
      <w:marBottom w:val="0"/>
      <w:divBdr>
        <w:top w:val="none" w:sz="0" w:space="0" w:color="auto"/>
        <w:left w:val="none" w:sz="0" w:space="0" w:color="auto"/>
        <w:bottom w:val="none" w:sz="0" w:space="0" w:color="auto"/>
        <w:right w:val="none" w:sz="0" w:space="0" w:color="auto"/>
      </w:divBdr>
    </w:div>
    <w:div w:id="901251177">
      <w:bodyDiv w:val="1"/>
      <w:marLeft w:val="0"/>
      <w:marRight w:val="0"/>
      <w:marTop w:val="0"/>
      <w:marBottom w:val="0"/>
      <w:divBdr>
        <w:top w:val="none" w:sz="0" w:space="0" w:color="auto"/>
        <w:left w:val="none" w:sz="0" w:space="0" w:color="auto"/>
        <w:bottom w:val="none" w:sz="0" w:space="0" w:color="auto"/>
        <w:right w:val="none" w:sz="0" w:space="0" w:color="auto"/>
      </w:divBdr>
    </w:div>
    <w:div w:id="937711592">
      <w:bodyDiv w:val="1"/>
      <w:marLeft w:val="0"/>
      <w:marRight w:val="0"/>
      <w:marTop w:val="0"/>
      <w:marBottom w:val="0"/>
      <w:divBdr>
        <w:top w:val="none" w:sz="0" w:space="0" w:color="auto"/>
        <w:left w:val="none" w:sz="0" w:space="0" w:color="auto"/>
        <w:bottom w:val="none" w:sz="0" w:space="0" w:color="auto"/>
        <w:right w:val="none" w:sz="0" w:space="0" w:color="auto"/>
      </w:divBdr>
    </w:div>
    <w:div w:id="960039579">
      <w:bodyDiv w:val="1"/>
      <w:marLeft w:val="0"/>
      <w:marRight w:val="0"/>
      <w:marTop w:val="0"/>
      <w:marBottom w:val="0"/>
      <w:divBdr>
        <w:top w:val="none" w:sz="0" w:space="0" w:color="auto"/>
        <w:left w:val="none" w:sz="0" w:space="0" w:color="auto"/>
        <w:bottom w:val="none" w:sz="0" w:space="0" w:color="auto"/>
        <w:right w:val="none" w:sz="0" w:space="0" w:color="auto"/>
      </w:divBdr>
    </w:div>
    <w:div w:id="990794495">
      <w:bodyDiv w:val="1"/>
      <w:marLeft w:val="0"/>
      <w:marRight w:val="0"/>
      <w:marTop w:val="0"/>
      <w:marBottom w:val="0"/>
      <w:divBdr>
        <w:top w:val="none" w:sz="0" w:space="0" w:color="auto"/>
        <w:left w:val="none" w:sz="0" w:space="0" w:color="auto"/>
        <w:bottom w:val="none" w:sz="0" w:space="0" w:color="auto"/>
        <w:right w:val="none" w:sz="0" w:space="0" w:color="auto"/>
      </w:divBdr>
    </w:div>
    <w:div w:id="1000737428">
      <w:bodyDiv w:val="1"/>
      <w:marLeft w:val="0"/>
      <w:marRight w:val="0"/>
      <w:marTop w:val="0"/>
      <w:marBottom w:val="0"/>
      <w:divBdr>
        <w:top w:val="none" w:sz="0" w:space="0" w:color="auto"/>
        <w:left w:val="none" w:sz="0" w:space="0" w:color="auto"/>
        <w:bottom w:val="none" w:sz="0" w:space="0" w:color="auto"/>
        <w:right w:val="none" w:sz="0" w:space="0" w:color="auto"/>
      </w:divBdr>
    </w:div>
    <w:div w:id="1011302341">
      <w:bodyDiv w:val="1"/>
      <w:marLeft w:val="0"/>
      <w:marRight w:val="0"/>
      <w:marTop w:val="0"/>
      <w:marBottom w:val="0"/>
      <w:divBdr>
        <w:top w:val="none" w:sz="0" w:space="0" w:color="auto"/>
        <w:left w:val="none" w:sz="0" w:space="0" w:color="auto"/>
        <w:bottom w:val="none" w:sz="0" w:space="0" w:color="auto"/>
        <w:right w:val="none" w:sz="0" w:space="0" w:color="auto"/>
      </w:divBdr>
    </w:div>
    <w:div w:id="1037196896">
      <w:bodyDiv w:val="1"/>
      <w:marLeft w:val="0"/>
      <w:marRight w:val="0"/>
      <w:marTop w:val="0"/>
      <w:marBottom w:val="0"/>
      <w:divBdr>
        <w:top w:val="none" w:sz="0" w:space="0" w:color="auto"/>
        <w:left w:val="none" w:sz="0" w:space="0" w:color="auto"/>
        <w:bottom w:val="none" w:sz="0" w:space="0" w:color="auto"/>
        <w:right w:val="none" w:sz="0" w:space="0" w:color="auto"/>
      </w:divBdr>
    </w:div>
    <w:div w:id="1043209617">
      <w:bodyDiv w:val="1"/>
      <w:marLeft w:val="0"/>
      <w:marRight w:val="0"/>
      <w:marTop w:val="0"/>
      <w:marBottom w:val="0"/>
      <w:divBdr>
        <w:top w:val="none" w:sz="0" w:space="0" w:color="auto"/>
        <w:left w:val="none" w:sz="0" w:space="0" w:color="auto"/>
        <w:bottom w:val="none" w:sz="0" w:space="0" w:color="auto"/>
        <w:right w:val="none" w:sz="0" w:space="0" w:color="auto"/>
      </w:divBdr>
    </w:div>
    <w:div w:id="1095320843">
      <w:bodyDiv w:val="1"/>
      <w:marLeft w:val="0"/>
      <w:marRight w:val="0"/>
      <w:marTop w:val="0"/>
      <w:marBottom w:val="0"/>
      <w:divBdr>
        <w:top w:val="none" w:sz="0" w:space="0" w:color="auto"/>
        <w:left w:val="none" w:sz="0" w:space="0" w:color="auto"/>
        <w:bottom w:val="none" w:sz="0" w:space="0" w:color="auto"/>
        <w:right w:val="none" w:sz="0" w:space="0" w:color="auto"/>
      </w:divBdr>
    </w:div>
    <w:div w:id="1115445023">
      <w:bodyDiv w:val="1"/>
      <w:marLeft w:val="0"/>
      <w:marRight w:val="0"/>
      <w:marTop w:val="0"/>
      <w:marBottom w:val="0"/>
      <w:divBdr>
        <w:top w:val="none" w:sz="0" w:space="0" w:color="auto"/>
        <w:left w:val="none" w:sz="0" w:space="0" w:color="auto"/>
        <w:bottom w:val="none" w:sz="0" w:space="0" w:color="auto"/>
        <w:right w:val="none" w:sz="0" w:space="0" w:color="auto"/>
      </w:divBdr>
    </w:div>
    <w:div w:id="1154033411">
      <w:bodyDiv w:val="1"/>
      <w:marLeft w:val="0"/>
      <w:marRight w:val="0"/>
      <w:marTop w:val="0"/>
      <w:marBottom w:val="0"/>
      <w:divBdr>
        <w:top w:val="none" w:sz="0" w:space="0" w:color="auto"/>
        <w:left w:val="none" w:sz="0" w:space="0" w:color="auto"/>
        <w:bottom w:val="none" w:sz="0" w:space="0" w:color="auto"/>
        <w:right w:val="none" w:sz="0" w:space="0" w:color="auto"/>
      </w:divBdr>
    </w:div>
    <w:div w:id="1185905074">
      <w:bodyDiv w:val="1"/>
      <w:marLeft w:val="0"/>
      <w:marRight w:val="0"/>
      <w:marTop w:val="0"/>
      <w:marBottom w:val="0"/>
      <w:divBdr>
        <w:top w:val="none" w:sz="0" w:space="0" w:color="auto"/>
        <w:left w:val="none" w:sz="0" w:space="0" w:color="auto"/>
        <w:bottom w:val="none" w:sz="0" w:space="0" w:color="auto"/>
        <w:right w:val="none" w:sz="0" w:space="0" w:color="auto"/>
      </w:divBdr>
    </w:div>
    <w:div w:id="1198087235">
      <w:bodyDiv w:val="1"/>
      <w:marLeft w:val="0"/>
      <w:marRight w:val="0"/>
      <w:marTop w:val="0"/>
      <w:marBottom w:val="0"/>
      <w:divBdr>
        <w:top w:val="none" w:sz="0" w:space="0" w:color="auto"/>
        <w:left w:val="none" w:sz="0" w:space="0" w:color="auto"/>
        <w:bottom w:val="none" w:sz="0" w:space="0" w:color="auto"/>
        <w:right w:val="none" w:sz="0" w:space="0" w:color="auto"/>
      </w:divBdr>
    </w:div>
    <w:div w:id="1207252199">
      <w:bodyDiv w:val="1"/>
      <w:marLeft w:val="0"/>
      <w:marRight w:val="0"/>
      <w:marTop w:val="0"/>
      <w:marBottom w:val="0"/>
      <w:divBdr>
        <w:top w:val="none" w:sz="0" w:space="0" w:color="auto"/>
        <w:left w:val="none" w:sz="0" w:space="0" w:color="auto"/>
        <w:bottom w:val="none" w:sz="0" w:space="0" w:color="auto"/>
        <w:right w:val="none" w:sz="0" w:space="0" w:color="auto"/>
      </w:divBdr>
    </w:div>
    <w:div w:id="1234967197">
      <w:bodyDiv w:val="1"/>
      <w:marLeft w:val="0"/>
      <w:marRight w:val="0"/>
      <w:marTop w:val="0"/>
      <w:marBottom w:val="0"/>
      <w:divBdr>
        <w:top w:val="none" w:sz="0" w:space="0" w:color="auto"/>
        <w:left w:val="none" w:sz="0" w:space="0" w:color="auto"/>
        <w:bottom w:val="none" w:sz="0" w:space="0" w:color="auto"/>
        <w:right w:val="none" w:sz="0" w:space="0" w:color="auto"/>
      </w:divBdr>
    </w:div>
    <w:div w:id="1265074049">
      <w:bodyDiv w:val="1"/>
      <w:marLeft w:val="0"/>
      <w:marRight w:val="0"/>
      <w:marTop w:val="0"/>
      <w:marBottom w:val="0"/>
      <w:divBdr>
        <w:top w:val="none" w:sz="0" w:space="0" w:color="auto"/>
        <w:left w:val="none" w:sz="0" w:space="0" w:color="auto"/>
        <w:bottom w:val="none" w:sz="0" w:space="0" w:color="auto"/>
        <w:right w:val="none" w:sz="0" w:space="0" w:color="auto"/>
      </w:divBdr>
    </w:div>
    <w:div w:id="1282154651">
      <w:bodyDiv w:val="1"/>
      <w:marLeft w:val="0"/>
      <w:marRight w:val="0"/>
      <w:marTop w:val="0"/>
      <w:marBottom w:val="0"/>
      <w:divBdr>
        <w:top w:val="none" w:sz="0" w:space="0" w:color="auto"/>
        <w:left w:val="none" w:sz="0" w:space="0" w:color="auto"/>
        <w:bottom w:val="none" w:sz="0" w:space="0" w:color="auto"/>
        <w:right w:val="none" w:sz="0" w:space="0" w:color="auto"/>
      </w:divBdr>
    </w:div>
    <w:div w:id="1294480727">
      <w:bodyDiv w:val="1"/>
      <w:marLeft w:val="0"/>
      <w:marRight w:val="0"/>
      <w:marTop w:val="0"/>
      <w:marBottom w:val="0"/>
      <w:divBdr>
        <w:top w:val="none" w:sz="0" w:space="0" w:color="auto"/>
        <w:left w:val="none" w:sz="0" w:space="0" w:color="auto"/>
        <w:bottom w:val="none" w:sz="0" w:space="0" w:color="auto"/>
        <w:right w:val="none" w:sz="0" w:space="0" w:color="auto"/>
      </w:divBdr>
    </w:div>
    <w:div w:id="1296526062">
      <w:bodyDiv w:val="1"/>
      <w:marLeft w:val="0"/>
      <w:marRight w:val="0"/>
      <w:marTop w:val="0"/>
      <w:marBottom w:val="0"/>
      <w:divBdr>
        <w:top w:val="none" w:sz="0" w:space="0" w:color="auto"/>
        <w:left w:val="none" w:sz="0" w:space="0" w:color="auto"/>
        <w:bottom w:val="none" w:sz="0" w:space="0" w:color="auto"/>
        <w:right w:val="none" w:sz="0" w:space="0" w:color="auto"/>
      </w:divBdr>
    </w:div>
    <w:div w:id="1389257293">
      <w:bodyDiv w:val="1"/>
      <w:marLeft w:val="0"/>
      <w:marRight w:val="0"/>
      <w:marTop w:val="0"/>
      <w:marBottom w:val="0"/>
      <w:divBdr>
        <w:top w:val="none" w:sz="0" w:space="0" w:color="auto"/>
        <w:left w:val="none" w:sz="0" w:space="0" w:color="auto"/>
        <w:bottom w:val="none" w:sz="0" w:space="0" w:color="auto"/>
        <w:right w:val="none" w:sz="0" w:space="0" w:color="auto"/>
      </w:divBdr>
    </w:div>
    <w:div w:id="1392968968">
      <w:bodyDiv w:val="1"/>
      <w:marLeft w:val="0"/>
      <w:marRight w:val="0"/>
      <w:marTop w:val="0"/>
      <w:marBottom w:val="0"/>
      <w:divBdr>
        <w:top w:val="none" w:sz="0" w:space="0" w:color="auto"/>
        <w:left w:val="none" w:sz="0" w:space="0" w:color="auto"/>
        <w:bottom w:val="none" w:sz="0" w:space="0" w:color="auto"/>
        <w:right w:val="none" w:sz="0" w:space="0" w:color="auto"/>
      </w:divBdr>
    </w:div>
    <w:div w:id="1397703627">
      <w:bodyDiv w:val="1"/>
      <w:marLeft w:val="0"/>
      <w:marRight w:val="0"/>
      <w:marTop w:val="0"/>
      <w:marBottom w:val="0"/>
      <w:divBdr>
        <w:top w:val="none" w:sz="0" w:space="0" w:color="auto"/>
        <w:left w:val="none" w:sz="0" w:space="0" w:color="auto"/>
        <w:bottom w:val="none" w:sz="0" w:space="0" w:color="auto"/>
        <w:right w:val="none" w:sz="0" w:space="0" w:color="auto"/>
      </w:divBdr>
    </w:div>
    <w:div w:id="1404990067">
      <w:bodyDiv w:val="1"/>
      <w:marLeft w:val="0"/>
      <w:marRight w:val="0"/>
      <w:marTop w:val="0"/>
      <w:marBottom w:val="0"/>
      <w:divBdr>
        <w:top w:val="none" w:sz="0" w:space="0" w:color="auto"/>
        <w:left w:val="none" w:sz="0" w:space="0" w:color="auto"/>
        <w:bottom w:val="none" w:sz="0" w:space="0" w:color="auto"/>
        <w:right w:val="none" w:sz="0" w:space="0" w:color="auto"/>
      </w:divBdr>
    </w:div>
    <w:div w:id="1429694291">
      <w:bodyDiv w:val="1"/>
      <w:marLeft w:val="0"/>
      <w:marRight w:val="0"/>
      <w:marTop w:val="0"/>
      <w:marBottom w:val="0"/>
      <w:divBdr>
        <w:top w:val="none" w:sz="0" w:space="0" w:color="auto"/>
        <w:left w:val="none" w:sz="0" w:space="0" w:color="auto"/>
        <w:bottom w:val="none" w:sz="0" w:space="0" w:color="auto"/>
        <w:right w:val="none" w:sz="0" w:space="0" w:color="auto"/>
      </w:divBdr>
    </w:div>
    <w:div w:id="1430420429">
      <w:bodyDiv w:val="1"/>
      <w:marLeft w:val="0"/>
      <w:marRight w:val="0"/>
      <w:marTop w:val="0"/>
      <w:marBottom w:val="0"/>
      <w:divBdr>
        <w:top w:val="none" w:sz="0" w:space="0" w:color="auto"/>
        <w:left w:val="none" w:sz="0" w:space="0" w:color="auto"/>
        <w:bottom w:val="none" w:sz="0" w:space="0" w:color="auto"/>
        <w:right w:val="none" w:sz="0" w:space="0" w:color="auto"/>
      </w:divBdr>
    </w:div>
    <w:div w:id="1461341093">
      <w:bodyDiv w:val="1"/>
      <w:marLeft w:val="0"/>
      <w:marRight w:val="0"/>
      <w:marTop w:val="0"/>
      <w:marBottom w:val="0"/>
      <w:divBdr>
        <w:top w:val="none" w:sz="0" w:space="0" w:color="auto"/>
        <w:left w:val="none" w:sz="0" w:space="0" w:color="auto"/>
        <w:bottom w:val="none" w:sz="0" w:space="0" w:color="auto"/>
        <w:right w:val="none" w:sz="0" w:space="0" w:color="auto"/>
      </w:divBdr>
    </w:div>
    <w:div w:id="1468546754">
      <w:bodyDiv w:val="1"/>
      <w:marLeft w:val="0"/>
      <w:marRight w:val="0"/>
      <w:marTop w:val="0"/>
      <w:marBottom w:val="0"/>
      <w:divBdr>
        <w:top w:val="none" w:sz="0" w:space="0" w:color="auto"/>
        <w:left w:val="none" w:sz="0" w:space="0" w:color="auto"/>
        <w:bottom w:val="none" w:sz="0" w:space="0" w:color="auto"/>
        <w:right w:val="none" w:sz="0" w:space="0" w:color="auto"/>
      </w:divBdr>
    </w:div>
    <w:div w:id="1493332429">
      <w:bodyDiv w:val="1"/>
      <w:marLeft w:val="0"/>
      <w:marRight w:val="0"/>
      <w:marTop w:val="0"/>
      <w:marBottom w:val="0"/>
      <w:divBdr>
        <w:top w:val="none" w:sz="0" w:space="0" w:color="auto"/>
        <w:left w:val="none" w:sz="0" w:space="0" w:color="auto"/>
        <w:bottom w:val="none" w:sz="0" w:space="0" w:color="auto"/>
        <w:right w:val="none" w:sz="0" w:space="0" w:color="auto"/>
      </w:divBdr>
    </w:div>
    <w:div w:id="1507793962">
      <w:bodyDiv w:val="1"/>
      <w:marLeft w:val="0"/>
      <w:marRight w:val="0"/>
      <w:marTop w:val="0"/>
      <w:marBottom w:val="0"/>
      <w:divBdr>
        <w:top w:val="none" w:sz="0" w:space="0" w:color="auto"/>
        <w:left w:val="none" w:sz="0" w:space="0" w:color="auto"/>
        <w:bottom w:val="none" w:sz="0" w:space="0" w:color="auto"/>
        <w:right w:val="none" w:sz="0" w:space="0" w:color="auto"/>
      </w:divBdr>
    </w:div>
    <w:div w:id="1594124303">
      <w:bodyDiv w:val="1"/>
      <w:marLeft w:val="0"/>
      <w:marRight w:val="0"/>
      <w:marTop w:val="0"/>
      <w:marBottom w:val="0"/>
      <w:divBdr>
        <w:top w:val="none" w:sz="0" w:space="0" w:color="auto"/>
        <w:left w:val="none" w:sz="0" w:space="0" w:color="auto"/>
        <w:bottom w:val="none" w:sz="0" w:space="0" w:color="auto"/>
        <w:right w:val="none" w:sz="0" w:space="0" w:color="auto"/>
      </w:divBdr>
    </w:div>
    <w:div w:id="1611013285">
      <w:bodyDiv w:val="1"/>
      <w:marLeft w:val="0"/>
      <w:marRight w:val="0"/>
      <w:marTop w:val="0"/>
      <w:marBottom w:val="0"/>
      <w:divBdr>
        <w:top w:val="none" w:sz="0" w:space="0" w:color="auto"/>
        <w:left w:val="none" w:sz="0" w:space="0" w:color="auto"/>
        <w:bottom w:val="none" w:sz="0" w:space="0" w:color="auto"/>
        <w:right w:val="none" w:sz="0" w:space="0" w:color="auto"/>
      </w:divBdr>
    </w:div>
    <w:div w:id="1615209440">
      <w:bodyDiv w:val="1"/>
      <w:marLeft w:val="0"/>
      <w:marRight w:val="0"/>
      <w:marTop w:val="0"/>
      <w:marBottom w:val="0"/>
      <w:divBdr>
        <w:top w:val="none" w:sz="0" w:space="0" w:color="auto"/>
        <w:left w:val="none" w:sz="0" w:space="0" w:color="auto"/>
        <w:bottom w:val="none" w:sz="0" w:space="0" w:color="auto"/>
        <w:right w:val="none" w:sz="0" w:space="0" w:color="auto"/>
      </w:divBdr>
    </w:div>
    <w:div w:id="1639795843">
      <w:bodyDiv w:val="1"/>
      <w:marLeft w:val="0"/>
      <w:marRight w:val="0"/>
      <w:marTop w:val="0"/>
      <w:marBottom w:val="0"/>
      <w:divBdr>
        <w:top w:val="none" w:sz="0" w:space="0" w:color="auto"/>
        <w:left w:val="none" w:sz="0" w:space="0" w:color="auto"/>
        <w:bottom w:val="none" w:sz="0" w:space="0" w:color="auto"/>
        <w:right w:val="none" w:sz="0" w:space="0" w:color="auto"/>
      </w:divBdr>
    </w:div>
    <w:div w:id="1645811258">
      <w:bodyDiv w:val="1"/>
      <w:marLeft w:val="0"/>
      <w:marRight w:val="0"/>
      <w:marTop w:val="0"/>
      <w:marBottom w:val="0"/>
      <w:divBdr>
        <w:top w:val="none" w:sz="0" w:space="0" w:color="auto"/>
        <w:left w:val="none" w:sz="0" w:space="0" w:color="auto"/>
        <w:bottom w:val="none" w:sz="0" w:space="0" w:color="auto"/>
        <w:right w:val="none" w:sz="0" w:space="0" w:color="auto"/>
      </w:divBdr>
    </w:div>
    <w:div w:id="1651712236">
      <w:bodyDiv w:val="1"/>
      <w:marLeft w:val="0"/>
      <w:marRight w:val="0"/>
      <w:marTop w:val="0"/>
      <w:marBottom w:val="0"/>
      <w:divBdr>
        <w:top w:val="none" w:sz="0" w:space="0" w:color="auto"/>
        <w:left w:val="none" w:sz="0" w:space="0" w:color="auto"/>
        <w:bottom w:val="none" w:sz="0" w:space="0" w:color="auto"/>
        <w:right w:val="none" w:sz="0" w:space="0" w:color="auto"/>
      </w:divBdr>
    </w:div>
    <w:div w:id="1674604773">
      <w:bodyDiv w:val="1"/>
      <w:marLeft w:val="0"/>
      <w:marRight w:val="0"/>
      <w:marTop w:val="0"/>
      <w:marBottom w:val="0"/>
      <w:divBdr>
        <w:top w:val="none" w:sz="0" w:space="0" w:color="auto"/>
        <w:left w:val="none" w:sz="0" w:space="0" w:color="auto"/>
        <w:bottom w:val="none" w:sz="0" w:space="0" w:color="auto"/>
        <w:right w:val="none" w:sz="0" w:space="0" w:color="auto"/>
      </w:divBdr>
    </w:div>
    <w:div w:id="1694334174">
      <w:bodyDiv w:val="1"/>
      <w:marLeft w:val="0"/>
      <w:marRight w:val="0"/>
      <w:marTop w:val="0"/>
      <w:marBottom w:val="0"/>
      <w:divBdr>
        <w:top w:val="none" w:sz="0" w:space="0" w:color="auto"/>
        <w:left w:val="none" w:sz="0" w:space="0" w:color="auto"/>
        <w:bottom w:val="none" w:sz="0" w:space="0" w:color="auto"/>
        <w:right w:val="none" w:sz="0" w:space="0" w:color="auto"/>
      </w:divBdr>
    </w:div>
    <w:div w:id="1702977027">
      <w:bodyDiv w:val="1"/>
      <w:marLeft w:val="0"/>
      <w:marRight w:val="0"/>
      <w:marTop w:val="0"/>
      <w:marBottom w:val="0"/>
      <w:divBdr>
        <w:top w:val="none" w:sz="0" w:space="0" w:color="auto"/>
        <w:left w:val="none" w:sz="0" w:space="0" w:color="auto"/>
        <w:bottom w:val="none" w:sz="0" w:space="0" w:color="auto"/>
        <w:right w:val="none" w:sz="0" w:space="0" w:color="auto"/>
      </w:divBdr>
    </w:div>
    <w:div w:id="1714771540">
      <w:bodyDiv w:val="1"/>
      <w:marLeft w:val="0"/>
      <w:marRight w:val="0"/>
      <w:marTop w:val="0"/>
      <w:marBottom w:val="0"/>
      <w:divBdr>
        <w:top w:val="none" w:sz="0" w:space="0" w:color="auto"/>
        <w:left w:val="none" w:sz="0" w:space="0" w:color="auto"/>
        <w:bottom w:val="none" w:sz="0" w:space="0" w:color="auto"/>
        <w:right w:val="none" w:sz="0" w:space="0" w:color="auto"/>
      </w:divBdr>
    </w:div>
    <w:div w:id="1717970674">
      <w:bodyDiv w:val="1"/>
      <w:marLeft w:val="0"/>
      <w:marRight w:val="0"/>
      <w:marTop w:val="0"/>
      <w:marBottom w:val="0"/>
      <w:divBdr>
        <w:top w:val="none" w:sz="0" w:space="0" w:color="auto"/>
        <w:left w:val="none" w:sz="0" w:space="0" w:color="auto"/>
        <w:bottom w:val="none" w:sz="0" w:space="0" w:color="auto"/>
        <w:right w:val="none" w:sz="0" w:space="0" w:color="auto"/>
      </w:divBdr>
    </w:div>
    <w:div w:id="1718627999">
      <w:bodyDiv w:val="1"/>
      <w:marLeft w:val="0"/>
      <w:marRight w:val="0"/>
      <w:marTop w:val="0"/>
      <w:marBottom w:val="0"/>
      <w:divBdr>
        <w:top w:val="none" w:sz="0" w:space="0" w:color="auto"/>
        <w:left w:val="none" w:sz="0" w:space="0" w:color="auto"/>
        <w:bottom w:val="none" w:sz="0" w:space="0" w:color="auto"/>
        <w:right w:val="none" w:sz="0" w:space="0" w:color="auto"/>
      </w:divBdr>
    </w:div>
    <w:div w:id="1760364207">
      <w:bodyDiv w:val="1"/>
      <w:marLeft w:val="0"/>
      <w:marRight w:val="0"/>
      <w:marTop w:val="0"/>
      <w:marBottom w:val="0"/>
      <w:divBdr>
        <w:top w:val="none" w:sz="0" w:space="0" w:color="auto"/>
        <w:left w:val="none" w:sz="0" w:space="0" w:color="auto"/>
        <w:bottom w:val="none" w:sz="0" w:space="0" w:color="auto"/>
        <w:right w:val="none" w:sz="0" w:space="0" w:color="auto"/>
      </w:divBdr>
    </w:div>
    <w:div w:id="1788500207">
      <w:bodyDiv w:val="1"/>
      <w:marLeft w:val="0"/>
      <w:marRight w:val="0"/>
      <w:marTop w:val="0"/>
      <w:marBottom w:val="0"/>
      <w:divBdr>
        <w:top w:val="none" w:sz="0" w:space="0" w:color="auto"/>
        <w:left w:val="none" w:sz="0" w:space="0" w:color="auto"/>
        <w:bottom w:val="none" w:sz="0" w:space="0" w:color="auto"/>
        <w:right w:val="none" w:sz="0" w:space="0" w:color="auto"/>
      </w:divBdr>
    </w:div>
    <w:div w:id="1791583748">
      <w:bodyDiv w:val="1"/>
      <w:marLeft w:val="0"/>
      <w:marRight w:val="0"/>
      <w:marTop w:val="0"/>
      <w:marBottom w:val="0"/>
      <w:divBdr>
        <w:top w:val="none" w:sz="0" w:space="0" w:color="auto"/>
        <w:left w:val="none" w:sz="0" w:space="0" w:color="auto"/>
        <w:bottom w:val="none" w:sz="0" w:space="0" w:color="auto"/>
        <w:right w:val="none" w:sz="0" w:space="0" w:color="auto"/>
      </w:divBdr>
    </w:div>
    <w:div w:id="1820268103">
      <w:bodyDiv w:val="1"/>
      <w:marLeft w:val="0"/>
      <w:marRight w:val="0"/>
      <w:marTop w:val="0"/>
      <w:marBottom w:val="0"/>
      <w:divBdr>
        <w:top w:val="none" w:sz="0" w:space="0" w:color="auto"/>
        <w:left w:val="none" w:sz="0" w:space="0" w:color="auto"/>
        <w:bottom w:val="none" w:sz="0" w:space="0" w:color="auto"/>
        <w:right w:val="none" w:sz="0" w:space="0" w:color="auto"/>
      </w:divBdr>
    </w:div>
    <w:div w:id="1870605754">
      <w:bodyDiv w:val="1"/>
      <w:marLeft w:val="0"/>
      <w:marRight w:val="0"/>
      <w:marTop w:val="0"/>
      <w:marBottom w:val="0"/>
      <w:divBdr>
        <w:top w:val="none" w:sz="0" w:space="0" w:color="auto"/>
        <w:left w:val="none" w:sz="0" w:space="0" w:color="auto"/>
        <w:bottom w:val="none" w:sz="0" w:space="0" w:color="auto"/>
        <w:right w:val="none" w:sz="0" w:space="0" w:color="auto"/>
      </w:divBdr>
    </w:div>
    <w:div w:id="1871601511">
      <w:bodyDiv w:val="1"/>
      <w:marLeft w:val="0"/>
      <w:marRight w:val="0"/>
      <w:marTop w:val="0"/>
      <w:marBottom w:val="0"/>
      <w:divBdr>
        <w:top w:val="none" w:sz="0" w:space="0" w:color="auto"/>
        <w:left w:val="none" w:sz="0" w:space="0" w:color="auto"/>
        <w:bottom w:val="none" w:sz="0" w:space="0" w:color="auto"/>
        <w:right w:val="none" w:sz="0" w:space="0" w:color="auto"/>
      </w:divBdr>
    </w:div>
    <w:div w:id="1914509998">
      <w:bodyDiv w:val="1"/>
      <w:marLeft w:val="0"/>
      <w:marRight w:val="0"/>
      <w:marTop w:val="0"/>
      <w:marBottom w:val="0"/>
      <w:divBdr>
        <w:top w:val="none" w:sz="0" w:space="0" w:color="auto"/>
        <w:left w:val="none" w:sz="0" w:space="0" w:color="auto"/>
        <w:bottom w:val="none" w:sz="0" w:space="0" w:color="auto"/>
        <w:right w:val="none" w:sz="0" w:space="0" w:color="auto"/>
      </w:divBdr>
    </w:div>
    <w:div w:id="1919703644">
      <w:bodyDiv w:val="1"/>
      <w:marLeft w:val="0"/>
      <w:marRight w:val="0"/>
      <w:marTop w:val="0"/>
      <w:marBottom w:val="0"/>
      <w:divBdr>
        <w:top w:val="none" w:sz="0" w:space="0" w:color="auto"/>
        <w:left w:val="none" w:sz="0" w:space="0" w:color="auto"/>
        <w:bottom w:val="none" w:sz="0" w:space="0" w:color="auto"/>
        <w:right w:val="none" w:sz="0" w:space="0" w:color="auto"/>
      </w:divBdr>
    </w:div>
    <w:div w:id="1963149470">
      <w:bodyDiv w:val="1"/>
      <w:marLeft w:val="0"/>
      <w:marRight w:val="0"/>
      <w:marTop w:val="0"/>
      <w:marBottom w:val="0"/>
      <w:divBdr>
        <w:top w:val="none" w:sz="0" w:space="0" w:color="auto"/>
        <w:left w:val="none" w:sz="0" w:space="0" w:color="auto"/>
        <w:bottom w:val="none" w:sz="0" w:space="0" w:color="auto"/>
        <w:right w:val="none" w:sz="0" w:space="0" w:color="auto"/>
      </w:divBdr>
    </w:div>
    <w:div w:id="1981298860">
      <w:bodyDiv w:val="1"/>
      <w:marLeft w:val="0"/>
      <w:marRight w:val="0"/>
      <w:marTop w:val="0"/>
      <w:marBottom w:val="0"/>
      <w:divBdr>
        <w:top w:val="none" w:sz="0" w:space="0" w:color="auto"/>
        <w:left w:val="none" w:sz="0" w:space="0" w:color="auto"/>
        <w:bottom w:val="none" w:sz="0" w:space="0" w:color="auto"/>
        <w:right w:val="none" w:sz="0" w:space="0" w:color="auto"/>
      </w:divBdr>
    </w:div>
    <w:div w:id="2027242316">
      <w:bodyDiv w:val="1"/>
      <w:marLeft w:val="0"/>
      <w:marRight w:val="0"/>
      <w:marTop w:val="0"/>
      <w:marBottom w:val="0"/>
      <w:divBdr>
        <w:top w:val="none" w:sz="0" w:space="0" w:color="auto"/>
        <w:left w:val="none" w:sz="0" w:space="0" w:color="auto"/>
        <w:bottom w:val="none" w:sz="0" w:space="0" w:color="auto"/>
        <w:right w:val="none" w:sz="0" w:space="0" w:color="auto"/>
      </w:divBdr>
    </w:div>
    <w:div w:id="2029721901">
      <w:bodyDiv w:val="1"/>
      <w:marLeft w:val="0"/>
      <w:marRight w:val="0"/>
      <w:marTop w:val="0"/>
      <w:marBottom w:val="0"/>
      <w:divBdr>
        <w:top w:val="none" w:sz="0" w:space="0" w:color="auto"/>
        <w:left w:val="none" w:sz="0" w:space="0" w:color="auto"/>
        <w:bottom w:val="none" w:sz="0" w:space="0" w:color="auto"/>
        <w:right w:val="none" w:sz="0" w:space="0" w:color="auto"/>
      </w:divBdr>
    </w:div>
    <w:div w:id="2135370551">
      <w:bodyDiv w:val="1"/>
      <w:marLeft w:val="0"/>
      <w:marRight w:val="0"/>
      <w:marTop w:val="0"/>
      <w:marBottom w:val="0"/>
      <w:divBdr>
        <w:top w:val="none" w:sz="0" w:space="0" w:color="auto"/>
        <w:left w:val="none" w:sz="0" w:space="0" w:color="auto"/>
        <w:bottom w:val="none" w:sz="0" w:space="0" w:color="auto"/>
        <w:right w:val="none" w:sz="0" w:space="0" w:color="auto"/>
      </w:divBdr>
      <w:divsChild>
        <w:div w:id="4820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nhs.uk"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wmedinfo@nhs.net?subject=New%20Medicines%20Newslette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ukmi.nhs.uk/n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ps.nhs.uk/articles/sps-horizon-scanning/" TargetMode="External"/><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hyperlink" Target="https://www.sps.nhs.uk/home/planning/annual-medicines-planni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E074-DAC3-464B-8E55-3847741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6</Pages>
  <Words>2812</Words>
  <Characters>17922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NDO home | Contact | Register for NDO access</vt:lpstr>
    </vt:vector>
  </TitlesOfParts>
  <Company>NMHIS</Company>
  <LinksUpToDate>false</LinksUpToDate>
  <CharactersWithSpaces>20693</CharactersWithSpaces>
  <SharedDoc>false</SharedDoc>
  <HLinks>
    <vt:vector size="498" baseType="variant">
      <vt:variant>
        <vt:i4>458841</vt:i4>
      </vt:variant>
      <vt:variant>
        <vt:i4>228</vt:i4>
      </vt:variant>
      <vt:variant>
        <vt:i4>0</vt:i4>
      </vt:variant>
      <vt:variant>
        <vt:i4>5</vt:i4>
      </vt:variant>
      <vt:variant>
        <vt:lpwstr>https://www.sps.nhs.uk/medicines/zuranolone/</vt:lpwstr>
      </vt:variant>
      <vt:variant>
        <vt:lpwstr/>
      </vt:variant>
      <vt:variant>
        <vt:i4>7602219</vt:i4>
      </vt:variant>
      <vt:variant>
        <vt:i4>225</vt:i4>
      </vt:variant>
      <vt:variant>
        <vt:i4>0</vt:i4>
      </vt:variant>
      <vt:variant>
        <vt:i4>5</vt:i4>
      </vt:variant>
      <vt:variant>
        <vt:lpwstr>https://www.sps.nhs.uk/medicines/zoliflodacin/</vt:lpwstr>
      </vt:variant>
      <vt:variant>
        <vt:lpwstr/>
      </vt:variant>
      <vt:variant>
        <vt:i4>8323111</vt:i4>
      </vt:variant>
      <vt:variant>
        <vt:i4>222</vt:i4>
      </vt:variant>
      <vt:variant>
        <vt:i4>0</vt:i4>
      </vt:variant>
      <vt:variant>
        <vt:i4>5</vt:i4>
      </vt:variant>
      <vt:variant>
        <vt:lpwstr>https://www.sps.nhs.uk/medicines/upadacitinib/</vt:lpwstr>
      </vt:variant>
      <vt:variant>
        <vt:lpwstr/>
      </vt:variant>
      <vt:variant>
        <vt:i4>5570648</vt:i4>
      </vt:variant>
      <vt:variant>
        <vt:i4>219</vt:i4>
      </vt:variant>
      <vt:variant>
        <vt:i4>0</vt:i4>
      </vt:variant>
      <vt:variant>
        <vt:i4>5</vt:i4>
      </vt:variant>
      <vt:variant>
        <vt:lpwstr>https://www.sps.nhs.uk/medicines/sep-363856/</vt:lpwstr>
      </vt:variant>
      <vt:variant>
        <vt:lpwstr/>
      </vt:variant>
      <vt:variant>
        <vt:i4>131160</vt:i4>
      </vt:variant>
      <vt:variant>
        <vt:i4>216</vt:i4>
      </vt:variant>
      <vt:variant>
        <vt:i4>0</vt:i4>
      </vt:variant>
      <vt:variant>
        <vt:i4>5</vt:i4>
      </vt:variant>
      <vt:variant>
        <vt:lpwstr>https://www.sps.nhs.uk/medicines/padesvonil/</vt:lpwstr>
      </vt:variant>
      <vt:variant>
        <vt:lpwstr/>
      </vt:variant>
      <vt:variant>
        <vt:i4>4456520</vt:i4>
      </vt:variant>
      <vt:variant>
        <vt:i4>213</vt:i4>
      </vt:variant>
      <vt:variant>
        <vt:i4>0</vt:i4>
      </vt:variant>
      <vt:variant>
        <vt:i4>5</vt:i4>
      </vt:variant>
      <vt:variant>
        <vt:lpwstr>https://www.sps.nhs.uk/medicines/opiranserin/</vt:lpwstr>
      </vt:variant>
      <vt:variant>
        <vt:lpwstr/>
      </vt:variant>
      <vt:variant>
        <vt:i4>2555944</vt:i4>
      </vt:variant>
      <vt:variant>
        <vt:i4>210</vt:i4>
      </vt:variant>
      <vt:variant>
        <vt:i4>0</vt:i4>
      </vt:variant>
      <vt:variant>
        <vt:i4>5</vt:i4>
      </vt:variant>
      <vt:variant>
        <vt:lpwstr>https://www.sps.nhs.uk/medicines/mitapivat/</vt:lpwstr>
      </vt:variant>
      <vt:variant>
        <vt:lpwstr/>
      </vt:variant>
      <vt:variant>
        <vt:i4>393288</vt:i4>
      </vt:variant>
      <vt:variant>
        <vt:i4>207</vt:i4>
      </vt:variant>
      <vt:variant>
        <vt:i4>0</vt:i4>
      </vt:variant>
      <vt:variant>
        <vt:i4>5</vt:i4>
      </vt:variant>
      <vt:variant>
        <vt:lpwstr>https://www.sps.nhs.uk/medicines/linzagolix/</vt:lpwstr>
      </vt:variant>
      <vt:variant>
        <vt:lpwstr/>
      </vt:variant>
      <vt:variant>
        <vt:i4>3604520</vt:i4>
      </vt:variant>
      <vt:variant>
        <vt:i4>204</vt:i4>
      </vt:variant>
      <vt:variant>
        <vt:i4>0</vt:i4>
      </vt:variant>
      <vt:variant>
        <vt:i4>5</vt:i4>
      </vt:variant>
      <vt:variant>
        <vt:lpwstr>https://www.sps.nhs.uk/medicines/leriglitazone/</vt:lpwstr>
      </vt:variant>
      <vt:variant>
        <vt:lpwstr/>
      </vt:variant>
      <vt:variant>
        <vt:i4>7929889</vt:i4>
      </vt:variant>
      <vt:variant>
        <vt:i4>201</vt:i4>
      </vt:variant>
      <vt:variant>
        <vt:i4>0</vt:i4>
      </vt:variant>
      <vt:variant>
        <vt:i4>5</vt:i4>
      </vt:variant>
      <vt:variant>
        <vt:lpwstr>https://www.sps.nhs.uk/medicines/lebrikizumab/</vt:lpwstr>
      </vt:variant>
      <vt:variant>
        <vt:lpwstr/>
      </vt:variant>
      <vt:variant>
        <vt:i4>524381</vt:i4>
      </vt:variant>
      <vt:variant>
        <vt:i4>198</vt:i4>
      </vt:variant>
      <vt:variant>
        <vt:i4>0</vt:i4>
      </vt:variant>
      <vt:variant>
        <vt:i4>5</vt:i4>
      </vt:variant>
      <vt:variant>
        <vt:lpwstr>https://www.sps.nhs.uk/medicines/glatiramer/</vt:lpwstr>
      </vt:variant>
      <vt:variant>
        <vt:lpwstr/>
      </vt:variant>
      <vt:variant>
        <vt:i4>5832790</vt:i4>
      </vt:variant>
      <vt:variant>
        <vt:i4>195</vt:i4>
      </vt:variant>
      <vt:variant>
        <vt:i4>0</vt:i4>
      </vt:variant>
      <vt:variant>
        <vt:i4>5</vt:i4>
      </vt:variant>
      <vt:variant>
        <vt:lpwstr>https://www.sps.nhs.uk/medicines/fcr-001/</vt:lpwstr>
      </vt:variant>
      <vt:variant>
        <vt:lpwstr/>
      </vt:variant>
      <vt:variant>
        <vt:i4>3080232</vt:i4>
      </vt:variant>
      <vt:variant>
        <vt:i4>192</vt:i4>
      </vt:variant>
      <vt:variant>
        <vt:i4>0</vt:i4>
      </vt:variant>
      <vt:variant>
        <vt:i4>5</vt:i4>
      </vt:variant>
      <vt:variant>
        <vt:lpwstr>https://www.sps.nhs.uk/medicines/empagliflozin/</vt:lpwstr>
      </vt:variant>
      <vt:variant>
        <vt:lpwstr/>
      </vt:variant>
      <vt:variant>
        <vt:i4>2752551</vt:i4>
      </vt:variant>
      <vt:variant>
        <vt:i4>189</vt:i4>
      </vt:variant>
      <vt:variant>
        <vt:i4>0</vt:i4>
      </vt:variant>
      <vt:variant>
        <vt:i4>5</vt:i4>
      </vt:variant>
      <vt:variant>
        <vt:lpwstr>https://www.sps.nhs.uk/medicines/diazoxide/</vt:lpwstr>
      </vt:variant>
      <vt:variant>
        <vt:lpwstr/>
      </vt:variant>
      <vt:variant>
        <vt:i4>6815782</vt:i4>
      </vt:variant>
      <vt:variant>
        <vt:i4>186</vt:i4>
      </vt:variant>
      <vt:variant>
        <vt:i4>0</vt:i4>
      </vt:variant>
      <vt:variant>
        <vt:i4>5</vt:i4>
      </vt:variant>
      <vt:variant>
        <vt:lpwstr>https://www.sps.nhs.uk/medicines/dasiglucagon/</vt:lpwstr>
      </vt:variant>
      <vt:variant>
        <vt:lpwstr/>
      </vt:variant>
      <vt:variant>
        <vt:i4>4194380</vt:i4>
      </vt:variant>
      <vt:variant>
        <vt:i4>183</vt:i4>
      </vt:variant>
      <vt:variant>
        <vt:i4>0</vt:i4>
      </vt:variant>
      <vt:variant>
        <vt:i4>5</vt:i4>
      </vt:variant>
      <vt:variant>
        <vt:lpwstr>https://www.sps.nhs.uk/medicines/cyclobenzaprine/</vt:lpwstr>
      </vt:variant>
      <vt:variant>
        <vt:lpwstr/>
      </vt:variant>
      <vt:variant>
        <vt:i4>1179733</vt:i4>
      </vt:variant>
      <vt:variant>
        <vt:i4>180</vt:i4>
      </vt:variant>
      <vt:variant>
        <vt:i4>0</vt:i4>
      </vt:variant>
      <vt:variant>
        <vt:i4>5</vt:i4>
      </vt:variant>
      <vt:variant>
        <vt:lpwstr>https://www.sps.nhs.uk/medicines/bumetanide/</vt:lpwstr>
      </vt:variant>
      <vt:variant>
        <vt:lpwstr/>
      </vt:variant>
      <vt:variant>
        <vt:i4>1835099</vt:i4>
      </vt:variant>
      <vt:variant>
        <vt:i4>177</vt:i4>
      </vt:variant>
      <vt:variant>
        <vt:i4>0</vt:i4>
      </vt:variant>
      <vt:variant>
        <vt:i4>5</vt:i4>
      </vt:variant>
      <vt:variant>
        <vt:lpwstr>https://www.sps.nhs.uk/medicines/budesonide/</vt:lpwstr>
      </vt:variant>
      <vt:variant>
        <vt:lpwstr/>
      </vt:variant>
      <vt:variant>
        <vt:i4>1638427</vt:i4>
      </vt:variant>
      <vt:variant>
        <vt:i4>174</vt:i4>
      </vt:variant>
      <vt:variant>
        <vt:i4>0</vt:i4>
      </vt:variant>
      <vt:variant>
        <vt:i4>5</vt:i4>
      </vt:variant>
      <vt:variant>
        <vt:lpwstr>https://www.sps.nhs.uk/medicines/bardoxolone-methyl/</vt:lpwstr>
      </vt:variant>
      <vt:variant>
        <vt:lpwstr/>
      </vt:variant>
      <vt:variant>
        <vt:i4>5767195</vt:i4>
      </vt:variant>
      <vt:variant>
        <vt:i4>171</vt:i4>
      </vt:variant>
      <vt:variant>
        <vt:i4>0</vt:i4>
      </vt:variant>
      <vt:variant>
        <vt:i4>5</vt:i4>
      </vt:variant>
      <vt:variant>
        <vt:lpwstr>https://www.sps.nhs.uk/medicines/autologous-bm-derived-stem-cell-therapy/</vt:lpwstr>
      </vt:variant>
      <vt:variant>
        <vt:lpwstr/>
      </vt:variant>
      <vt:variant>
        <vt:i4>4587591</vt:i4>
      </vt:variant>
      <vt:variant>
        <vt:i4>168</vt:i4>
      </vt:variant>
      <vt:variant>
        <vt:i4>0</vt:i4>
      </vt:variant>
      <vt:variant>
        <vt:i4>5</vt:i4>
      </vt:variant>
      <vt:variant>
        <vt:lpwstr>https://www.sps.nhs.uk/medicines/at-gtx-501/</vt:lpwstr>
      </vt:variant>
      <vt:variant>
        <vt:lpwstr/>
      </vt:variant>
      <vt:variant>
        <vt:i4>7864359</vt:i4>
      </vt:variant>
      <vt:variant>
        <vt:i4>165</vt:i4>
      </vt:variant>
      <vt:variant>
        <vt:i4>0</vt:i4>
      </vt:variant>
      <vt:variant>
        <vt:i4>5</vt:i4>
      </vt:variant>
      <vt:variant>
        <vt:lpwstr>https://www.sps.nhs.uk/medicines/telapristone/</vt:lpwstr>
      </vt:variant>
      <vt:variant>
        <vt:lpwstr/>
      </vt:variant>
      <vt:variant>
        <vt:i4>7864359</vt:i4>
      </vt:variant>
      <vt:variant>
        <vt:i4>162</vt:i4>
      </vt:variant>
      <vt:variant>
        <vt:i4>0</vt:i4>
      </vt:variant>
      <vt:variant>
        <vt:i4>5</vt:i4>
      </vt:variant>
      <vt:variant>
        <vt:lpwstr>https://www.sps.nhs.uk/medicines/telapristone/</vt:lpwstr>
      </vt:variant>
      <vt:variant>
        <vt:lpwstr/>
      </vt:variant>
      <vt:variant>
        <vt:i4>1769490</vt:i4>
      </vt:variant>
      <vt:variant>
        <vt:i4>159</vt:i4>
      </vt:variant>
      <vt:variant>
        <vt:i4>0</vt:i4>
      </vt:variant>
      <vt:variant>
        <vt:i4>5</vt:i4>
      </vt:variant>
      <vt:variant>
        <vt:lpwstr>https://www.sps.nhs.uk/medicines/t-cell-replacement-therapy/</vt:lpwstr>
      </vt:variant>
      <vt:variant>
        <vt:lpwstr/>
      </vt:variant>
      <vt:variant>
        <vt:i4>1245262</vt:i4>
      </vt:variant>
      <vt:variant>
        <vt:i4>156</vt:i4>
      </vt:variant>
      <vt:variant>
        <vt:i4>0</vt:i4>
      </vt:variant>
      <vt:variant>
        <vt:i4>5</vt:i4>
      </vt:variant>
      <vt:variant>
        <vt:lpwstr>https://www.sps.nhs.uk/medicines/salmeterol/</vt:lpwstr>
      </vt:variant>
      <vt:variant>
        <vt:lpwstr/>
      </vt:variant>
      <vt:variant>
        <vt:i4>1966174</vt:i4>
      </vt:variant>
      <vt:variant>
        <vt:i4>153</vt:i4>
      </vt:variant>
      <vt:variant>
        <vt:i4>0</vt:i4>
      </vt:variant>
      <vt:variant>
        <vt:i4>5</vt:i4>
      </vt:variant>
      <vt:variant>
        <vt:lpwstr>https://www.sps.nhs.uk/medicines/rapastinel/</vt:lpwstr>
      </vt:variant>
      <vt:variant>
        <vt:lpwstr/>
      </vt:variant>
      <vt:variant>
        <vt:i4>3276927</vt:i4>
      </vt:variant>
      <vt:variant>
        <vt:i4>150</vt:i4>
      </vt:variant>
      <vt:variant>
        <vt:i4>0</vt:i4>
      </vt:variant>
      <vt:variant>
        <vt:i4>5</vt:i4>
      </vt:variant>
      <vt:variant>
        <vt:lpwstr>https://www.sps.nhs.uk/medicines/pegylated-recombinant-human-hyaluronidase/</vt:lpwstr>
      </vt:variant>
      <vt:variant>
        <vt:lpwstr/>
      </vt:variant>
      <vt:variant>
        <vt:i4>4849741</vt:i4>
      </vt:variant>
      <vt:variant>
        <vt:i4>147</vt:i4>
      </vt:variant>
      <vt:variant>
        <vt:i4>0</vt:i4>
      </vt:variant>
      <vt:variant>
        <vt:i4>5</vt:i4>
      </vt:variant>
      <vt:variant>
        <vt:lpwstr>https://www.sps.nhs.uk/medicines/nilvadipine/</vt:lpwstr>
      </vt:variant>
      <vt:variant>
        <vt:lpwstr/>
      </vt:variant>
      <vt:variant>
        <vt:i4>7798828</vt:i4>
      </vt:variant>
      <vt:variant>
        <vt:i4>144</vt:i4>
      </vt:variant>
      <vt:variant>
        <vt:i4>0</vt:i4>
      </vt:variant>
      <vt:variant>
        <vt:i4>5</vt:i4>
      </vt:variant>
      <vt:variant>
        <vt:lpwstr>https://www.sps.nhs.uk/medicines/naloxone/</vt:lpwstr>
      </vt:variant>
      <vt:variant>
        <vt:lpwstr/>
      </vt:variant>
      <vt:variant>
        <vt:i4>1441887</vt:i4>
      </vt:variant>
      <vt:variant>
        <vt:i4>141</vt:i4>
      </vt:variant>
      <vt:variant>
        <vt:i4>0</vt:i4>
      </vt:variant>
      <vt:variant>
        <vt:i4>5</vt:i4>
      </vt:variant>
      <vt:variant>
        <vt:lpwstr>https://www.sps.nhs.uk/medicines/macitentan/</vt:lpwstr>
      </vt:variant>
      <vt:variant>
        <vt:lpwstr/>
      </vt:variant>
      <vt:variant>
        <vt:i4>6225993</vt:i4>
      </vt:variant>
      <vt:variant>
        <vt:i4>138</vt:i4>
      </vt:variant>
      <vt:variant>
        <vt:i4>0</vt:i4>
      </vt:variant>
      <vt:variant>
        <vt:i4>5</vt:i4>
      </vt:variant>
      <vt:variant>
        <vt:lpwstr>https://www.sps.nhs.uk/medicines/hydroxyprogesterone/</vt:lpwstr>
      </vt:variant>
      <vt:variant>
        <vt:lpwstr/>
      </vt:variant>
      <vt:variant>
        <vt:i4>2687026</vt:i4>
      </vt:variant>
      <vt:variant>
        <vt:i4>135</vt:i4>
      </vt:variant>
      <vt:variant>
        <vt:i4>0</vt:i4>
      </vt:variant>
      <vt:variant>
        <vt:i4>5</vt:i4>
      </vt:variant>
      <vt:variant>
        <vt:lpwstr>https://www.sps.nhs.uk/medicines/ciprofloxacin/</vt:lpwstr>
      </vt:variant>
      <vt:variant>
        <vt:lpwstr/>
      </vt:variant>
      <vt:variant>
        <vt:i4>196702</vt:i4>
      </vt:variant>
      <vt:variant>
        <vt:i4>132</vt:i4>
      </vt:variant>
      <vt:variant>
        <vt:i4>0</vt:i4>
      </vt:variant>
      <vt:variant>
        <vt:i4>5</vt:i4>
      </vt:variant>
      <vt:variant>
        <vt:lpwstr>https://www.sps.nhs.uk/medicines/calcitonin/</vt:lpwstr>
      </vt:variant>
      <vt:variant>
        <vt:lpwstr/>
      </vt:variant>
      <vt:variant>
        <vt:i4>7667749</vt:i4>
      </vt:variant>
      <vt:variant>
        <vt:i4>129</vt:i4>
      </vt:variant>
      <vt:variant>
        <vt:i4>0</vt:i4>
      </vt:variant>
      <vt:variant>
        <vt:i4>5</vt:i4>
      </vt:variant>
      <vt:variant>
        <vt:lpwstr>https://www.sps.nhs.uk/medicines/c1-esterase-inhibitor/</vt:lpwstr>
      </vt:variant>
      <vt:variant>
        <vt:lpwstr/>
      </vt:variant>
      <vt:variant>
        <vt:i4>2490478</vt:i4>
      </vt:variant>
      <vt:variant>
        <vt:i4>126</vt:i4>
      </vt:variant>
      <vt:variant>
        <vt:i4>0</vt:i4>
      </vt:variant>
      <vt:variant>
        <vt:i4>5</vt:i4>
      </vt:variant>
      <vt:variant>
        <vt:lpwstr>https://www.sps.nhs.uk/medicines/buprenorphine-samidorphan/</vt:lpwstr>
      </vt:variant>
      <vt:variant>
        <vt:lpwstr/>
      </vt:variant>
      <vt:variant>
        <vt:i4>2621493</vt:i4>
      </vt:variant>
      <vt:variant>
        <vt:i4>123</vt:i4>
      </vt:variant>
      <vt:variant>
        <vt:i4>0</vt:i4>
      </vt:variant>
      <vt:variant>
        <vt:i4>5</vt:i4>
      </vt:variant>
      <vt:variant>
        <vt:lpwstr>https://www.sps.nhs.uk/medicines/buprenorphine/</vt:lpwstr>
      </vt:variant>
      <vt:variant>
        <vt:lpwstr/>
      </vt:variant>
      <vt:variant>
        <vt:i4>3538984</vt:i4>
      </vt:variant>
      <vt:variant>
        <vt:i4>120</vt:i4>
      </vt:variant>
      <vt:variant>
        <vt:i4>0</vt:i4>
      </vt:variant>
      <vt:variant>
        <vt:i4>5</vt:i4>
      </vt:variant>
      <vt:variant>
        <vt:lpwstr>https://www.sps.nhs.uk/medicines/botulinum-a-toxin/</vt:lpwstr>
      </vt:variant>
      <vt:variant>
        <vt:lpwstr/>
      </vt:variant>
      <vt:variant>
        <vt:i4>458843</vt:i4>
      </vt:variant>
      <vt:variant>
        <vt:i4>117</vt:i4>
      </vt:variant>
      <vt:variant>
        <vt:i4>0</vt:i4>
      </vt:variant>
      <vt:variant>
        <vt:i4>5</vt:i4>
      </vt:variant>
      <vt:variant>
        <vt:lpwstr>https://www.sps.nhs.uk/medicines/biotin/</vt:lpwstr>
      </vt:variant>
      <vt:variant>
        <vt:lpwstr/>
      </vt:variant>
      <vt:variant>
        <vt:i4>3145761</vt:i4>
      </vt:variant>
      <vt:variant>
        <vt:i4>114</vt:i4>
      </vt:variant>
      <vt:variant>
        <vt:i4>0</vt:i4>
      </vt:variant>
      <vt:variant>
        <vt:i4>5</vt:i4>
      </vt:variant>
      <vt:variant>
        <vt:lpwstr>https://www.sps.nhs.uk/medicines/arbaclofen-placarbil/</vt:lpwstr>
      </vt:variant>
      <vt:variant>
        <vt:lpwstr/>
      </vt:variant>
      <vt:variant>
        <vt:i4>1572889</vt:i4>
      </vt:variant>
      <vt:variant>
        <vt:i4>111</vt:i4>
      </vt:variant>
      <vt:variant>
        <vt:i4>0</vt:i4>
      </vt:variant>
      <vt:variant>
        <vt:i4>5</vt:i4>
      </vt:variant>
      <vt:variant>
        <vt:lpwstr>https://www.sps.nhs.uk/medicines/valoctocogene-roxaparvovec/</vt:lpwstr>
      </vt:variant>
      <vt:variant>
        <vt:lpwstr/>
      </vt:variant>
      <vt:variant>
        <vt:i4>2031697</vt:i4>
      </vt:variant>
      <vt:variant>
        <vt:i4>108</vt:i4>
      </vt:variant>
      <vt:variant>
        <vt:i4>0</vt:i4>
      </vt:variant>
      <vt:variant>
        <vt:i4>5</vt:i4>
      </vt:variant>
      <vt:variant>
        <vt:lpwstr>https://www.sps.nhs.uk/medicines/meningococcal-groups-a-c-w135-y-vaccine/</vt:lpwstr>
      </vt:variant>
      <vt:variant>
        <vt:lpwstr/>
      </vt:variant>
      <vt:variant>
        <vt:i4>5374020</vt:i4>
      </vt:variant>
      <vt:variant>
        <vt:i4>105</vt:i4>
      </vt:variant>
      <vt:variant>
        <vt:i4>0</vt:i4>
      </vt:variant>
      <vt:variant>
        <vt:i4>5</vt:i4>
      </vt:variant>
      <vt:variant>
        <vt:lpwstr>https://www.sps.nhs.uk/medicines/encorafenib/</vt:lpwstr>
      </vt:variant>
      <vt:variant>
        <vt:lpwstr/>
      </vt:variant>
      <vt:variant>
        <vt:i4>7209001</vt:i4>
      </vt:variant>
      <vt:variant>
        <vt:i4>102</vt:i4>
      </vt:variant>
      <vt:variant>
        <vt:i4>0</vt:i4>
      </vt:variant>
      <vt:variant>
        <vt:i4>5</vt:i4>
      </vt:variant>
      <vt:variant>
        <vt:lpwstr>https://www.sps.nhs.uk/medicines/elexacaftor-ivacaftor-tezacaftor/</vt:lpwstr>
      </vt:variant>
      <vt:variant>
        <vt:lpwstr/>
      </vt:variant>
      <vt:variant>
        <vt:i4>4849729</vt:i4>
      </vt:variant>
      <vt:variant>
        <vt:i4>99</vt:i4>
      </vt:variant>
      <vt:variant>
        <vt:i4>0</vt:i4>
      </vt:variant>
      <vt:variant>
        <vt:i4>5</vt:i4>
      </vt:variant>
      <vt:variant>
        <vt:lpwstr>https://www.sps.nhs.uk/medicines/bulevirtide/</vt:lpwstr>
      </vt:variant>
      <vt:variant>
        <vt:lpwstr/>
      </vt:variant>
      <vt:variant>
        <vt:i4>5570637</vt:i4>
      </vt:variant>
      <vt:variant>
        <vt:i4>96</vt:i4>
      </vt:variant>
      <vt:variant>
        <vt:i4>0</vt:i4>
      </vt:variant>
      <vt:variant>
        <vt:i4>5</vt:i4>
      </vt:variant>
      <vt:variant>
        <vt:lpwstr>https://www.sps.nhs.uk/medicines/binimetinib/</vt:lpwstr>
      </vt:variant>
      <vt:variant>
        <vt:lpwstr/>
      </vt:variant>
      <vt:variant>
        <vt:i4>4128817</vt:i4>
      </vt:variant>
      <vt:variant>
        <vt:i4>93</vt:i4>
      </vt:variant>
      <vt:variant>
        <vt:i4>0</vt:i4>
      </vt:variant>
      <vt:variant>
        <vt:i4>5</vt:i4>
      </vt:variant>
      <vt:variant>
        <vt:lpwstr>https://www.sps.nhs.uk/medicines/ad26-ebov-vaccine/</vt:lpwstr>
      </vt:variant>
      <vt:variant>
        <vt:lpwstr/>
      </vt:variant>
      <vt:variant>
        <vt:i4>2555952</vt:i4>
      </vt:variant>
      <vt:variant>
        <vt:i4>90</vt:i4>
      </vt:variant>
      <vt:variant>
        <vt:i4>0</vt:i4>
      </vt:variant>
      <vt:variant>
        <vt:i4>5</vt:i4>
      </vt:variant>
      <vt:variant>
        <vt:lpwstr>https://www.sps.nhs.uk/medicines/acalabrutinib/</vt:lpwstr>
      </vt:variant>
      <vt:variant>
        <vt:lpwstr/>
      </vt:variant>
      <vt:variant>
        <vt:i4>2818164</vt:i4>
      </vt:variant>
      <vt:variant>
        <vt:i4>87</vt:i4>
      </vt:variant>
      <vt:variant>
        <vt:i4>0</vt:i4>
      </vt:variant>
      <vt:variant>
        <vt:i4>5</vt:i4>
      </vt:variant>
      <vt:variant>
        <vt:lpwstr>https://www.sps.nhs.uk/medicines/trastuzumab-emtansine/</vt:lpwstr>
      </vt:variant>
      <vt:variant>
        <vt:lpwstr/>
      </vt:variant>
      <vt:variant>
        <vt:i4>7471146</vt:i4>
      </vt:variant>
      <vt:variant>
        <vt:i4>84</vt:i4>
      </vt:variant>
      <vt:variant>
        <vt:i4>0</vt:i4>
      </vt:variant>
      <vt:variant>
        <vt:i4>5</vt:i4>
      </vt:variant>
      <vt:variant>
        <vt:lpwstr>https://www.sps.nhs.uk/medicines/solriamfetol/</vt:lpwstr>
      </vt:variant>
      <vt:variant>
        <vt:lpwstr/>
      </vt:variant>
      <vt:variant>
        <vt:i4>2621480</vt:i4>
      </vt:variant>
      <vt:variant>
        <vt:i4>81</vt:i4>
      </vt:variant>
      <vt:variant>
        <vt:i4>0</vt:i4>
      </vt:variant>
      <vt:variant>
        <vt:i4>5</vt:i4>
      </vt:variant>
      <vt:variant>
        <vt:lpwstr>https://www.sps.nhs.uk/medicines/siponimod/</vt:lpwstr>
      </vt:variant>
      <vt:variant>
        <vt:lpwstr/>
      </vt:variant>
      <vt:variant>
        <vt:i4>5308487</vt:i4>
      </vt:variant>
      <vt:variant>
        <vt:i4>78</vt:i4>
      </vt:variant>
      <vt:variant>
        <vt:i4>0</vt:i4>
      </vt:variant>
      <vt:variant>
        <vt:i4>5</vt:i4>
      </vt:variant>
      <vt:variant>
        <vt:lpwstr>https://www.sps.nhs.uk/medicines/polatuzumab/</vt:lpwstr>
      </vt:variant>
      <vt:variant>
        <vt:lpwstr/>
      </vt:variant>
      <vt:variant>
        <vt:i4>6946876</vt:i4>
      </vt:variant>
      <vt:variant>
        <vt:i4>75</vt:i4>
      </vt:variant>
      <vt:variant>
        <vt:i4>0</vt:i4>
      </vt:variant>
      <vt:variant>
        <vt:i4>5</vt:i4>
      </vt:variant>
      <vt:variant>
        <vt:lpwstr>https://www.sps.nhs.uk/medicines/osilodrostat/</vt:lpwstr>
      </vt:variant>
      <vt:variant>
        <vt:lpwstr/>
      </vt:variant>
      <vt:variant>
        <vt:i4>6291494</vt:i4>
      </vt:variant>
      <vt:variant>
        <vt:i4>72</vt:i4>
      </vt:variant>
      <vt:variant>
        <vt:i4>0</vt:i4>
      </vt:variant>
      <vt:variant>
        <vt:i4>5</vt:i4>
      </vt:variant>
      <vt:variant>
        <vt:lpwstr>https://www.sps.nhs.uk/medicines/lenalidomide/</vt:lpwstr>
      </vt:variant>
      <vt:variant>
        <vt:lpwstr/>
      </vt:variant>
      <vt:variant>
        <vt:i4>7733280</vt:i4>
      </vt:variant>
      <vt:variant>
        <vt:i4>69</vt:i4>
      </vt:variant>
      <vt:variant>
        <vt:i4>0</vt:i4>
      </vt:variant>
      <vt:variant>
        <vt:i4>5</vt:i4>
      </vt:variant>
      <vt:variant>
        <vt:lpwstr>https://www.sps.nhs.uk/medicines/fostamatinib-disodium/</vt:lpwstr>
      </vt:variant>
      <vt:variant>
        <vt:lpwstr/>
      </vt:variant>
      <vt:variant>
        <vt:i4>3342373</vt:i4>
      </vt:variant>
      <vt:variant>
        <vt:i4>66</vt:i4>
      </vt:variant>
      <vt:variant>
        <vt:i4>0</vt:i4>
      </vt:variant>
      <vt:variant>
        <vt:i4>5</vt:i4>
      </vt:variant>
      <vt:variant>
        <vt:lpwstr>https://www.sps.nhs.uk/medicines/trientine/</vt:lpwstr>
      </vt:variant>
      <vt:variant>
        <vt:lpwstr/>
      </vt:variant>
      <vt:variant>
        <vt:i4>1900625</vt:i4>
      </vt:variant>
      <vt:variant>
        <vt:i4>63</vt:i4>
      </vt:variant>
      <vt:variant>
        <vt:i4>0</vt:i4>
      </vt:variant>
      <vt:variant>
        <vt:i4>5</vt:i4>
      </vt:variant>
      <vt:variant>
        <vt:lpwstr>https://www.sps.nhs.uk/medicines/netarsudil-mesilate/</vt:lpwstr>
      </vt:variant>
      <vt:variant>
        <vt:lpwstr/>
      </vt:variant>
      <vt:variant>
        <vt:i4>7143468</vt:i4>
      </vt:variant>
      <vt:variant>
        <vt:i4>60</vt:i4>
      </vt:variant>
      <vt:variant>
        <vt:i4>0</vt:i4>
      </vt:variant>
      <vt:variant>
        <vt:i4>5</vt:i4>
      </vt:variant>
      <vt:variant>
        <vt:lpwstr>https://www.sps.nhs.uk/medicines/levodopa/</vt:lpwstr>
      </vt:variant>
      <vt:variant>
        <vt:lpwstr/>
      </vt:variant>
      <vt:variant>
        <vt:i4>852061</vt:i4>
      </vt:variant>
      <vt:variant>
        <vt:i4>57</vt:i4>
      </vt:variant>
      <vt:variant>
        <vt:i4>0</vt:i4>
      </vt:variant>
      <vt:variant>
        <vt:i4>5</vt:i4>
      </vt:variant>
      <vt:variant>
        <vt:lpwstr>https://www.sps.nhs.uk/medicines/infliximab/</vt:lpwstr>
      </vt:variant>
      <vt:variant>
        <vt:lpwstr/>
      </vt:variant>
      <vt:variant>
        <vt:i4>4063335</vt:i4>
      </vt:variant>
      <vt:variant>
        <vt:i4>54</vt:i4>
      </vt:variant>
      <vt:variant>
        <vt:i4>0</vt:i4>
      </vt:variant>
      <vt:variant>
        <vt:i4>5</vt:i4>
      </vt:variant>
      <vt:variant>
        <vt:lpwstr>https://www.sps.nhs.uk/medicines/ebola-vaccine/</vt:lpwstr>
      </vt:variant>
      <vt:variant>
        <vt:lpwstr/>
      </vt:variant>
      <vt:variant>
        <vt:i4>2621493</vt:i4>
      </vt:variant>
      <vt:variant>
        <vt:i4>51</vt:i4>
      </vt:variant>
      <vt:variant>
        <vt:i4>0</vt:i4>
      </vt:variant>
      <vt:variant>
        <vt:i4>5</vt:i4>
      </vt:variant>
      <vt:variant>
        <vt:lpwstr>https://www.sps.nhs.uk/medicines/buprenorphine/</vt:lpwstr>
      </vt:variant>
      <vt:variant>
        <vt:lpwstr/>
      </vt:variant>
      <vt:variant>
        <vt:i4>1179726</vt:i4>
      </vt:variant>
      <vt:variant>
        <vt:i4>48</vt:i4>
      </vt:variant>
      <vt:variant>
        <vt:i4>0</vt:i4>
      </vt:variant>
      <vt:variant>
        <vt:i4>5</vt:i4>
      </vt:variant>
      <vt:variant>
        <vt:lpwstr>https://www.sps.nhs.uk/medicines/arginine-lysine/</vt:lpwstr>
      </vt:variant>
      <vt:variant>
        <vt:lpwstr/>
      </vt:variant>
      <vt:variant>
        <vt:i4>7798824</vt:i4>
      </vt:variant>
      <vt:variant>
        <vt:i4>45</vt:i4>
      </vt:variant>
      <vt:variant>
        <vt:i4>0</vt:i4>
      </vt:variant>
      <vt:variant>
        <vt:i4>5</vt:i4>
      </vt:variant>
      <vt:variant>
        <vt:lpwstr>https://www.sps.nhs.uk/medicines/teriparatide/</vt:lpwstr>
      </vt:variant>
      <vt:variant>
        <vt:lpwstr/>
      </vt:variant>
      <vt:variant>
        <vt:i4>5767235</vt:i4>
      </vt:variant>
      <vt:variant>
        <vt:i4>42</vt:i4>
      </vt:variant>
      <vt:variant>
        <vt:i4>0</vt:i4>
      </vt:variant>
      <vt:variant>
        <vt:i4>5</vt:i4>
      </vt:variant>
      <vt:variant>
        <vt:lpwstr>https://www.sps.nhs.uk/medicines/paracetamol/</vt:lpwstr>
      </vt:variant>
      <vt:variant>
        <vt:lpwstr/>
      </vt:variant>
      <vt:variant>
        <vt:i4>2162736</vt:i4>
      </vt:variant>
      <vt:variant>
        <vt:i4>39</vt:i4>
      </vt:variant>
      <vt:variant>
        <vt:i4>0</vt:i4>
      </vt:variant>
      <vt:variant>
        <vt:i4>5</vt:i4>
      </vt:variant>
      <vt:variant>
        <vt:lpwstr>https://www.sps.nhs.uk/articles/ukmi-product-safety-assessments-2/</vt:lpwstr>
      </vt:variant>
      <vt:variant>
        <vt:lpwstr/>
      </vt:variant>
      <vt:variant>
        <vt:i4>5767196</vt:i4>
      </vt:variant>
      <vt:variant>
        <vt:i4>36</vt:i4>
      </vt:variant>
      <vt:variant>
        <vt:i4>0</vt:i4>
      </vt:variant>
      <vt:variant>
        <vt:i4>5</vt:i4>
      </vt:variant>
      <vt:variant>
        <vt:lpwstr>https://www.sps.nhs.uk/articles/prioritising-new-products-for-a-ukmi-product-safety-assessment-a-resource-for-ukmi-patient-safety-working-group/</vt:lpwstr>
      </vt:variant>
      <vt:variant>
        <vt:lpwstr/>
      </vt:variant>
      <vt:variant>
        <vt:i4>3211304</vt:i4>
      </vt:variant>
      <vt:variant>
        <vt:i4>33</vt:i4>
      </vt:variant>
      <vt:variant>
        <vt:i4>0</vt:i4>
      </vt:variant>
      <vt:variant>
        <vt:i4>5</vt:i4>
      </vt:variant>
      <vt:variant>
        <vt:lpwstr>https://www.sps.nhs.uk/medicines/zanamivir/</vt:lpwstr>
      </vt:variant>
      <vt:variant>
        <vt:lpwstr/>
      </vt:variant>
      <vt:variant>
        <vt:i4>5111887</vt:i4>
      </vt:variant>
      <vt:variant>
        <vt:i4>30</vt:i4>
      </vt:variant>
      <vt:variant>
        <vt:i4>0</vt:i4>
      </vt:variant>
      <vt:variant>
        <vt:i4>5</vt:i4>
      </vt:variant>
      <vt:variant>
        <vt:lpwstr>https://www.sps.nhs.uk/medicines/talazoparib/</vt:lpwstr>
      </vt:variant>
      <vt:variant>
        <vt:lpwstr/>
      </vt:variant>
      <vt:variant>
        <vt:i4>4653149</vt:i4>
      </vt:variant>
      <vt:variant>
        <vt:i4>27</vt:i4>
      </vt:variant>
      <vt:variant>
        <vt:i4>0</vt:i4>
      </vt:variant>
      <vt:variant>
        <vt:i4>5</vt:i4>
      </vt:variant>
      <vt:variant>
        <vt:lpwstr>https://www.sps.nhs.uk/medicines/ranibizumab/</vt:lpwstr>
      </vt:variant>
      <vt:variant>
        <vt:lpwstr/>
      </vt:variant>
      <vt:variant>
        <vt:i4>3801149</vt:i4>
      </vt:variant>
      <vt:variant>
        <vt:i4>24</vt:i4>
      </vt:variant>
      <vt:variant>
        <vt:i4>0</vt:i4>
      </vt:variant>
      <vt:variant>
        <vt:i4>5</vt:i4>
      </vt:variant>
      <vt:variant>
        <vt:lpwstr>https://www.sps.nhs.uk/medicines/pembrolizumab/</vt:lpwstr>
      </vt:variant>
      <vt:variant>
        <vt:lpwstr/>
      </vt:variant>
      <vt:variant>
        <vt:i4>7602210</vt:i4>
      </vt:variant>
      <vt:variant>
        <vt:i4>21</vt:i4>
      </vt:variant>
      <vt:variant>
        <vt:i4>0</vt:i4>
      </vt:variant>
      <vt:variant>
        <vt:i4>5</vt:i4>
      </vt:variant>
      <vt:variant>
        <vt:lpwstr>https://www.sps.nhs.uk/medicines/nicotine/</vt:lpwstr>
      </vt:variant>
      <vt:variant>
        <vt:lpwstr/>
      </vt:variant>
      <vt:variant>
        <vt:i4>4063329</vt:i4>
      </vt:variant>
      <vt:variant>
        <vt:i4>18</vt:i4>
      </vt:variant>
      <vt:variant>
        <vt:i4>0</vt:i4>
      </vt:variant>
      <vt:variant>
        <vt:i4>5</vt:i4>
      </vt:variant>
      <vt:variant>
        <vt:lpwstr>https://www.sps.nhs.uk/medicines/meropenem-vaborbactam/</vt:lpwstr>
      </vt:variant>
      <vt:variant>
        <vt:lpwstr/>
      </vt:variant>
      <vt:variant>
        <vt:i4>4980828</vt:i4>
      </vt:variant>
      <vt:variant>
        <vt:i4>15</vt:i4>
      </vt:variant>
      <vt:variant>
        <vt:i4>0</vt:i4>
      </vt:variant>
      <vt:variant>
        <vt:i4>5</vt:i4>
      </vt:variant>
      <vt:variant>
        <vt:lpwstr>https://www.sps.nhs.uk/medicines/liraglutide/</vt:lpwstr>
      </vt:variant>
      <vt:variant>
        <vt:lpwstr/>
      </vt:variant>
      <vt:variant>
        <vt:i4>6553663</vt:i4>
      </vt:variant>
      <vt:variant>
        <vt:i4>12</vt:i4>
      </vt:variant>
      <vt:variant>
        <vt:i4>0</vt:i4>
      </vt:variant>
      <vt:variant>
        <vt:i4>5</vt:i4>
      </vt:variant>
      <vt:variant>
        <vt:lpwstr>https://www.sps.nhs.uk/medicines/gilteritinib/</vt:lpwstr>
      </vt:variant>
      <vt:variant>
        <vt:lpwstr/>
      </vt:variant>
      <vt:variant>
        <vt:i4>4980809</vt:i4>
      </vt:variant>
      <vt:variant>
        <vt:i4>9</vt:i4>
      </vt:variant>
      <vt:variant>
        <vt:i4>0</vt:i4>
      </vt:variant>
      <vt:variant>
        <vt:i4>5</vt:i4>
      </vt:variant>
      <vt:variant>
        <vt:lpwstr>https://www.sps.nhs.uk/medicines/daratumumab/</vt:lpwstr>
      </vt:variant>
      <vt:variant>
        <vt:lpwstr/>
      </vt:variant>
      <vt:variant>
        <vt:i4>2883621</vt:i4>
      </vt:variant>
      <vt:variant>
        <vt:i4>6</vt:i4>
      </vt:variant>
      <vt:variant>
        <vt:i4>0</vt:i4>
      </vt:variant>
      <vt:variant>
        <vt:i4>5</vt:i4>
      </vt:variant>
      <vt:variant>
        <vt:lpwstr>https://www.sps.nhs.uk/medicines/beclometasone/</vt:lpwstr>
      </vt:variant>
      <vt:variant>
        <vt:lpwstr/>
      </vt:variant>
      <vt:variant>
        <vt:i4>589864</vt:i4>
      </vt:variant>
      <vt:variant>
        <vt:i4>3</vt:i4>
      </vt:variant>
      <vt:variant>
        <vt:i4>0</vt:i4>
      </vt:variant>
      <vt:variant>
        <vt:i4>5</vt:i4>
      </vt:variant>
      <vt:variant>
        <vt:lpwstr>mailto:nwmedinfo@nhs.net?subject=New%20Medicines%20Newsletter</vt:lpwstr>
      </vt:variant>
      <vt:variant>
        <vt:lpwstr/>
      </vt:variant>
      <vt:variant>
        <vt:i4>7077923</vt:i4>
      </vt:variant>
      <vt:variant>
        <vt:i4>0</vt:i4>
      </vt:variant>
      <vt:variant>
        <vt:i4>0</vt:i4>
      </vt:variant>
      <vt:variant>
        <vt:i4>5</vt:i4>
      </vt:variant>
      <vt:variant>
        <vt:lpwstr>http://www.sps.nhs.uk/</vt:lpwstr>
      </vt:variant>
      <vt:variant>
        <vt:lpwstr/>
      </vt:variant>
      <vt:variant>
        <vt:i4>589864</vt:i4>
      </vt:variant>
      <vt:variant>
        <vt:i4>18</vt:i4>
      </vt:variant>
      <vt:variant>
        <vt:i4>0</vt:i4>
      </vt:variant>
      <vt:variant>
        <vt:i4>5</vt:i4>
      </vt:variant>
      <vt:variant>
        <vt:lpwstr>mailto:nwmedinfo@nhs.net?subject=New%20Medicines%20Newsletter</vt:lpwstr>
      </vt:variant>
      <vt:variant>
        <vt:lpwstr/>
      </vt:variant>
      <vt:variant>
        <vt:i4>7929901</vt:i4>
      </vt:variant>
      <vt:variant>
        <vt:i4>15</vt:i4>
      </vt:variant>
      <vt:variant>
        <vt:i4>0</vt:i4>
      </vt:variant>
      <vt:variant>
        <vt:i4>5</vt:i4>
      </vt:variant>
      <vt:variant>
        <vt:lpwstr>https://www.sps.nhs.uk/wp-login.php?action=register</vt:lpwstr>
      </vt:variant>
      <vt:variant>
        <vt:lpwstr/>
      </vt:variant>
      <vt:variant>
        <vt:i4>7077923</vt:i4>
      </vt:variant>
      <vt:variant>
        <vt:i4>12</vt:i4>
      </vt:variant>
      <vt:variant>
        <vt:i4>0</vt:i4>
      </vt:variant>
      <vt:variant>
        <vt:i4>5</vt:i4>
      </vt:variant>
      <vt:variant>
        <vt:lpwstr>http://www.sps.nhs.uk/</vt:lpwstr>
      </vt:variant>
      <vt:variant>
        <vt:lpwstr/>
      </vt:variant>
      <vt:variant>
        <vt:i4>3211377</vt:i4>
      </vt:variant>
      <vt:variant>
        <vt:i4>9</vt:i4>
      </vt:variant>
      <vt:variant>
        <vt:i4>0</vt:i4>
      </vt:variant>
      <vt:variant>
        <vt:i4>5</vt:i4>
      </vt:variant>
      <vt:variant>
        <vt:lpwstr>http://www.ukmi.nhs.uk/ndo</vt:lpwstr>
      </vt:variant>
      <vt:variant>
        <vt:lpwstr/>
      </vt:variant>
      <vt:variant>
        <vt:i4>1638407</vt:i4>
      </vt:variant>
      <vt:variant>
        <vt:i4>6</vt:i4>
      </vt:variant>
      <vt:variant>
        <vt:i4>0</vt:i4>
      </vt:variant>
      <vt:variant>
        <vt:i4>5</vt:i4>
      </vt:variant>
      <vt:variant>
        <vt:lpwstr>https://www.sps.nhs.uk/prescribing-outlook-2019/</vt:lpwstr>
      </vt:variant>
      <vt:variant>
        <vt:lpwstr/>
      </vt:variant>
      <vt:variant>
        <vt:i4>7405691</vt:i4>
      </vt:variant>
      <vt:variant>
        <vt:i4>3</vt:i4>
      </vt:variant>
      <vt:variant>
        <vt:i4>0</vt:i4>
      </vt:variant>
      <vt:variant>
        <vt:i4>5</vt:i4>
      </vt:variant>
      <vt:variant>
        <vt:lpwstr>https://www.sps.nhs.uk/category/new-medicines/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 home | Contact | Register for NDO access</dc:title>
  <dc:creator>McEntee Joanne (RQ6) RLBUHT</dc:creator>
  <cp:lastModifiedBy>Joanne McEntee</cp:lastModifiedBy>
  <cp:revision>101</cp:revision>
  <cp:lastPrinted>2019-12-09T12:59:00Z</cp:lastPrinted>
  <dcterms:created xsi:type="dcterms:W3CDTF">2024-11-15T21:54:00Z</dcterms:created>
  <dcterms:modified xsi:type="dcterms:W3CDTF">2024-12-04T10:09:00Z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