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31" w:type="pct"/>
        <w:tblInd w:w="-176" w:type="dxa"/>
        <w:tblLayout w:type="fixed"/>
        <w:tblLook w:val="01E0" w:firstRow="1" w:lastRow="1" w:firstColumn="1" w:lastColumn="1" w:noHBand="0" w:noVBand="0"/>
      </w:tblPr>
      <w:tblGrid>
        <w:gridCol w:w="10267"/>
      </w:tblGrid>
      <w:tr w:rsidR="00D2402E" w:rsidRPr="00862949" w14:paraId="0CE0D480" w14:textId="77777777" w:rsidTr="009B0BCE">
        <w:trPr>
          <w:trHeight w:val="192"/>
        </w:trPr>
        <w:tc>
          <w:tcPr>
            <w:tcW w:w="5000" w:type="pct"/>
            <w:shd w:val="clear" w:color="auto" w:fill="auto"/>
            <w:tcMar>
              <w:top w:w="57" w:type="dxa"/>
              <w:bottom w:w="57" w:type="dxa"/>
            </w:tcMar>
          </w:tcPr>
          <w:p w14:paraId="6CDD9D1A" w14:textId="77777777" w:rsidR="00D2402E" w:rsidRPr="00E369CC" w:rsidRDefault="00860B89" w:rsidP="00F81A28">
            <w:pPr>
              <w:jc w:val="right"/>
              <w:rPr>
                <w:rFonts w:cs="Arial"/>
                <w:b/>
                <w:bCs/>
                <w:iCs/>
                <w:color w:val="0070C0"/>
                <w:sz w:val="15"/>
                <w:szCs w:val="15"/>
                <w:lang w:val="en-US"/>
              </w:rPr>
            </w:pPr>
            <w:r>
              <w:rPr>
                <w:rFonts w:cs="Arial"/>
                <w:b/>
                <w:bCs/>
                <w:iCs/>
                <w:color w:val="333399"/>
                <w:sz w:val="15"/>
                <w:szCs w:val="15"/>
                <w:lang w:val="en-US"/>
              </w:rPr>
              <w:t xml:space="preserve">  </w:t>
            </w:r>
            <w:r w:rsidR="00A3053B">
              <w:rPr>
                <w:rFonts w:cs="Arial"/>
                <w:b/>
                <w:bCs/>
                <w:iCs/>
                <w:color w:val="333399"/>
                <w:sz w:val="15"/>
                <w:szCs w:val="15"/>
                <w:lang w:val="en-US"/>
              </w:rPr>
              <w:t xml:space="preserve"> </w:t>
            </w:r>
            <w:r w:rsidR="00AB34E3" w:rsidRPr="00862949">
              <w:rPr>
                <w:rFonts w:cs="Arial"/>
                <w:b/>
                <w:bCs/>
                <w:iCs/>
                <w:color w:val="333399"/>
                <w:sz w:val="15"/>
                <w:szCs w:val="15"/>
                <w:lang w:val="en-US"/>
              </w:rPr>
              <w:t xml:space="preserve"> </w:t>
            </w:r>
            <w:r w:rsidR="009C539A" w:rsidRPr="00862949">
              <w:rPr>
                <w:rFonts w:cs="Arial"/>
                <w:b/>
                <w:bCs/>
                <w:iCs/>
                <w:color w:val="333399"/>
                <w:sz w:val="15"/>
                <w:szCs w:val="15"/>
                <w:lang w:val="en-US"/>
              </w:rPr>
              <w:t xml:space="preserve"> </w:t>
            </w:r>
            <w:hyperlink r:id="rId11" w:tgtFrame="_blank" w:history="1">
              <w:r w:rsidR="00F81A28" w:rsidRPr="009B0BCE">
                <w:rPr>
                  <w:rStyle w:val="Hyperlink"/>
                  <w:rFonts w:ascii="Arial" w:hAnsi="Arial" w:cs="Arial"/>
                  <w:b/>
                  <w:bCs/>
                  <w:iCs/>
                  <w:color w:val="0070C0"/>
                  <w:sz w:val="20"/>
                  <w:szCs w:val="15"/>
                  <w:lang w:val="en-US"/>
                </w:rPr>
                <w:t>SPS</w:t>
              </w:r>
              <w:r w:rsidR="00D2402E" w:rsidRPr="009B0BCE">
                <w:rPr>
                  <w:rStyle w:val="Hyperlink"/>
                  <w:rFonts w:ascii="Arial" w:hAnsi="Arial" w:cs="Arial"/>
                  <w:b/>
                  <w:bCs/>
                  <w:iCs/>
                  <w:color w:val="0070C0"/>
                  <w:sz w:val="20"/>
                  <w:szCs w:val="15"/>
                  <w:lang w:val="en-US"/>
                </w:rPr>
                <w:t xml:space="preserve"> home</w:t>
              </w:r>
            </w:hyperlink>
            <w:r w:rsidR="00D2402E" w:rsidRPr="009B0BCE">
              <w:rPr>
                <w:rFonts w:cs="Arial"/>
                <w:b/>
                <w:bCs/>
                <w:iCs/>
                <w:color w:val="0070C0"/>
                <w:sz w:val="20"/>
                <w:szCs w:val="15"/>
                <w:lang w:val="en-US"/>
              </w:rPr>
              <w:t xml:space="preserve"> | </w:t>
            </w:r>
            <w:hyperlink r:id="rId12" w:history="1">
              <w:r w:rsidR="00D2402E" w:rsidRPr="009B0BCE">
                <w:rPr>
                  <w:rStyle w:val="Hyperlink"/>
                  <w:rFonts w:ascii="Arial" w:hAnsi="Arial" w:cs="Arial"/>
                  <w:b/>
                  <w:bCs/>
                  <w:iCs/>
                  <w:color w:val="0070C0"/>
                  <w:sz w:val="20"/>
                  <w:szCs w:val="15"/>
                  <w:lang w:val="en-US"/>
                </w:rPr>
                <w:t>Contact</w:t>
              </w:r>
            </w:hyperlink>
          </w:p>
        </w:tc>
      </w:tr>
    </w:tbl>
    <w:p w14:paraId="2844F543" w14:textId="77777777" w:rsidR="00B85859" w:rsidRDefault="00B85859" w:rsidP="00727945">
      <w:pPr>
        <w:rPr>
          <w:rFonts w:ascii="Latha" w:hAnsi="Latha" w:cs="Latha"/>
          <w:sz w:val="8"/>
          <w:szCs w:val="8"/>
        </w:rPr>
      </w:pPr>
    </w:p>
    <w:tbl>
      <w:tblPr>
        <w:tblW w:w="5170" w:type="pct"/>
        <w:tblInd w:w="-176" w:type="dxa"/>
        <w:tblLayout w:type="fixed"/>
        <w:tblLook w:val="01E0" w:firstRow="1" w:lastRow="1" w:firstColumn="1" w:lastColumn="1" w:noHBand="0" w:noVBand="0"/>
      </w:tblPr>
      <w:tblGrid>
        <w:gridCol w:w="3294"/>
        <w:gridCol w:w="7257"/>
      </w:tblGrid>
      <w:tr w:rsidR="0020101A" w:rsidRPr="00862949" w14:paraId="295911DC" w14:textId="77777777" w:rsidTr="002772ED">
        <w:tc>
          <w:tcPr>
            <w:tcW w:w="5000" w:type="pct"/>
            <w:gridSpan w:val="2"/>
            <w:shd w:val="clear" w:color="auto" w:fill="0070C0"/>
            <w:tcMar>
              <w:top w:w="85" w:type="dxa"/>
              <w:bottom w:w="85" w:type="dxa"/>
            </w:tcMar>
            <w:vAlign w:val="bottom"/>
          </w:tcPr>
          <w:p w14:paraId="7881DF1B" w14:textId="77777777" w:rsidR="0020101A" w:rsidRPr="00862949" w:rsidRDefault="0020101A" w:rsidP="00720F9E">
            <w:pPr>
              <w:rPr>
                <w:rFonts w:cs="Arial"/>
                <w:color w:val="FFFFFF"/>
                <w:sz w:val="15"/>
                <w:szCs w:val="15"/>
              </w:rPr>
            </w:pPr>
            <w:r>
              <w:rPr>
                <w:rFonts w:cs="Arial"/>
                <w:b/>
                <w:bCs/>
                <w:iCs/>
                <w:color w:val="FFFFFF"/>
                <w:sz w:val="28"/>
                <w:szCs w:val="28"/>
                <w:lang w:val="en-US"/>
              </w:rPr>
              <w:t>New product information</w:t>
            </w:r>
            <w:r w:rsidRPr="00862949">
              <w:rPr>
                <w:rFonts w:cs="Arial"/>
                <w:b/>
                <w:bCs/>
                <w:iCs/>
                <w:color w:val="FFFFFF"/>
                <w:sz w:val="28"/>
                <w:szCs w:val="28"/>
                <w:lang w:val="en-US"/>
              </w:rPr>
              <w:tab/>
            </w:r>
          </w:p>
        </w:tc>
      </w:tr>
      <w:tr w:rsidR="0020101A" w:rsidRPr="00862949" w14:paraId="2D8A24F2" w14:textId="77777777" w:rsidTr="002772ED">
        <w:tc>
          <w:tcPr>
            <w:tcW w:w="5000" w:type="pct"/>
            <w:gridSpan w:val="2"/>
            <w:shd w:val="clear" w:color="auto" w:fill="DAEEF3"/>
            <w:tcMar>
              <w:top w:w="0" w:type="dxa"/>
              <w:bottom w:w="0" w:type="dxa"/>
            </w:tcMar>
          </w:tcPr>
          <w:p w14:paraId="590EF2EC" w14:textId="77777777" w:rsidR="0020101A" w:rsidRPr="00862949" w:rsidRDefault="0020101A" w:rsidP="00720F9E">
            <w:pPr>
              <w:rPr>
                <w:rFonts w:cs="Arial"/>
                <w:b/>
                <w:bCs/>
                <w:i/>
                <w:iCs/>
                <w:color w:val="000000"/>
                <w:sz w:val="8"/>
                <w:szCs w:val="8"/>
                <w:lang w:val="en-US"/>
              </w:rPr>
            </w:pPr>
          </w:p>
        </w:tc>
      </w:tr>
      <w:tr w:rsidR="0020101A" w:rsidRPr="00862949" w14:paraId="60200D5F" w14:textId="77777777" w:rsidTr="002772ED">
        <w:tc>
          <w:tcPr>
            <w:tcW w:w="5000" w:type="pct"/>
            <w:gridSpan w:val="2"/>
            <w:shd w:val="clear" w:color="auto" w:fill="00B050"/>
            <w:tcMar>
              <w:top w:w="57" w:type="dxa"/>
              <w:bottom w:w="57" w:type="dxa"/>
            </w:tcMar>
          </w:tcPr>
          <w:p w14:paraId="27B83042" w14:textId="77777777" w:rsidR="0020101A" w:rsidRPr="00433D3E" w:rsidRDefault="0020101A" w:rsidP="00720F9E">
            <w:pPr>
              <w:rPr>
                <w:rFonts w:cs="Arial"/>
                <w:color w:val="FFFFFF"/>
                <w:sz w:val="20"/>
                <w:szCs w:val="20"/>
              </w:rPr>
            </w:pPr>
            <w:r w:rsidRPr="00433D3E">
              <w:rPr>
                <w:rFonts w:cs="Arial"/>
                <w:b/>
                <w:bCs/>
                <w:i/>
                <w:iCs/>
                <w:color w:val="FFFFFF"/>
                <w:sz w:val="22"/>
                <w:szCs w:val="20"/>
                <w:lang w:val="en-US"/>
              </w:rPr>
              <w:t>Launched in the UK (or licence change for existing products)</w:t>
            </w:r>
          </w:p>
        </w:tc>
      </w:tr>
      <w:tr w:rsidR="00695C8A" w:rsidRPr="00131D4C" w14:paraId="55C8C0E2" w14:textId="77777777" w:rsidTr="00E524A2">
        <w:tc>
          <w:tcPr>
            <w:tcW w:w="1561" w:type="pct"/>
            <w:shd w:val="clear" w:color="auto" w:fill="auto"/>
            <w:tcMar>
              <w:top w:w="57" w:type="dxa"/>
              <w:left w:w="170" w:type="dxa"/>
              <w:bottom w:w="57" w:type="dxa"/>
              <w:right w:w="170" w:type="dxa"/>
            </w:tcMar>
          </w:tcPr>
          <w:p w14:paraId="49262BD1" w14:textId="77777777" w:rsidR="00695C8A" w:rsidRDefault="00695C8A" w:rsidP="00695C8A">
            <w:pPr>
              <w:rPr>
                <w:rFonts w:cs="Arial"/>
                <w:szCs w:val="19"/>
              </w:rPr>
            </w:pPr>
            <w:r>
              <w:rPr>
                <w:rFonts w:cs="Arial"/>
                <w:szCs w:val="19"/>
              </w:rPr>
              <w:t>Binimetinib (</w:t>
            </w:r>
            <w:r>
              <w:rPr>
                <w:rFonts w:cs="Arial"/>
                <w:i/>
                <w:iCs/>
                <w:szCs w:val="19"/>
              </w:rPr>
              <w:t>Mektovi</w:t>
            </w:r>
            <w:r>
              <w:rPr>
                <w:rFonts w:cs="Arial"/>
                <w:szCs w:val="19"/>
              </w:rPr>
              <w:t>)</w:t>
            </w:r>
          </w:p>
          <w:p w14:paraId="48ADD498" w14:textId="143FAEE9" w:rsidR="00253938" w:rsidRPr="0011452F" w:rsidRDefault="0043747D" w:rsidP="00695C8A">
            <w:pPr>
              <w:rPr>
                <w:rFonts w:cs="Arial"/>
                <w:szCs w:val="19"/>
              </w:rPr>
            </w:pPr>
            <w:r>
              <w:rPr>
                <w:rFonts w:cs="Arial"/>
                <w:sz w:val="16"/>
                <w:szCs w:val="16"/>
              </w:rPr>
              <w:t>1</w:t>
            </w:r>
            <w:r w:rsidR="00253938" w:rsidRPr="00E73A7D">
              <w:rPr>
                <w:rFonts w:cs="Arial"/>
                <w:sz w:val="16"/>
                <w:szCs w:val="16"/>
              </w:rPr>
              <w:t xml:space="preserve">5mg and </w:t>
            </w:r>
            <w:r>
              <w:rPr>
                <w:rFonts w:cs="Arial"/>
                <w:sz w:val="16"/>
                <w:szCs w:val="16"/>
              </w:rPr>
              <w:t>4</w:t>
            </w:r>
            <w:r w:rsidR="00253938" w:rsidRPr="00E73A7D">
              <w:rPr>
                <w:rFonts w:cs="Arial"/>
                <w:sz w:val="16"/>
                <w:szCs w:val="16"/>
              </w:rPr>
              <w:t>5mg capsules</w:t>
            </w:r>
          </w:p>
        </w:tc>
        <w:tc>
          <w:tcPr>
            <w:tcW w:w="3439" w:type="pct"/>
            <w:shd w:val="clear" w:color="auto" w:fill="auto"/>
            <w:tcMar>
              <w:top w:w="57" w:type="dxa"/>
              <w:left w:w="170" w:type="dxa"/>
              <w:bottom w:w="57" w:type="dxa"/>
              <w:right w:w="170" w:type="dxa"/>
            </w:tcMar>
          </w:tcPr>
          <w:p w14:paraId="4FC1B850" w14:textId="20F41023" w:rsidR="00695C8A" w:rsidRPr="009C4947" w:rsidRDefault="00695C8A" w:rsidP="00695C8A">
            <w:pPr>
              <w:tabs>
                <w:tab w:val="center" w:pos="3152"/>
              </w:tabs>
              <w:rPr>
                <w:rFonts w:cs="Arial"/>
                <w:szCs w:val="19"/>
                <w:lang w:val="en-US"/>
              </w:rPr>
            </w:pPr>
            <w:r w:rsidRPr="008B2624">
              <w:rPr>
                <w:rFonts w:cs="Arial"/>
                <w:szCs w:val="19"/>
                <w:lang w:val="en-US"/>
              </w:rPr>
              <w:t xml:space="preserve">Use in </w:t>
            </w:r>
            <w:r w:rsidR="00A3745E">
              <w:rPr>
                <w:rFonts w:cs="Arial"/>
                <w:szCs w:val="19"/>
                <w:lang w:val="en-US"/>
              </w:rPr>
              <w:t>combinatio</w:t>
            </w:r>
            <w:r w:rsidRPr="008B2624">
              <w:rPr>
                <w:rFonts w:cs="Arial"/>
                <w:szCs w:val="19"/>
                <w:lang w:val="en-US"/>
              </w:rPr>
              <w:t xml:space="preserve">n with </w:t>
            </w:r>
            <w:proofErr w:type="spellStart"/>
            <w:r w:rsidRPr="008B2624">
              <w:rPr>
                <w:rFonts w:cs="Arial"/>
                <w:szCs w:val="19"/>
                <w:lang w:val="en-US"/>
              </w:rPr>
              <w:t>encorafenib</w:t>
            </w:r>
            <w:proofErr w:type="spellEnd"/>
            <w:r w:rsidRPr="008B2624">
              <w:rPr>
                <w:rFonts w:cs="Arial"/>
                <w:szCs w:val="19"/>
                <w:lang w:val="en-US"/>
              </w:rPr>
              <w:t xml:space="preserve"> for the treatment of adults with advanced non-small cell lung cancer with a BRAF V600E mutation</w:t>
            </w:r>
            <w:r>
              <w:rPr>
                <w:rFonts w:cs="Arial"/>
                <w:szCs w:val="19"/>
                <w:lang w:val="en-US"/>
              </w:rPr>
              <w:t xml:space="preserve"> </w:t>
            </w:r>
            <w:r w:rsidRPr="008B2624">
              <w:rPr>
                <w:rFonts w:cs="Arial"/>
                <w:sz w:val="16"/>
                <w:szCs w:val="16"/>
                <w:lang w:val="en-US"/>
              </w:rPr>
              <w:t>[new indication]</w:t>
            </w:r>
          </w:p>
        </w:tc>
      </w:tr>
      <w:tr w:rsidR="00695C8A" w:rsidRPr="00131D4C" w14:paraId="5FAD4EC6" w14:textId="77777777" w:rsidTr="00E524A2">
        <w:tc>
          <w:tcPr>
            <w:tcW w:w="1561" w:type="pct"/>
            <w:shd w:val="clear" w:color="auto" w:fill="auto"/>
            <w:tcMar>
              <w:top w:w="57" w:type="dxa"/>
              <w:left w:w="170" w:type="dxa"/>
              <w:bottom w:w="57" w:type="dxa"/>
              <w:right w:w="170" w:type="dxa"/>
            </w:tcMar>
          </w:tcPr>
          <w:p w14:paraId="119C868E" w14:textId="10ED071B" w:rsidR="00695C8A" w:rsidRPr="00CB7CB1" w:rsidRDefault="00695C8A" w:rsidP="00695C8A">
            <w:pPr>
              <w:rPr>
                <w:rFonts w:cs="Arial"/>
                <w:szCs w:val="19"/>
              </w:rPr>
            </w:pPr>
            <w:proofErr w:type="spellStart"/>
            <w:r>
              <w:rPr>
                <w:rFonts w:cs="Arial"/>
                <w:szCs w:val="19"/>
              </w:rPr>
              <w:t>Crovalimab</w:t>
            </w:r>
            <w:proofErr w:type="spellEnd"/>
            <w:r>
              <w:rPr>
                <w:rFonts w:cs="Arial"/>
                <w:szCs w:val="19"/>
              </w:rPr>
              <w:t xml:space="preserve"> (</w:t>
            </w:r>
            <w:proofErr w:type="spellStart"/>
            <w:r>
              <w:rPr>
                <w:rFonts w:cs="Arial"/>
                <w:i/>
                <w:iCs/>
                <w:szCs w:val="19"/>
              </w:rPr>
              <w:t>PiaSky</w:t>
            </w:r>
            <w:proofErr w:type="spellEnd"/>
            <w:r>
              <w:rPr>
                <w:rFonts w:cs="Arial"/>
                <w:szCs w:val="19"/>
              </w:rPr>
              <w:t>)</w:t>
            </w:r>
            <w:r>
              <w:rPr>
                <w:rFonts w:cs="Arial"/>
                <w:szCs w:val="19"/>
              </w:rPr>
              <w:br/>
            </w:r>
            <w:r w:rsidRPr="0074196C">
              <w:rPr>
                <w:rFonts w:cs="Arial"/>
                <w:sz w:val="16"/>
                <w:szCs w:val="16"/>
              </w:rPr>
              <w:t>340mg in 2mL vial</w:t>
            </w:r>
          </w:p>
        </w:tc>
        <w:tc>
          <w:tcPr>
            <w:tcW w:w="3439" w:type="pct"/>
            <w:shd w:val="clear" w:color="auto" w:fill="auto"/>
            <w:tcMar>
              <w:top w:w="57" w:type="dxa"/>
              <w:left w:w="170" w:type="dxa"/>
              <w:bottom w:w="57" w:type="dxa"/>
              <w:right w:w="170" w:type="dxa"/>
            </w:tcMar>
          </w:tcPr>
          <w:p w14:paraId="3CE2B101" w14:textId="70363F58" w:rsidR="00695C8A" w:rsidRDefault="00695C8A" w:rsidP="00695C8A">
            <w:pPr>
              <w:tabs>
                <w:tab w:val="center" w:pos="3152"/>
              </w:tabs>
              <w:rPr>
                <w:rFonts w:cs="Arial"/>
                <w:bCs/>
                <w:szCs w:val="19"/>
              </w:rPr>
            </w:pPr>
            <w:r w:rsidRPr="009919B4">
              <w:rPr>
                <w:rFonts w:cs="Arial"/>
                <w:szCs w:val="19"/>
                <w:lang w:val="en-US"/>
              </w:rPr>
              <w:t xml:space="preserve">Use as monotherapy for the treatment of adult and paediatric patients </w:t>
            </w:r>
            <w:r>
              <w:rPr>
                <w:rFonts w:cs="Arial"/>
                <w:szCs w:val="19"/>
                <w:lang w:val="en-US"/>
              </w:rPr>
              <w:t>aged ≥</w:t>
            </w:r>
            <w:r w:rsidRPr="009919B4">
              <w:rPr>
                <w:rFonts w:cs="Arial"/>
                <w:szCs w:val="19"/>
                <w:lang w:val="en-US"/>
              </w:rPr>
              <w:t xml:space="preserve">12 years with a weight </w:t>
            </w:r>
            <w:r>
              <w:rPr>
                <w:rFonts w:cs="Arial"/>
                <w:szCs w:val="19"/>
                <w:lang w:val="en-US"/>
              </w:rPr>
              <w:t>≥</w:t>
            </w:r>
            <w:r w:rsidRPr="009919B4">
              <w:rPr>
                <w:rFonts w:cs="Arial"/>
                <w:szCs w:val="19"/>
                <w:lang w:val="en-US"/>
              </w:rPr>
              <w:t xml:space="preserve">40kg with paroxysmal nocturnal </w:t>
            </w:r>
            <w:proofErr w:type="spellStart"/>
            <w:r w:rsidRPr="009919B4">
              <w:rPr>
                <w:rFonts w:cs="Arial"/>
                <w:szCs w:val="19"/>
                <w:lang w:val="en-US"/>
              </w:rPr>
              <w:t>haemoglobinuria</w:t>
            </w:r>
            <w:proofErr w:type="spellEnd"/>
            <w:r w:rsidRPr="009919B4">
              <w:rPr>
                <w:rFonts w:cs="Arial"/>
                <w:szCs w:val="19"/>
                <w:lang w:val="en-US"/>
              </w:rPr>
              <w:t xml:space="preserve">, in patients with </w:t>
            </w:r>
            <w:proofErr w:type="spellStart"/>
            <w:r w:rsidRPr="009919B4">
              <w:rPr>
                <w:rFonts w:cs="Arial"/>
                <w:szCs w:val="19"/>
                <w:lang w:val="en-US"/>
              </w:rPr>
              <w:t>haemolysis</w:t>
            </w:r>
            <w:proofErr w:type="spellEnd"/>
            <w:r w:rsidRPr="009919B4">
              <w:rPr>
                <w:rFonts w:cs="Arial"/>
                <w:szCs w:val="19"/>
                <w:lang w:val="en-US"/>
              </w:rPr>
              <w:t xml:space="preserve"> with clinical symptom(s) indicative of high disease activity, and in patients who are clinically stable after having been treated with a complement component 5 inhibitor for at least the past 6 months</w:t>
            </w:r>
          </w:p>
        </w:tc>
      </w:tr>
      <w:tr w:rsidR="00325E42" w:rsidRPr="00131D4C" w14:paraId="6FFEF1DF" w14:textId="77777777" w:rsidTr="00E524A2">
        <w:tc>
          <w:tcPr>
            <w:tcW w:w="1561" w:type="pct"/>
            <w:shd w:val="clear" w:color="auto" w:fill="auto"/>
            <w:tcMar>
              <w:top w:w="57" w:type="dxa"/>
              <w:left w:w="170" w:type="dxa"/>
              <w:bottom w:w="57" w:type="dxa"/>
              <w:right w:w="170" w:type="dxa"/>
            </w:tcMar>
          </w:tcPr>
          <w:p w14:paraId="7F8D0A4D" w14:textId="77777777" w:rsidR="00325E42" w:rsidRDefault="00325E42" w:rsidP="00325E42">
            <w:pPr>
              <w:rPr>
                <w:rFonts w:cs="Arial"/>
                <w:szCs w:val="19"/>
              </w:rPr>
            </w:pPr>
            <w:r>
              <w:rPr>
                <w:rFonts w:cs="Arial"/>
                <w:szCs w:val="19"/>
              </w:rPr>
              <w:t>Durvalumab (</w:t>
            </w:r>
            <w:r>
              <w:rPr>
                <w:rFonts w:cs="Arial"/>
                <w:i/>
                <w:iCs/>
                <w:szCs w:val="19"/>
              </w:rPr>
              <w:t>Imfinzi</w:t>
            </w:r>
            <w:r>
              <w:rPr>
                <w:rFonts w:cs="Arial"/>
                <w:szCs w:val="19"/>
              </w:rPr>
              <w:t>)</w:t>
            </w:r>
          </w:p>
          <w:p w14:paraId="16B3F2D9" w14:textId="366A5AFA" w:rsidR="009A48B8" w:rsidRPr="009B4F9E" w:rsidRDefault="009A48B8" w:rsidP="00325E42">
            <w:pPr>
              <w:rPr>
                <w:rFonts w:cs="Arial"/>
                <w:szCs w:val="19"/>
              </w:rPr>
            </w:pPr>
            <w:r w:rsidRPr="009A48B8">
              <w:rPr>
                <w:rFonts w:cs="Arial"/>
                <w:sz w:val="16"/>
                <w:szCs w:val="16"/>
              </w:rPr>
              <w:t>120mg in 2.4mL and 500mg</w:t>
            </w:r>
            <w:r w:rsidR="00522B02">
              <w:rPr>
                <w:rFonts w:cs="Arial"/>
                <w:sz w:val="16"/>
                <w:szCs w:val="16"/>
              </w:rPr>
              <w:t xml:space="preserve"> </w:t>
            </w:r>
            <w:r w:rsidRPr="009A48B8">
              <w:rPr>
                <w:rFonts w:cs="Arial"/>
                <w:sz w:val="16"/>
                <w:szCs w:val="16"/>
              </w:rPr>
              <w:t>in 10mL vials</w:t>
            </w:r>
          </w:p>
        </w:tc>
        <w:tc>
          <w:tcPr>
            <w:tcW w:w="3439" w:type="pct"/>
            <w:shd w:val="clear" w:color="auto" w:fill="auto"/>
            <w:tcMar>
              <w:top w:w="57" w:type="dxa"/>
              <w:left w:w="170" w:type="dxa"/>
              <w:bottom w:w="57" w:type="dxa"/>
              <w:right w:w="170" w:type="dxa"/>
            </w:tcMar>
          </w:tcPr>
          <w:p w14:paraId="10783E69" w14:textId="57D4A5D0" w:rsidR="00325E42" w:rsidRPr="00A075A3" w:rsidRDefault="00325E42" w:rsidP="00325E42">
            <w:pPr>
              <w:tabs>
                <w:tab w:val="center" w:pos="3152"/>
              </w:tabs>
              <w:rPr>
                <w:rFonts w:cs="Arial"/>
                <w:szCs w:val="19"/>
                <w:lang w:val="en-US"/>
              </w:rPr>
            </w:pPr>
            <w:r w:rsidRPr="0073112B">
              <w:rPr>
                <w:rFonts w:cs="Arial"/>
                <w:szCs w:val="19"/>
                <w:lang w:val="en-US"/>
              </w:rPr>
              <w:t xml:space="preserve">Use in combination with carboplatin and paclitaxel for the first-line treatment of adults with primary advanced or recurrent endometrial cancer​ who are candidates for systemic therapy, followed by maintenance treatment with </w:t>
            </w:r>
            <w:r w:rsidRPr="0073112B">
              <w:rPr>
                <w:rFonts w:cs="Arial"/>
                <w:i/>
                <w:iCs/>
                <w:szCs w:val="19"/>
                <w:lang w:val="en-US"/>
              </w:rPr>
              <w:t>Imfinzi</w:t>
            </w:r>
            <w:r w:rsidRPr="0073112B">
              <w:rPr>
                <w:rFonts w:cs="Arial"/>
                <w:szCs w:val="19"/>
                <w:lang w:val="en-US"/>
              </w:rPr>
              <w:t xml:space="preserve"> as monotherapy in endometrial cancer that is mismatch repair deficient, or in combination with olaparib in endometrial cancer that is mismatch repair proficient </w:t>
            </w:r>
            <w:r w:rsidRPr="0073112B">
              <w:rPr>
                <w:rFonts w:cs="Arial"/>
                <w:sz w:val="16"/>
                <w:szCs w:val="16"/>
                <w:lang w:val="en-US"/>
              </w:rPr>
              <w:t>[new indication]</w:t>
            </w:r>
          </w:p>
        </w:tc>
      </w:tr>
      <w:tr w:rsidR="00D11143" w:rsidRPr="00131D4C" w14:paraId="71318592" w14:textId="77777777" w:rsidTr="00E524A2">
        <w:tc>
          <w:tcPr>
            <w:tcW w:w="1561" w:type="pct"/>
            <w:shd w:val="clear" w:color="auto" w:fill="auto"/>
            <w:tcMar>
              <w:top w:w="57" w:type="dxa"/>
              <w:left w:w="170" w:type="dxa"/>
              <w:bottom w:w="57" w:type="dxa"/>
              <w:right w:w="170" w:type="dxa"/>
            </w:tcMar>
          </w:tcPr>
          <w:p w14:paraId="114DFA10" w14:textId="77777777" w:rsidR="00D11143" w:rsidRDefault="00D11143" w:rsidP="00D11143">
            <w:pPr>
              <w:rPr>
                <w:rFonts w:cs="Arial"/>
                <w:szCs w:val="19"/>
              </w:rPr>
            </w:pPr>
            <w:proofErr w:type="spellStart"/>
            <w:r w:rsidRPr="00C24A8A">
              <w:rPr>
                <w:rFonts w:cs="Arial"/>
                <w:szCs w:val="19"/>
              </w:rPr>
              <w:t>Eplontersen</w:t>
            </w:r>
            <w:proofErr w:type="spellEnd"/>
            <w:r>
              <w:rPr>
                <w:rFonts w:cs="Arial"/>
                <w:szCs w:val="19"/>
              </w:rPr>
              <w:t xml:space="preserve"> (</w:t>
            </w:r>
            <w:proofErr w:type="spellStart"/>
            <w:r>
              <w:rPr>
                <w:rFonts w:cs="Arial"/>
                <w:i/>
                <w:iCs/>
                <w:szCs w:val="19"/>
              </w:rPr>
              <w:t>Wainzua</w:t>
            </w:r>
            <w:proofErr w:type="spellEnd"/>
            <w:r>
              <w:rPr>
                <w:rFonts w:cs="Arial"/>
                <w:szCs w:val="19"/>
              </w:rPr>
              <w:t>)</w:t>
            </w:r>
          </w:p>
          <w:p w14:paraId="10732D1B" w14:textId="777EF866" w:rsidR="00D11143" w:rsidRPr="006F0722" w:rsidRDefault="00D11143" w:rsidP="00D11143">
            <w:pPr>
              <w:rPr>
                <w:rFonts w:cs="Arial"/>
                <w:szCs w:val="19"/>
              </w:rPr>
            </w:pPr>
            <w:r w:rsidRPr="00C24A8A">
              <w:rPr>
                <w:rFonts w:cs="Arial"/>
                <w:sz w:val="16"/>
                <w:szCs w:val="16"/>
              </w:rPr>
              <w:t>45mg</w:t>
            </w:r>
            <w:r>
              <w:rPr>
                <w:rFonts w:cs="Arial"/>
                <w:sz w:val="16"/>
                <w:szCs w:val="16"/>
              </w:rPr>
              <w:t xml:space="preserve"> in 0.8mL</w:t>
            </w:r>
            <w:r w:rsidRPr="00C24A8A">
              <w:rPr>
                <w:rFonts w:cs="Arial"/>
                <w:sz w:val="16"/>
                <w:szCs w:val="16"/>
              </w:rPr>
              <w:t xml:space="preserve"> prefilled pen</w:t>
            </w:r>
          </w:p>
        </w:tc>
        <w:tc>
          <w:tcPr>
            <w:tcW w:w="3439" w:type="pct"/>
            <w:shd w:val="clear" w:color="auto" w:fill="auto"/>
            <w:tcMar>
              <w:top w:w="57" w:type="dxa"/>
              <w:left w:w="170" w:type="dxa"/>
              <w:bottom w:w="57" w:type="dxa"/>
              <w:right w:w="170" w:type="dxa"/>
            </w:tcMar>
          </w:tcPr>
          <w:p w14:paraId="2D9611B1" w14:textId="5D0C50EC" w:rsidR="00D11143" w:rsidRPr="006F0722" w:rsidRDefault="00D11143" w:rsidP="00D11143">
            <w:pPr>
              <w:tabs>
                <w:tab w:val="center" w:pos="3152"/>
              </w:tabs>
              <w:rPr>
                <w:rFonts w:cs="Arial"/>
                <w:szCs w:val="19"/>
                <w:lang w:val="en-US"/>
              </w:rPr>
            </w:pPr>
            <w:r w:rsidRPr="00C24A8A">
              <w:rPr>
                <w:rFonts w:cs="Arial"/>
                <w:szCs w:val="19"/>
                <w:lang w:val="en-US"/>
              </w:rPr>
              <w:t xml:space="preserve">Treatment of hereditary transthyretin-mediated amyloidosis in adults with Stage 1 and 2 </w:t>
            </w:r>
            <w:proofErr w:type="gramStart"/>
            <w:r w:rsidRPr="00C24A8A">
              <w:rPr>
                <w:rFonts w:cs="Arial"/>
                <w:szCs w:val="19"/>
                <w:lang w:val="en-US"/>
              </w:rPr>
              <w:t>polyneuropathy</w:t>
            </w:r>
            <w:proofErr w:type="gramEnd"/>
          </w:p>
        </w:tc>
      </w:tr>
      <w:tr w:rsidR="00D11143" w:rsidRPr="00131D4C" w14:paraId="77319590" w14:textId="77777777" w:rsidTr="00E524A2">
        <w:tc>
          <w:tcPr>
            <w:tcW w:w="1561" w:type="pct"/>
            <w:shd w:val="clear" w:color="auto" w:fill="auto"/>
            <w:tcMar>
              <w:top w:w="57" w:type="dxa"/>
              <w:left w:w="170" w:type="dxa"/>
              <w:bottom w:w="57" w:type="dxa"/>
              <w:right w:w="170" w:type="dxa"/>
            </w:tcMar>
          </w:tcPr>
          <w:p w14:paraId="0C7F8404" w14:textId="77777777" w:rsidR="00D11143" w:rsidRDefault="00D11143" w:rsidP="00D11143">
            <w:pPr>
              <w:rPr>
                <w:rFonts w:cs="Arial"/>
                <w:szCs w:val="19"/>
              </w:rPr>
            </w:pPr>
            <w:r w:rsidRPr="006F0722">
              <w:rPr>
                <w:rFonts w:cs="Arial"/>
                <w:szCs w:val="19"/>
              </w:rPr>
              <w:t>Erdafitinib</w:t>
            </w:r>
            <w:r>
              <w:rPr>
                <w:rFonts w:cs="Arial"/>
                <w:szCs w:val="19"/>
              </w:rPr>
              <w:t xml:space="preserve"> (</w:t>
            </w:r>
            <w:proofErr w:type="spellStart"/>
            <w:r w:rsidRPr="006F0722">
              <w:rPr>
                <w:rFonts w:cs="Arial"/>
                <w:i/>
                <w:iCs/>
                <w:szCs w:val="19"/>
              </w:rPr>
              <w:t>Balversa</w:t>
            </w:r>
            <w:proofErr w:type="spellEnd"/>
            <w:r>
              <w:rPr>
                <w:rFonts w:cs="Arial"/>
                <w:szCs w:val="19"/>
              </w:rPr>
              <w:t>)</w:t>
            </w:r>
          </w:p>
          <w:p w14:paraId="2291ECE7" w14:textId="12F84008" w:rsidR="00D11143" w:rsidRPr="00A075A3" w:rsidRDefault="00D11143" w:rsidP="00D11143">
            <w:pPr>
              <w:rPr>
                <w:rFonts w:cs="Arial"/>
                <w:szCs w:val="19"/>
              </w:rPr>
            </w:pPr>
            <w:r w:rsidRPr="005E03A5">
              <w:rPr>
                <w:rFonts w:cs="Arial"/>
                <w:sz w:val="16"/>
                <w:szCs w:val="16"/>
              </w:rPr>
              <w:t>3mg, 4mg and 5mg tablets</w:t>
            </w:r>
          </w:p>
        </w:tc>
        <w:tc>
          <w:tcPr>
            <w:tcW w:w="3439" w:type="pct"/>
            <w:shd w:val="clear" w:color="auto" w:fill="auto"/>
            <w:tcMar>
              <w:top w:w="57" w:type="dxa"/>
              <w:left w:w="170" w:type="dxa"/>
              <w:bottom w:w="57" w:type="dxa"/>
              <w:right w:w="170" w:type="dxa"/>
            </w:tcMar>
          </w:tcPr>
          <w:p w14:paraId="533A1B2E" w14:textId="58BD3DAF" w:rsidR="00D11143" w:rsidRPr="009B0BCE" w:rsidRDefault="00D11143" w:rsidP="00D11143">
            <w:pPr>
              <w:tabs>
                <w:tab w:val="center" w:pos="3152"/>
              </w:tabs>
              <w:rPr>
                <w:rFonts w:cs="Arial"/>
                <w:color w:val="000000"/>
                <w:sz w:val="20"/>
                <w:szCs w:val="18"/>
                <w:lang w:val="en-US"/>
              </w:rPr>
            </w:pPr>
            <w:r w:rsidRPr="006F0722">
              <w:rPr>
                <w:rFonts w:cs="Arial"/>
                <w:szCs w:val="19"/>
                <w:lang w:val="en-US"/>
              </w:rPr>
              <w:t xml:space="preserve">Use as monotherapy for the treatment of adults with unresectable or metastatic urothelial carcinoma, </w:t>
            </w:r>
            <w:proofErr w:type="spellStart"/>
            <w:r w:rsidRPr="006F0722">
              <w:rPr>
                <w:rFonts w:cs="Arial"/>
                <w:szCs w:val="19"/>
                <w:lang w:val="en-US"/>
              </w:rPr>
              <w:t>harbouring</w:t>
            </w:r>
            <w:proofErr w:type="spellEnd"/>
            <w:r w:rsidRPr="006F0722">
              <w:rPr>
                <w:rFonts w:cs="Arial"/>
                <w:szCs w:val="19"/>
                <w:lang w:val="en-US"/>
              </w:rPr>
              <w:t xml:space="preserve"> susceptible FGFR3 genetic alterations who have previously received at least one line of therapy containing a PD-1 or PD-L1 inhibitor in the unresectable or metastatic treatment setting</w:t>
            </w:r>
            <w:r>
              <w:rPr>
                <w:rFonts w:cs="Arial"/>
                <w:szCs w:val="19"/>
                <w:lang w:val="en-US"/>
              </w:rPr>
              <w:t xml:space="preserve"> </w:t>
            </w:r>
          </w:p>
        </w:tc>
      </w:tr>
      <w:tr w:rsidR="00D11143" w:rsidRPr="00131D4C" w14:paraId="08DA8CED" w14:textId="77777777" w:rsidTr="00E524A2">
        <w:tc>
          <w:tcPr>
            <w:tcW w:w="1561" w:type="pct"/>
            <w:shd w:val="clear" w:color="auto" w:fill="auto"/>
            <w:tcMar>
              <w:top w:w="57" w:type="dxa"/>
              <w:left w:w="170" w:type="dxa"/>
              <w:bottom w:w="57" w:type="dxa"/>
              <w:right w:w="170" w:type="dxa"/>
            </w:tcMar>
          </w:tcPr>
          <w:p w14:paraId="2EFAF367" w14:textId="77777777" w:rsidR="00D11143" w:rsidRDefault="00D11143" w:rsidP="00D11143">
            <w:pPr>
              <w:rPr>
                <w:rFonts w:cs="Arial"/>
                <w:szCs w:val="19"/>
              </w:rPr>
            </w:pPr>
            <w:proofErr w:type="spellStart"/>
            <w:r>
              <w:rPr>
                <w:rFonts w:cs="Arial"/>
                <w:szCs w:val="19"/>
              </w:rPr>
              <w:t>Lecanemab</w:t>
            </w:r>
            <w:proofErr w:type="spellEnd"/>
            <w:r>
              <w:rPr>
                <w:rFonts w:cs="Arial"/>
                <w:szCs w:val="19"/>
              </w:rPr>
              <w:t xml:space="preserve"> (</w:t>
            </w:r>
            <w:proofErr w:type="spellStart"/>
            <w:r>
              <w:rPr>
                <w:rFonts w:cs="Arial"/>
                <w:i/>
                <w:iCs/>
                <w:szCs w:val="19"/>
              </w:rPr>
              <w:t>Leqembi</w:t>
            </w:r>
            <w:proofErr w:type="spellEnd"/>
            <w:r>
              <w:rPr>
                <w:rFonts w:cs="Arial"/>
                <w:szCs w:val="19"/>
              </w:rPr>
              <w:t>)</w:t>
            </w:r>
          </w:p>
          <w:p w14:paraId="4443BE0F" w14:textId="6C5875E1" w:rsidR="00D11143" w:rsidRPr="00EA51C2" w:rsidRDefault="00D11143" w:rsidP="00D11143">
            <w:pPr>
              <w:rPr>
                <w:rFonts w:cs="Arial"/>
                <w:szCs w:val="19"/>
              </w:rPr>
            </w:pPr>
            <w:r w:rsidRPr="00D71585">
              <w:rPr>
                <w:rFonts w:cs="Arial"/>
                <w:sz w:val="16"/>
                <w:szCs w:val="16"/>
              </w:rPr>
              <w:t>500mg in 5mL and 200mg in 2mL vials</w:t>
            </w:r>
          </w:p>
        </w:tc>
        <w:tc>
          <w:tcPr>
            <w:tcW w:w="3439" w:type="pct"/>
            <w:shd w:val="clear" w:color="auto" w:fill="auto"/>
            <w:tcMar>
              <w:top w:w="57" w:type="dxa"/>
              <w:left w:w="170" w:type="dxa"/>
              <w:bottom w:w="57" w:type="dxa"/>
              <w:right w:w="170" w:type="dxa"/>
            </w:tcMar>
          </w:tcPr>
          <w:p w14:paraId="75DF0BF4" w14:textId="18AF332D" w:rsidR="00D11143" w:rsidRPr="00B64A1C" w:rsidRDefault="00D11143" w:rsidP="00D11143">
            <w:pPr>
              <w:tabs>
                <w:tab w:val="center" w:pos="3152"/>
              </w:tabs>
              <w:rPr>
                <w:rFonts w:cs="Arial"/>
                <w:sz w:val="18"/>
                <w:szCs w:val="18"/>
              </w:rPr>
            </w:pPr>
            <w:r w:rsidRPr="003F7448">
              <w:rPr>
                <w:rFonts w:cs="Arial"/>
                <w:color w:val="000000" w:themeColor="text1"/>
                <w:szCs w:val="19"/>
                <w:lang w:val="en-US"/>
              </w:rPr>
              <w:t>Treatment of mild cognitive impairment and mild dementia due to Alzheimer’s disease in adults that are apolipoprotein E ε4 heterozygotes or non-carriers</w:t>
            </w:r>
          </w:p>
        </w:tc>
      </w:tr>
      <w:tr w:rsidR="00D11143" w:rsidRPr="00131D4C" w14:paraId="713A92E9" w14:textId="77777777" w:rsidTr="00E524A2">
        <w:tc>
          <w:tcPr>
            <w:tcW w:w="1561" w:type="pct"/>
            <w:shd w:val="clear" w:color="auto" w:fill="auto"/>
            <w:tcMar>
              <w:top w:w="57" w:type="dxa"/>
              <w:left w:w="170" w:type="dxa"/>
              <w:bottom w:w="57" w:type="dxa"/>
              <w:right w:w="170" w:type="dxa"/>
            </w:tcMar>
          </w:tcPr>
          <w:p w14:paraId="2BE412B6" w14:textId="77777777" w:rsidR="00D11143" w:rsidRDefault="00D11143" w:rsidP="00D11143">
            <w:pPr>
              <w:rPr>
                <w:rFonts w:cs="Arial"/>
                <w:szCs w:val="19"/>
              </w:rPr>
            </w:pPr>
            <w:proofErr w:type="spellStart"/>
            <w:r>
              <w:rPr>
                <w:rFonts w:cs="Arial"/>
                <w:szCs w:val="19"/>
              </w:rPr>
              <w:t>Macitentan</w:t>
            </w:r>
            <w:proofErr w:type="spellEnd"/>
            <w:r>
              <w:rPr>
                <w:rFonts w:cs="Arial"/>
                <w:szCs w:val="19"/>
              </w:rPr>
              <w:t xml:space="preserve"> (</w:t>
            </w:r>
            <w:proofErr w:type="spellStart"/>
            <w:r>
              <w:rPr>
                <w:rFonts w:cs="Arial"/>
                <w:i/>
                <w:iCs/>
                <w:szCs w:val="19"/>
              </w:rPr>
              <w:t>Opsumit</w:t>
            </w:r>
            <w:proofErr w:type="spellEnd"/>
            <w:r>
              <w:rPr>
                <w:rFonts w:cs="Arial"/>
                <w:szCs w:val="19"/>
              </w:rPr>
              <w:t>)</w:t>
            </w:r>
          </w:p>
          <w:p w14:paraId="435D082F" w14:textId="41A8EF15" w:rsidR="00D11143" w:rsidRPr="00723718" w:rsidRDefault="00D11143" w:rsidP="00D11143">
            <w:pPr>
              <w:rPr>
                <w:rFonts w:cs="Arial"/>
                <w:szCs w:val="19"/>
              </w:rPr>
            </w:pPr>
            <w:r w:rsidRPr="00E524A2">
              <w:rPr>
                <w:rFonts w:cs="Arial"/>
                <w:sz w:val="16"/>
                <w:szCs w:val="16"/>
              </w:rPr>
              <w:t>10mg tablet</w:t>
            </w:r>
          </w:p>
        </w:tc>
        <w:tc>
          <w:tcPr>
            <w:tcW w:w="3439" w:type="pct"/>
            <w:shd w:val="clear" w:color="auto" w:fill="auto"/>
            <w:tcMar>
              <w:top w:w="57" w:type="dxa"/>
              <w:left w:w="170" w:type="dxa"/>
              <w:bottom w:w="57" w:type="dxa"/>
              <w:right w:w="170" w:type="dxa"/>
            </w:tcMar>
          </w:tcPr>
          <w:p w14:paraId="630FD3BB" w14:textId="19765156" w:rsidR="00D11143" w:rsidRPr="001D7849" w:rsidRDefault="00D11143" w:rsidP="00ED65E4">
            <w:pPr>
              <w:tabs>
                <w:tab w:val="center" w:pos="3152"/>
              </w:tabs>
              <w:jc w:val="both"/>
              <w:rPr>
                <w:rFonts w:cs="Arial"/>
                <w:szCs w:val="19"/>
              </w:rPr>
            </w:pPr>
            <w:r>
              <w:rPr>
                <w:rFonts w:cs="Arial"/>
                <w:szCs w:val="19"/>
                <w:lang w:val="en-US"/>
              </w:rPr>
              <w:t>Use as monotherapy or in combination for the l</w:t>
            </w:r>
            <w:r w:rsidRPr="00E524A2">
              <w:rPr>
                <w:rFonts w:cs="Arial"/>
                <w:szCs w:val="19"/>
                <w:lang w:val="en-US"/>
              </w:rPr>
              <w:t xml:space="preserve">ong-term treatment of pulmonary arterial hypertension in paediatric patients aged </w:t>
            </w:r>
            <w:r>
              <w:rPr>
                <w:rFonts w:cs="Arial"/>
                <w:szCs w:val="19"/>
                <w:lang w:val="en-US"/>
              </w:rPr>
              <w:t>&lt;</w:t>
            </w:r>
            <w:r w:rsidRPr="00E524A2">
              <w:rPr>
                <w:rFonts w:cs="Arial"/>
                <w:szCs w:val="19"/>
                <w:lang w:val="en-US"/>
              </w:rPr>
              <w:t>18 years and bodyweight ≥40kg with WHO Functional Class II to III</w:t>
            </w:r>
            <w:r>
              <w:rPr>
                <w:rFonts w:cs="Arial"/>
                <w:szCs w:val="19"/>
                <w:lang w:val="en-US"/>
              </w:rPr>
              <w:t xml:space="preserve"> </w:t>
            </w:r>
            <w:r w:rsidRPr="00E524A2">
              <w:rPr>
                <w:rFonts w:cs="Arial"/>
                <w:sz w:val="16"/>
                <w:szCs w:val="16"/>
                <w:lang w:val="en-US"/>
              </w:rPr>
              <w:t>[new indication]</w:t>
            </w:r>
          </w:p>
        </w:tc>
      </w:tr>
      <w:tr w:rsidR="00D11143" w:rsidRPr="00131D4C" w14:paraId="32A39CF5" w14:textId="77777777" w:rsidTr="00E524A2">
        <w:tc>
          <w:tcPr>
            <w:tcW w:w="1561" w:type="pct"/>
            <w:shd w:val="clear" w:color="auto" w:fill="auto"/>
            <w:tcMar>
              <w:top w:w="57" w:type="dxa"/>
              <w:left w:w="170" w:type="dxa"/>
              <w:bottom w:w="57" w:type="dxa"/>
              <w:right w:w="170" w:type="dxa"/>
            </w:tcMar>
          </w:tcPr>
          <w:p w14:paraId="5B0C3323" w14:textId="77777777" w:rsidR="00D11143" w:rsidRDefault="00D11143" w:rsidP="00D11143">
            <w:pPr>
              <w:rPr>
                <w:rFonts w:cs="Arial"/>
                <w:szCs w:val="19"/>
              </w:rPr>
            </w:pPr>
            <w:r>
              <w:rPr>
                <w:rFonts w:cs="Arial"/>
                <w:szCs w:val="19"/>
              </w:rPr>
              <w:t>Olaparib (</w:t>
            </w:r>
            <w:r>
              <w:rPr>
                <w:rFonts w:cs="Arial"/>
                <w:i/>
                <w:iCs/>
                <w:szCs w:val="19"/>
              </w:rPr>
              <w:t>Lynparza</w:t>
            </w:r>
            <w:r>
              <w:rPr>
                <w:rFonts w:cs="Arial"/>
                <w:szCs w:val="19"/>
              </w:rPr>
              <w:t>)</w:t>
            </w:r>
          </w:p>
          <w:p w14:paraId="34D455BB" w14:textId="2461E4E1" w:rsidR="00D11143" w:rsidRDefault="00D11143" w:rsidP="00D11143">
            <w:pPr>
              <w:rPr>
                <w:rFonts w:cs="Arial"/>
                <w:szCs w:val="19"/>
              </w:rPr>
            </w:pPr>
            <w:r w:rsidRPr="00575234">
              <w:rPr>
                <w:rFonts w:cs="Arial"/>
                <w:sz w:val="16"/>
                <w:szCs w:val="16"/>
              </w:rPr>
              <w:t>100mg and 150mg tablets</w:t>
            </w:r>
          </w:p>
        </w:tc>
        <w:tc>
          <w:tcPr>
            <w:tcW w:w="3439" w:type="pct"/>
            <w:shd w:val="clear" w:color="auto" w:fill="auto"/>
            <w:tcMar>
              <w:top w:w="57" w:type="dxa"/>
              <w:left w:w="170" w:type="dxa"/>
              <w:bottom w:w="57" w:type="dxa"/>
              <w:right w:w="170" w:type="dxa"/>
            </w:tcMar>
          </w:tcPr>
          <w:p w14:paraId="50E9C126" w14:textId="7D114678" w:rsidR="00D11143" w:rsidRDefault="00D11143" w:rsidP="00D11143">
            <w:pPr>
              <w:tabs>
                <w:tab w:val="center" w:pos="3152"/>
              </w:tabs>
              <w:rPr>
                <w:rFonts w:cs="Arial"/>
                <w:szCs w:val="19"/>
                <w:lang w:val="en-US"/>
              </w:rPr>
            </w:pPr>
            <w:r w:rsidRPr="0073112B">
              <w:rPr>
                <w:rFonts w:cs="Arial"/>
                <w:szCs w:val="19"/>
                <w:lang w:val="en-US"/>
              </w:rPr>
              <w:t>Use in combination with durvalumab for the maintenance treatment of adults with primary advanced or recurrent endometrial cancer that is mismatch repair proficient whose disease has not progressed on first-line treatment with durvalumab in combination with carboplatin and paclitaxel</w:t>
            </w:r>
            <w:r>
              <w:rPr>
                <w:rFonts w:cs="Arial"/>
                <w:szCs w:val="19"/>
                <w:lang w:val="en-US"/>
              </w:rPr>
              <w:t xml:space="preserve"> </w:t>
            </w:r>
            <w:r w:rsidRPr="0073112B">
              <w:rPr>
                <w:rFonts w:cs="Arial"/>
                <w:sz w:val="16"/>
                <w:szCs w:val="16"/>
                <w:lang w:val="en-US"/>
              </w:rPr>
              <w:t>[new indication]</w:t>
            </w:r>
          </w:p>
        </w:tc>
      </w:tr>
      <w:tr w:rsidR="00D11143" w:rsidRPr="00131D4C" w14:paraId="39194E64" w14:textId="77777777" w:rsidTr="00E524A2">
        <w:tc>
          <w:tcPr>
            <w:tcW w:w="1561" w:type="pct"/>
            <w:shd w:val="clear" w:color="auto" w:fill="auto"/>
            <w:tcMar>
              <w:top w:w="57" w:type="dxa"/>
              <w:left w:w="170" w:type="dxa"/>
              <w:bottom w:w="57" w:type="dxa"/>
              <w:right w:w="170" w:type="dxa"/>
            </w:tcMar>
          </w:tcPr>
          <w:p w14:paraId="1023D596" w14:textId="77777777" w:rsidR="00D11143" w:rsidRDefault="00D11143" w:rsidP="00D11143">
            <w:pPr>
              <w:rPr>
                <w:rFonts w:cs="Arial"/>
                <w:szCs w:val="19"/>
              </w:rPr>
            </w:pPr>
            <w:r>
              <w:rPr>
                <w:rFonts w:cs="Arial"/>
                <w:szCs w:val="19"/>
              </w:rPr>
              <w:t>Pembrolizumab (</w:t>
            </w:r>
            <w:r>
              <w:rPr>
                <w:rFonts w:cs="Arial"/>
                <w:i/>
                <w:iCs/>
                <w:szCs w:val="19"/>
              </w:rPr>
              <w:t>Keytruda</w:t>
            </w:r>
            <w:r>
              <w:rPr>
                <w:rFonts w:cs="Arial"/>
                <w:szCs w:val="19"/>
              </w:rPr>
              <w:t>)</w:t>
            </w:r>
          </w:p>
          <w:p w14:paraId="6F22D6A6" w14:textId="7045DD64" w:rsidR="00D11143" w:rsidRPr="00E07B89" w:rsidRDefault="00D11143" w:rsidP="00D11143">
            <w:pPr>
              <w:rPr>
                <w:rFonts w:cs="Arial"/>
                <w:szCs w:val="19"/>
              </w:rPr>
            </w:pPr>
            <w:r w:rsidRPr="00FD070C">
              <w:rPr>
                <w:rFonts w:cs="Arial"/>
                <w:sz w:val="16"/>
                <w:szCs w:val="16"/>
              </w:rPr>
              <w:t>100mg in 4mL vial</w:t>
            </w:r>
          </w:p>
        </w:tc>
        <w:tc>
          <w:tcPr>
            <w:tcW w:w="3439" w:type="pct"/>
            <w:shd w:val="clear" w:color="auto" w:fill="auto"/>
            <w:tcMar>
              <w:top w:w="57" w:type="dxa"/>
              <w:left w:w="170" w:type="dxa"/>
              <w:bottom w:w="57" w:type="dxa"/>
              <w:right w:w="170" w:type="dxa"/>
            </w:tcMar>
          </w:tcPr>
          <w:p w14:paraId="26918EA0" w14:textId="6D137DA2" w:rsidR="00D11143" w:rsidRPr="00A075A3" w:rsidRDefault="00D11143" w:rsidP="00D11143">
            <w:pPr>
              <w:tabs>
                <w:tab w:val="num" w:pos="720"/>
                <w:tab w:val="center" w:pos="3152"/>
              </w:tabs>
              <w:rPr>
                <w:rFonts w:cs="Arial"/>
                <w:szCs w:val="19"/>
                <w:lang w:val="en-US"/>
              </w:rPr>
            </w:pPr>
            <w:r w:rsidRPr="00FB140C">
              <w:rPr>
                <w:rFonts w:cs="Arial"/>
                <w:szCs w:val="19"/>
                <w:lang w:val="en-US"/>
              </w:rPr>
              <w:t xml:space="preserve">Use in combination with </w:t>
            </w:r>
            <w:proofErr w:type="spellStart"/>
            <w:r w:rsidRPr="00FB140C">
              <w:rPr>
                <w:rFonts w:cs="Arial"/>
                <w:szCs w:val="19"/>
                <w:lang w:val="en-US"/>
              </w:rPr>
              <w:t>enfortumab</w:t>
            </w:r>
            <w:proofErr w:type="spellEnd"/>
            <w:r w:rsidRPr="00FB140C">
              <w:rPr>
                <w:rFonts w:cs="Arial"/>
                <w:szCs w:val="19"/>
                <w:lang w:val="en-US"/>
              </w:rPr>
              <w:t xml:space="preserve"> </w:t>
            </w:r>
            <w:proofErr w:type="spellStart"/>
            <w:r w:rsidRPr="00FB140C">
              <w:rPr>
                <w:rFonts w:cs="Arial"/>
                <w:szCs w:val="19"/>
                <w:lang w:val="en-US"/>
              </w:rPr>
              <w:t>vedotin</w:t>
            </w:r>
            <w:proofErr w:type="spellEnd"/>
            <w:r w:rsidRPr="00FB140C">
              <w:rPr>
                <w:rFonts w:cs="Arial"/>
                <w:szCs w:val="19"/>
                <w:lang w:val="en-US"/>
              </w:rPr>
              <w:t xml:space="preserve"> fo</w:t>
            </w:r>
            <w:r w:rsidR="000D03B6">
              <w:rPr>
                <w:rFonts w:cs="Arial"/>
                <w:szCs w:val="19"/>
                <w:lang w:val="en-US"/>
              </w:rPr>
              <w:t xml:space="preserve">r </w:t>
            </w:r>
            <w:r w:rsidRPr="00FB140C">
              <w:rPr>
                <w:rFonts w:cs="Arial"/>
                <w:szCs w:val="19"/>
                <w:lang w:val="en-US"/>
              </w:rPr>
              <w:t>the first-line treatment of unresectable or metastatic urothelial carcinoma in adults</w:t>
            </w:r>
            <w:r>
              <w:rPr>
                <w:rFonts w:cs="Arial"/>
                <w:szCs w:val="19"/>
                <w:lang w:val="en-US"/>
              </w:rPr>
              <w:t xml:space="preserve"> </w:t>
            </w:r>
            <w:r w:rsidRPr="00FB140C">
              <w:rPr>
                <w:rFonts w:cs="Arial"/>
                <w:sz w:val="16"/>
                <w:szCs w:val="16"/>
                <w:lang w:val="en-US"/>
              </w:rPr>
              <w:t>[new indication]</w:t>
            </w:r>
          </w:p>
        </w:tc>
      </w:tr>
      <w:tr w:rsidR="00D11143" w14:paraId="204A15A4" w14:textId="77777777" w:rsidTr="00E524A2">
        <w:tc>
          <w:tcPr>
            <w:tcW w:w="1561" w:type="pct"/>
            <w:shd w:val="clear" w:color="auto" w:fill="auto"/>
            <w:tcMar>
              <w:top w:w="57" w:type="dxa"/>
              <w:left w:w="170" w:type="dxa"/>
              <w:bottom w:w="57" w:type="dxa"/>
              <w:right w:w="170" w:type="dxa"/>
            </w:tcMar>
          </w:tcPr>
          <w:p w14:paraId="4359C286" w14:textId="640D6FD6" w:rsidR="00D11143" w:rsidRDefault="00D11143" w:rsidP="00D11143">
            <w:pPr>
              <w:rPr>
                <w:rFonts w:cs="Arial"/>
                <w:szCs w:val="19"/>
              </w:rPr>
            </w:pPr>
            <w:r>
              <w:rPr>
                <w:rFonts w:cs="Arial"/>
                <w:szCs w:val="19"/>
              </w:rPr>
              <w:t>P</w:t>
            </w:r>
            <w:r w:rsidRPr="00BA497F">
              <w:rPr>
                <w:rFonts w:cs="Arial"/>
                <w:szCs w:val="19"/>
              </w:rPr>
              <w:t>neumococcal conjugate vaccine</w:t>
            </w:r>
            <w:r>
              <w:rPr>
                <w:rFonts w:cs="Arial"/>
                <w:szCs w:val="19"/>
              </w:rPr>
              <w:t xml:space="preserve"> (</w:t>
            </w:r>
            <w:r w:rsidRPr="00BA497F">
              <w:rPr>
                <w:rFonts w:cs="Arial"/>
                <w:i/>
                <w:iCs/>
                <w:szCs w:val="19"/>
              </w:rPr>
              <w:t>Prevenar 20</w:t>
            </w:r>
            <w:r>
              <w:rPr>
                <w:rFonts w:cs="Arial"/>
                <w:szCs w:val="19"/>
              </w:rPr>
              <w:t>)</w:t>
            </w:r>
          </w:p>
          <w:p w14:paraId="26B51866" w14:textId="738D20FE" w:rsidR="00D11143" w:rsidRDefault="00D11143" w:rsidP="00D11143">
            <w:pPr>
              <w:rPr>
                <w:rFonts w:cs="Arial"/>
                <w:szCs w:val="19"/>
              </w:rPr>
            </w:pPr>
            <w:r w:rsidRPr="00BA497F">
              <w:rPr>
                <w:rFonts w:cs="Arial"/>
                <w:sz w:val="16"/>
                <w:szCs w:val="16"/>
              </w:rPr>
              <w:t>Single</w:t>
            </w:r>
            <w:r>
              <w:rPr>
                <w:rFonts w:cs="Arial"/>
                <w:sz w:val="16"/>
                <w:szCs w:val="16"/>
              </w:rPr>
              <w:t>-</w:t>
            </w:r>
            <w:r w:rsidRPr="00BA497F">
              <w:rPr>
                <w:rFonts w:cs="Arial"/>
                <w:sz w:val="16"/>
                <w:szCs w:val="16"/>
              </w:rPr>
              <w:t>dose prefilled syringe</w:t>
            </w:r>
          </w:p>
        </w:tc>
        <w:tc>
          <w:tcPr>
            <w:tcW w:w="3439" w:type="pct"/>
            <w:shd w:val="clear" w:color="auto" w:fill="auto"/>
            <w:tcMar>
              <w:top w:w="57" w:type="dxa"/>
              <w:left w:w="170" w:type="dxa"/>
              <w:bottom w:w="57" w:type="dxa"/>
              <w:right w:w="170" w:type="dxa"/>
            </w:tcMar>
          </w:tcPr>
          <w:p w14:paraId="6B567E9E" w14:textId="77777777" w:rsidR="00D11143" w:rsidRDefault="00D11143" w:rsidP="00D11143">
            <w:pPr>
              <w:tabs>
                <w:tab w:val="center" w:pos="3152"/>
              </w:tabs>
              <w:rPr>
                <w:rFonts w:cs="Arial"/>
                <w:szCs w:val="19"/>
                <w:lang w:val="en-US"/>
              </w:rPr>
            </w:pPr>
            <w:r w:rsidRPr="0030645D">
              <w:rPr>
                <w:rFonts w:cs="Arial"/>
                <w:szCs w:val="19"/>
                <w:lang w:val="en-US"/>
              </w:rPr>
              <w:t xml:space="preserve">Active </w:t>
            </w:r>
            <w:proofErr w:type="spellStart"/>
            <w:r w:rsidRPr="0030645D">
              <w:rPr>
                <w:rFonts w:cs="Arial"/>
                <w:szCs w:val="19"/>
                <w:lang w:val="en-US"/>
              </w:rPr>
              <w:t>immunisation</w:t>
            </w:r>
            <w:proofErr w:type="spellEnd"/>
            <w:r w:rsidRPr="0030645D">
              <w:rPr>
                <w:rFonts w:cs="Arial"/>
                <w:szCs w:val="19"/>
                <w:lang w:val="en-US"/>
              </w:rPr>
              <w:t xml:space="preserve"> for the prevention of pneumococcal disease caused by </w:t>
            </w:r>
            <w:r w:rsidRPr="0030645D">
              <w:rPr>
                <w:rFonts w:cs="Arial"/>
                <w:i/>
                <w:iCs/>
                <w:szCs w:val="19"/>
                <w:lang w:val="en-US"/>
              </w:rPr>
              <w:t>Streptococcus pneumoniae</w:t>
            </w:r>
            <w:r w:rsidRPr="0030645D">
              <w:rPr>
                <w:rFonts w:cs="Arial"/>
                <w:szCs w:val="19"/>
                <w:lang w:val="en-US"/>
              </w:rPr>
              <w:t xml:space="preserve"> in individuals </w:t>
            </w:r>
            <w:r>
              <w:rPr>
                <w:rFonts w:cs="Arial"/>
                <w:szCs w:val="19"/>
                <w:lang w:val="en-US"/>
              </w:rPr>
              <w:t>aged</w:t>
            </w:r>
            <w:r w:rsidRPr="0030645D">
              <w:rPr>
                <w:rFonts w:cs="Arial"/>
                <w:szCs w:val="19"/>
                <w:lang w:val="en-US"/>
              </w:rPr>
              <w:t xml:space="preserve"> </w:t>
            </w:r>
            <w:r>
              <w:rPr>
                <w:rFonts w:cs="Arial"/>
                <w:szCs w:val="19"/>
                <w:lang w:val="en-US"/>
              </w:rPr>
              <w:t>≥</w:t>
            </w:r>
            <w:r w:rsidRPr="0030645D">
              <w:rPr>
                <w:rFonts w:cs="Arial"/>
                <w:szCs w:val="19"/>
                <w:lang w:val="en-US"/>
              </w:rPr>
              <w:t xml:space="preserve">6 </w:t>
            </w:r>
            <w:proofErr w:type="gramStart"/>
            <w:r w:rsidRPr="0030645D">
              <w:rPr>
                <w:rFonts w:cs="Arial"/>
                <w:szCs w:val="19"/>
                <w:lang w:val="en-US"/>
              </w:rPr>
              <w:t>weeks</w:t>
            </w:r>
            <w:proofErr w:type="gramEnd"/>
            <w:r w:rsidRPr="0030645D">
              <w:rPr>
                <w:rFonts w:cs="Arial"/>
                <w:szCs w:val="19"/>
                <w:lang w:val="en-US"/>
              </w:rPr>
              <w:t xml:space="preserve"> </w:t>
            </w:r>
          </w:p>
          <w:p w14:paraId="0C75DA73" w14:textId="0EA50250" w:rsidR="00D11143" w:rsidRPr="00290D1B" w:rsidRDefault="00D11143" w:rsidP="00D11143">
            <w:pPr>
              <w:tabs>
                <w:tab w:val="center" w:pos="3152"/>
              </w:tabs>
              <w:rPr>
                <w:rFonts w:cs="Arial"/>
                <w:szCs w:val="19"/>
                <w:lang w:val="en-US"/>
              </w:rPr>
            </w:pPr>
            <w:r w:rsidRPr="006A6168">
              <w:rPr>
                <w:rFonts w:cs="Arial"/>
                <w:sz w:val="16"/>
                <w:szCs w:val="16"/>
                <w:lang w:val="en-US"/>
              </w:rPr>
              <w:t>[licence change from use only in adults]</w:t>
            </w:r>
          </w:p>
        </w:tc>
      </w:tr>
      <w:tr w:rsidR="00D11143" w14:paraId="7B56FACE" w14:textId="77777777" w:rsidTr="00E524A2">
        <w:tc>
          <w:tcPr>
            <w:tcW w:w="1561" w:type="pct"/>
            <w:shd w:val="clear" w:color="auto" w:fill="auto"/>
            <w:tcMar>
              <w:top w:w="57" w:type="dxa"/>
              <w:left w:w="170" w:type="dxa"/>
              <w:bottom w:w="57" w:type="dxa"/>
              <w:right w:w="170" w:type="dxa"/>
            </w:tcMar>
          </w:tcPr>
          <w:p w14:paraId="2F1F6A6C" w14:textId="77777777" w:rsidR="00D11143" w:rsidRDefault="00D11143" w:rsidP="00D11143">
            <w:pPr>
              <w:rPr>
                <w:rFonts w:cs="Arial"/>
                <w:szCs w:val="19"/>
              </w:rPr>
            </w:pPr>
            <w:r>
              <w:rPr>
                <w:rFonts w:cs="Arial"/>
                <w:szCs w:val="19"/>
              </w:rPr>
              <w:t>Setmelanotide (</w:t>
            </w:r>
            <w:r>
              <w:rPr>
                <w:rFonts w:cs="Arial"/>
                <w:i/>
                <w:iCs/>
                <w:szCs w:val="19"/>
              </w:rPr>
              <w:t>Imcivree</w:t>
            </w:r>
            <w:r>
              <w:rPr>
                <w:rFonts w:cs="Arial"/>
                <w:szCs w:val="19"/>
              </w:rPr>
              <w:t xml:space="preserve">) </w:t>
            </w:r>
          </w:p>
          <w:p w14:paraId="1AE129FF" w14:textId="0991881D" w:rsidR="00D11143" w:rsidRPr="00CA0AC9" w:rsidRDefault="00D11143" w:rsidP="00D11143">
            <w:pPr>
              <w:rPr>
                <w:rFonts w:cs="Arial"/>
                <w:szCs w:val="19"/>
              </w:rPr>
            </w:pPr>
            <w:r w:rsidRPr="003136F0">
              <w:rPr>
                <w:rFonts w:cs="Arial"/>
                <w:sz w:val="16"/>
                <w:szCs w:val="16"/>
              </w:rPr>
              <w:t>10mg in 1mL vial</w:t>
            </w:r>
          </w:p>
        </w:tc>
        <w:tc>
          <w:tcPr>
            <w:tcW w:w="3439" w:type="pct"/>
            <w:shd w:val="clear" w:color="auto" w:fill="auto"/>
            <w:tcMar>
              <w:top w:w="57" w:type="dxa"/>
              <w:left w:w="170" w:type="dxa"/>
              <w:bottom w:w="57" w:type="dxa"/>
              <w:right w:w="170" w:type="dxa"/>
            </w:tcMar>
          </w:tcPr>
          <w:p w14:paraId="4B14E30B" w14:textId="7C08B93E" w:rsidR="00D11143" w:rsidRPr="00A075A3" w:rsidRDefault="00D11143" w:rsidP="00D11143">
            <w:pPr>
              <w:tabs>
                <w:tab w:val="center" w:pos="3152"/>
              </w:tabs>
              <w:rPr>
                <w:rFonts w:cs="Arial"/>
                <w:bCs/>
                <w:szCs w:val="19"/>
              </w:rPr>
            </w:pPr>
            <w:r w:rsidRPr="00290D1B">
              <w:rPr>
                <w:rFonts w:cs="Arial"/>
                <w:szCs w:val="19"/>
                <w:lang w:val="en-US"/>
              </w:rPr>
              <w:t>Treatment of obesity and the control of hunger associated with genetically confirmed Bardet</w:t>
            </w:r>
            <w:r w:rsidRPr="00290D1B">
              <w:rPr>
                <w:rFonts w:ascii="Cambria Math" w:hAnsi="Cambria Math" w:cs="Cambria Math"/>
                <w:szCs w:val="19"/>
                <w:lang w:val="en-US"/>
              </w:rPr>
              <w:t>‑</w:t>
            </w:r>
            <w:r w:rsidRPr="00290D1B">
              <w:rPr>
                <w:rFonts w:cs="Arial"/>
                <w:szCs w:val="19"/>
                <w:lang w:val="en-US"/>
              </w:rPr>
              <w:t xml:space="preserve">Biedl syndrome, loss-of-function biallelic pro-opiomelanocortin, including PCSK1, deficiency or biallelic leptin receptor deficiency in adults and children </w:t>
            </w:r>
            <w:r>
              <w:rPr>
                <w:rFonts w:cs="Arial"/>
                <w:szCs w:val="19"/>
                <w:lang w:val="en-US"/>
              </w:rPr>
              <w:t>aged ≥</w:t>
            </w:r>
            <w:r w:rsidRPr="00290D1B">
              <w:rPr>
                <w:rFonts w:cs="Arial"/>
                <w:szCs w:val="19"/>
                <w:lang w:val="en-US"/>
              </w:rPr>
              <w:t>2 years</w:t>
            </w:r>
            <w:r w:rsidRPr="00290D1B">
              <w:rPr>
                <w:rFonts w:cs="Arial"/>
                <w:sz w:val="16"/>
                <w:szCs w:val="16"/>
                <w:lang w:val="en-US"/>
              </w:rPr>
              <w:t xml:space="preserve"> [licence change from use only in children aged ≥6 years]</w:t>
            </w:r>
          </w:p>
        </w:tc>
      </w:tr>
      <w:tr w:rsidR="00D11143" w:rsidRPr="00862949" w14:paraId="20B6E474" w14:textId="77777777" w:rsidTr="002772ED">
        <w:tc>
          <w:tcPr>
            <w:tcW w:w="5000" w:type="pct"/>
            <w:gridSpan w:val="2"/>
            <w:shd w:val="clear" w:color="auto" w:fill="auto"/>
            <w:tcMar>
              <w:top w:w="0" w:type="dxa"/>
              <w:bottom w:w="0" w:type="dxa"/>
            </w:tcMar>
          </w:tcPr>
          <w:p w14:paraId="51E386CA" w14:textId="77777777" w:rsidR="00D11143" w:rsidRPr="00862949" w:rsidRDefault="00D11143" w:rsidP="00D11143">
            <w:pPr>
              <w:rPr>
                <w:rFonts w:cs="Arial"/>
                <w:b/>
                <w:noProof/>
                <w:sz w:val="8"/>
                <w:szCs w:val="8"/>
              </w:rPr>
            </w:pPr>
          </w:p>
        </w:tc>
      </w:tr>
      <w:tr w:rsidR="00D11143" w:rsidRPr="00862949" w14:paraId="3EA9FDBC" w14:textId="77777777" w:rsidTr="002772ED">
        <w:tc>
          <w:tcPr>
            <w:tcW w:w="5000" w:type="pct"/>
            <w:gridSpan w:val="2"/>
            <w:shd w:val="clear" w:color="auto" w:fill="DAEEF3"/>
            <w:tcMar>
              <w:top w:w="0" w:type="dxa"/>
              <w:bottom w:w="0" w:type="dxa"/>
            </w:tcMar>
          </w:tcPr>
          <w:p w14:paraId="2366ED4A" w14:textId="77777777" w:rsidR="00D11143" w:rsidRPr="00862949" w:rsidRDefault="00D11143" w:rsidP="00D11143">
            <w:pPr>
              <w:rPr>
                <w:rFonts w:cs="Arial"/>
                <w:b/>
                <w:i/>
                <w:noProof/>
                <w:sz w:val="8"/>
                <w:szCs w:val="8"/>
              </w:rPr>
            </w:pPr>
          </w:p>
        </w:tc>
      </w:tr>
    </w:tbl>
    <w:p w14:paraId="1A77E493" w14:textId="77777777" w:rsidR="00797F59" w:rsidRDefault="00797F59" w:rsidP="00727945">
      <w:pPr>
        <w:rPr>
          <w:rFonts w:ascii="Latha" w:hAnsi="Latha" w:cs="Latha"/>
          <w:sz w:val="8"/>
          <w:szCs w:val="8"/>
        </w:rPr>
      </w:pPr>
    </w:p>
    <w:p w14:paraId="048895A0" w14:textId="77777777" w:rsidR="0022269C" w:rsidRDefault="0022269C" w:rsidP="00727945">
      <w:pPr>
        <w:rPr>
          <w:rFonts w:ascii="Latha" w:hAnsi="Latha" w:cs="Latha"/>
          <w:sz w:val="8"/>
          <w:szCs w:val="8"/>
        </w:rPr>
      </w:pPr>
    </w:p>
    <w:p w14:paraId="14BF003F" w14:textId="77777777" w:rsidR="001A42CE" w:rsidRPr="00727945" w:rsidRDefault="001A42CE" w:rsidP="00727945">
      <w:pPr>
        <w:rPr>
          <w:rFonts w:ascii="Latha" w:hAnsi="Latha" w:cs="Latha"/>
          <w:sz w:val="8"/>
          <w:szCs w:val="8"/>
        </w:rPr>
        <w:sectPr w:rsidR="001A42CE" w:rsidRPr="00727945" w:rsidSect="002772ED">
          <w:headerReference w:type="even" r:id="rId13"/>
          <w:headerReference w:type="default" r:id="rId14"/>
          <w:footerReference w:type="even" r:id="rId15"/>
          <w:footerReference w:type="default" r:id="rId16"/>
          <w:headerReference w:type="first" r:id="rId17"/>
          <w:pgSz w:w="11906" w:h="16838" w:code="9"/>
          <w:pgMar w:top="680" w:right="851" w:bottom="680" w:left="851" w:header="567" w:footer="227" w:gutter="0"/>
          <w:cols w:space="708"/>
          <w:docGrid w:linePitch="360"/>
        </w:sectPr>
      </w:pPr>
    </w:p>
    <w:p w14:paraId="0A9CBCA1" w14:textId="77777777" w:rsidR="00C10FEB" w:rsidRDefault="00C10FEB">
      <w:pPr>
        <w:rPr>
          <w:sz w:val="8"/>
          <w:szCs w:val="16"/>
        </w:rPr>
      </w:pPr>
    </w:p>
    <w:p w14:paraId="7F003C11" w14:textId="77777777" w:rsidR="00BB553D" w:rsidRDefault="00BB553D" w:rsidP="00EB3E6F">
      <w:pPr>
        <w:tabs>
          <w:tab w:val="left" w:pos="2087"/>
        </w:tabs>
      </w:pPr>
    </w:p>
    <w:tbl>
      <w:tblPr>
        <w:tblW w:w="5170" w:type="pct"/>
        <w:tblInd w:w="-176" w:type="dxa"/>
        <w:tblLayout w:type="fixed"/>
        <w:tblLook w:val="01E0" w:firstRow="1" w:lastRow="1" w:firstColumn="1" w:lastColumn="1" w:noHBand="0" w:noVBand="0"/>
      </w:tblPr>
      <w:tblGrid>
        <w:gridCol w:w="3294"/>
        <w:gridCol w:w="7257"/>
      </w:tblGrid>
      <w:tr w:rsidR="00BB553D" w:rsidRPr="00862949" w14:paraId="64CB0128" w14:textId="77777777" w:rsidTr="009F0C3A">
        <w:tc>
          <w:tcPr>
            <w:tcW w:w="5000" w:type="pct"/>
            <w:gridSpan w:val="2"/>
            <w:shd w:val="clear" w:color="auto" w:fill="0070C0"/>
            <w:tcMar>
              <w:top w:w="85" w:type="dxa"/>
              <w:bottom w:w="85" w:type="dxa"/>
            </w:tcMar>
            <w:vAlign w:val="bottom"/>
          </w:tcPr>
          <w:p w14:paraId="470D5036" w14:textId="77777777" w:rsidR="00BB553D" w:rsidRPr="00862949" w:rsidRDefault="00BB553D" w:rsidP="009F0C3A">
            <w:pPr>
              <w:rPr>
                <w:rFonts w:cs="Arial"/>
                <w:color w:val="FFFFFF"/>
                <w:sz w:val="15"/>
                <w:szCs w:val="15"/>
              </w:rPr>
            </w:pPr>
            <w:r>
              <w:rPr>
                <w:rFonts w:cs="Arial"/>
                <w:b/>
                <w:bCs/>
                <w:iCs/>
                <w:color w:val="FFFFFF"/>
                <w:sz w:val="28"/>
                <w:szCs w:val="28"/>
                <w:lang w:val="en-US"/>
              </w:rPr>
              <w:t>New product information</w:t>
            </w:r>
            <w:r w:rsidRPr="00862949">
              <w:rPr>
                <w:rFonts w:cs="Arial"/>
                <w:b/>
                <w:bCs/>
                <w:iCs/>
                <w:color w:val="FFFFFF"/>
                <w:sz w:val="28"/>
                <w:szCs w:val="28"/>
                <w:lang w:val="en-US"/>
              </w:rPr>
              <w:tab/>
            </w:r>
          </w:p>
        </w:tc>
      </w:tr>
      <w:tr w:rsidR="00BB553D" w:rsidRPr="00862949" w14:paraId="7F7D6B2C" w14:textId="77777777" w:rsidTr="009F0C3A">
        <w:tc>
          <w:tcPr>
            <w:tcW w:w="5000" w:type="pct"/>
            <w:gridSpan w:val="2"/>
            <w:shd w:val="clear" w:color="auto" w:fill="DAEEF3"/>
            <w:tcMar>
              <w:top w:w="0" w:type="dxa"/>
              <w:bottom w:w="0" w:type="dxa"/>
            </w:tcMar>
          </w:tcPr>
          <w:p w14:paraId="5AF837B1" w14:textId="77777777" w:rsidR="00BB553D" w:rsidRPr="00862949" w:rsidRDefault="00BB553D" w:rsidP="009F0C3A">
            <w:pPr>
              <w:rPr>
                <w:rFonts w:cs="Arial"/>
                <w:b/>
                <w:bCs/>
                <w:i/>
                <w:iCs/>
                <w:color w:val="000000"/>
                <w:sz w:val="8"/>
                <w:szCs w:val="8"/>
                <w:lang w:val="en-US"/>
              </w:rPr>
            </w:pPr>
          </w:p>
        </w:tc>
      </w:tr>
      <w:tr w:rsidR="00BB553D" w:rsidRPr="00862949" w14:paraId="5E4334BD" w14:textId="77777777" w:rsidTr="009F0C3A">
        <w:tc>
          <w:tcPr>
            <w:tcW w:w="5000" w:type="pct"/>
            <w:gridSpan w:val="2"/>
            <w:shd w:val="clear" w:color="auto" w:fill="00B050"/>
            <w:tcMar>
              <w:top w:w="57" w:type="dxa"/>
              <w:bottom w:w="57" w:type="dxa"/>
            </w:tcMar>
          </w:tcPr>
          <w:p w14:paraId="09856A14" w14:textId="459133AF" w:rsidR="00BB553D" w:rsidRPr="00433D3E" w:rsidRDefault="00BB553D" w:rsidP="009F0C3A">
            <w:pPr>
              <w:rPr>
                <w:rFonts w:cs="Arial"/>
                <w:color w:val="FFFFFF"/>
                <w:sz w:val="20"/>
                <w:szCs w:val="20"/>
              </w:rPr>
            </w:pPr>
            <w:r w:rsidRPr="00433D3E">
              <w:rPr>
                <w:rFonts w:cs="Arial"/>
                <w:b/>
                <w:bCs/>
                <w:i/>
                <w:iCs/>
                <w:color w:val="FFFFFF"/>
                <w:sz w:val="22"/>
                <w:szCs w:val="20"/>
                <w:lang w:val="en-US"/>
              </w:rPr>
              <w:t>Launched in the UK (or licence change for existing products)</w:t>
            </w:r>
            <w:r w:rsidR="00167E9C">
              <w:rPr>
                <w:rFonts w:cs="Arial"/>
                <w:b/>
                <w:bCs/>
                <w:i/>
                <w:iCs/>
                <w:color w:val="FFFFFF"/>
                <w:sz w:val="22"/>
                <w:szCs w:val="20"/>
                <w:lang w:val="en-US"/>
              </w:rPr>
              <w:t xml:space="preserve"> </w:t>
            </w:r>
            <w:r w:rsidR="00167E9C" w:rsidRPr="00167E9C">
              <w:rPr>
                <w:rFonts w:cs="Arial"/>
                <w:b/>
                <w:bCs/>
                <w:color w:val="FFFFFF"/>
                <w:sz w:val="16"/>
                <w:szCs w:val="14"/>
                <w:lang w:val="en-US"/>
              </w:rPr>
              <w:t>(continued)</w:t>
            </w:r>
          </w:p>
        </w:tc>
      </w:tr>
      <w:tr w:rsidR="00BB553D" w14:paraId="662ACFD0" w14:textId="77777777" w:rsidTr="009F0C3A">
        <w:tc>
          <w:tcPr>
            <w:tcW w:w="1561" w:type="pct"/>
            <w:shd w:val="clear" w:color="auto" w:fill="auto"/>
            <w:tcMar>
              <w:top w:w="57" w:type="dxa"/>
              <w:left w:w="170" w:type="dxa"/>
              <w:bottom w:w="57" w:type="dxa"/>
              <w:right w:w="170" w:type="dxa"/>
            </w:tcMar>
          </w:tcPr>
          <w:p w14:paraId="534B2EB2" w14:textId="77777777" w:rsidR="00BB553D" w:rsidRDefault="00BB553D" w:rsidP="009F0C3A">
            <w:pPr>
              <w:rPr>
                <w:rFonts w:cs="Arial"/>
                <w:szCs w:val="19"/>
              </w:rPr>
            </w:pPr>
            <w:r w:rsidRPr="00806719">
              <w:rPr>
                <w:rFonts w:cs="Arial"/>
                <w:szCs w:val="19"/>
              </w:rPr>
              <w:t>Spironolactone (</w:t>
            </w:r>
            <w:proofErr w:type="spellStart"/>
            <w:r w:rsidRPr="00806719">
              <w:rPr>
                <w:rFonts w:cs="Arial"/>
                <w:i/>
                <w:iCs/>
                <w:szCs w:val="19"/>
              </w:rPr>
              <w:t>Urospir</w:t>
            </w:r>
            <w:proofErr w:type="spellEnd"/>
            <w:r w:rsidRPr="00806719">
              <w:rPr>
                <w:rFonts w:cs="Arial"/>
                <w:szCs w:val="19"/>
              </w:rPr>
              <w:t>)</w:t>
            </w:r>
          </w:p>
          <w:p w14:paraId="064B3C0F" w14:textId="77777777" w:rsidR="00BB553D" w:rsidRPr="00A075A3" w:rsidRDefault="00BB553D" w:rsidP="009F0C3A">
            <w:pPr>
              <w:rPr>
                <w:rFonts w:cs="Arial"/>
                <w:szCs w:val="19"/>
              </w:rPr>
            </w:pPr>
            <w:r w:rsidRPr="00806719">
              <w:rPr>
                <w:rFonts w:cs="Arial"/>
                <w:sz w:val="16"/>
                <w:szCs w:val="16"/>
              </w:rPr>
              <w:t>5mg in 1mL and 10mg in 1mL oral solutions</w:t>
            </w:r>
          </w:p>
        </w:tc>
        <w:tc>
          <w:tcPr>
            <w:tcW w:w="3439" w:type="pct"/>
            <w:shd w:val="clear" w:color="auto" w:fill="auto"/>
            <w:tcMar>
              <w:top w:w="57" w:type="dxa"/>
              <w:left w:w="170" w:type="dxa"/>
              <w:bottom w:w="57" w:type="dxa"/>
              <w:right w:w="170" w:type="dxa"/>
            </w:tcMar>
          </w:tcPr>
          <w:p w14:paraId="0F4BB350" w14:textId="77777777" w:rsidR="00BB553D" w:rsidRPr="00A075A3" w:rsidRDefault="00BB553D" w:rsidP="009F0C3A">
            <w:pPr>
              <w:tabs>
                <w:tab w:val="center" w:pos="3152"/>
              </w:tabs>
              <w:rPr>
                <w:rFonts w:cs="Arial"/>
                <w:szCs w:val="19"/>
                <w:lang w:val="en-US"/>
              </w:rPr>
            </w:pPr>
            <w:r w:rsidRPr="00806719">
              <w:rPr>
                <w:rFonts w:cs="Arial"/>
                <w:szCs w:val="19"/>
                <w:lang w:val="en-US"/>
              </w:rPr>
              <w:t>Congestive cardiac failure, hepatic cirrhosis with ascites and oedema, malignant ascites, nephrotic syndrome and diagnosis and treatment of primary aldosteronism</w:t>
            </w:r>
            <w:r>
              <w:rPr>
                <w:rFonts w:cs="Arial"/>
                <w:szCs w:val="19"/>
                <w:lang w:val="en-US"/>
              </w:rPr>
              <w:t xml:space="preserve"> </w:t>
            </w:r>
            <w:r w:rsidRPr="00806719">
              <w:rPr>
                <w:rFonts w:cs="Arial"/>
                <w:sz w:val="16"/>
                <w:szCs w:val="16"/>
                <w:lang w:val="en-US"/>
              </w:rPr>
              <w:t>[new oral solution formulations]</w:t>
            </w:r>
          </w:p>
        </w:tc>
      </w:tr>
      <w:tr w:rsidR="00BB553D" w14:paraId="42DD3FEB" w14:textId="77777777" w:rsidTr="009F0C3A">
        <w:tc>
          <w:tcPr>
            <w:tcW w:w="1561" w:type="pct"/>
            <w:shd w:val="clear" w:color="auto" w:fill="auto"/>
            <w:tcMar>
              <w:top w:w="57" w:type="dxa"/>
              <w:left w:w="170" w:type="dxa"/>
              <w:bottom w:w="57" w:type="dxa"/>
              <w:right w:w="170" w:type="dxa"/>
            </w:tcMar>
          </w:tcPr>
          <w:p w14:paraId="137350E8" w14:textId="77777777" w:rsidR="00BB553D" w:rsidRDefault="00BB553D" w:rsidP="009F0C3A">
            <w:pPr>
              <w:rPr>
                <w:rFonts w:cs="Arial"/>
                <w:szCs w:val="19"/>
              </w:rPr>
            </w:pPr>
            <w:r>
              <w:rPr>
                <w:rFonts w:cs="Arial"/>
                <w:szCs w:val="19"/>
              </w:rPr>
              <w:t>Zanubrutinib (</w:t>
            </w:r>
            <w:proofErr w:type="spellStart"/>
            <w:r>
              <w:rPr>
                <w:rFonts w:cs="Arial"/>
                <w:i/>
                <w:iCs/>
                <w:szCs w:val="19"/>
              </w:rPr>
              <w:t>Brukinsa</w:t>
            </w:r>
            <w:proofErr w:type="spellEnd"/>
            <w:r>
              <w:rPr>
                <w:rFonts w:cs="Arial"/>
                <w:szCs w:val="19"/>
              </w:rPr>
              <w:t>)</w:t>
            </w:r>
          </w:p>
          <w:p w14:paraId="49F38ECD" w14:textId="77777777" w:rsidR="00BB553D" w:rsidRPr="00A63992" w:rsidRDefault="00BB553D" w:rsidP="009F0C3A">
            <w:pPr>
              <w:rPr>
                <w:rFonts w:cs="Arial"/>
                <w:szCs w:val="19"/>
              </w:rPr>
            </w:pPr>
            <w:r w:rsidRPr="00E620CC">
              <w:rPr>
                <w:rFonts w:cs="Arial"/>
                <w:sz w:val="16"/>
                <w:szCs w:val="16"/>
              </w:rPr>
              <w:t>80mg capsule</w:t>
            </w:r>
          </w:p>
        </w:tc>
        <w:tc>
          <w:tcPr>
            <w:tcW w:w="3439" w:type="pct"/>
            <w:shd w:val="clear" w:color="auto" w:fill="auto"/>
            <w:tcMar>
              <w:top w:w="57" w:type="dxa"/>
              <w:left w:w="170" w:type="dxa"/>
              <w:bottom w:w="57" w:type="dxa"/>
              <w:right w:w="170" w:type="dxa"/>
            </w:tcMar>
          </w:tcPr>
          <w:p w14:paraId="1FBA22FE" w14:textId="77777777" w:rsidR="00BB553D" w:rsidRDefault="00BB553D" w:rsidP="009F0C3A">
            <w:pPr>
              <w:tabs>
                <w:tab w:val="center" w:pos="3152"/>
              </w:tabs>
              <w:rPr>
                <w:rFonts w:cs="Arial"/>
                <w:color w:val="000000"/>
                <w:sz w:val="18"/>
                <w:szCs w:val="18"/>
                <w:lang w:val="en-US"/>
              </w:rPr>
            </w:pPr>
            <w:r w:rsidRPr="00C4254F">
              <w:rPr>
                <w:rFonts w:cs="Arial"/>
                <w:color w:val="000000"/>
                <w:szCs w:val="19"/>
                <w:lang w:val="en-US"/>
              </w:rPr>
              <w:t>Monotherapy for the treatment of adults with mantle cell lymphoma who have received at least one prior therapy</w:t>
            </w:r>
            <w:r>
              <w:rPr>
                <w:rFonts w:cs="Arial"/>
                <w:color w:val="000000"/>
                <w:sz w:val="18"/>
                <w:szCs w:val="18"/>
                <w:lang w:val="en-US"/>
              </w:rPr>
              <w:t xml:space="preserve"> </w:t>
            </w:r>
            <w:r w:rsidRPr="00C4254F">
              <w:rPr>
                <w:rFonts w:cs="Arial"/>
                <w:color w:val="000000"/>
                <w:sz w:val="16"/>
                <w:szCs w:val="16"/>
                <w:lang w:val="en-US"/>
              </w:rPr>
              <w:t>[new indication]</w:t>
            </w:r>
          </w:p>
        </w:tc>
      </w:tr>
      <w:tr w:rsidR="00BB553D" w:rsidRPr="00862949" w14:paraId="741446C3" w14:textId="77777777" w:rsidTr="009F0C3A">
        <w:tc>
          <w:tcPr>
            <w:tcW w:w="5000" w:type="pct"/>
            <w:gridSpan w:val="2"/>
            <w:shd w:val="clear" w:color="auto" w:fill="auto"/>
            <w:tcMar>
              <w:top w:w="0" w:type="dxa"/>
              <w:bottom w:w="0" w:type="dxa"/>
            </w:tcMar>
          </w:tcPr>
          <w:p w14:paraId="3CE9E573" w14:textId="77777777" w:rsidR="00BB553D" w:rsidRPr="00862949" w:rsidRDefault="00BB553D" w:rsidP="009F0C3A">
            <w:pPr>
              <w:rPr>
                <w:rFonts w:cs="Arial"/>
                <w:b/>
                <w:noProof/>
                <w:sz w:val="8"/>
                <w:szCs w:val="8"/>
              </w:rPr>
            </w:pPr>
          </w:p>
        </w:tc>
      </w:tr>
      <w:tr w:rsidR="00BB553D" w:rsidRPr="00862949" w14:paraId="145178B6" w14:textId="77777777" w:rsidTr="009F0C3A">
        <w:tc>
          <w:tcPr>
            <w:tcW w:w="5000" w:type="pct"/>
            <w:gridSpan w:val="2"/>
            <w:shd w:val="clear" w:color="auto" w:fill="DAEEF3"/>
            <w:tcMar>
              <w:top w:w="0" w:type="dxa"/>
              <w:bottom w:w="0" w:type="dxa"/>
            </w:tcMar>
          </w:tcPr>
          <w:p w14:paraId="48EBACD0" w14:textId="77777777" w:rsidR="00BB553D" w:rsidRPr="00862949" w:rsidRDefault="00BB553D" w:rsidP="009F0C3A">
            <w:pPr>
              <w:rPr>
                <w:rFonts w:cs="Arial"/>
                <w:b/>
                <w:i/>
                <w:noProof/>
                <w:sz w:val="8"/>
                <w:szCs w:val="8"/>
              </w:rPr>
            </w:pPr>
          </w:p>
        </w:tc>
      </w:tr>
    </w:tbl>
    <w:p w14:paraId="0D4D366E" w14:textId="77777777" w:rsidR="00BB553D" w:rsidRDefault="00BB553D" w:rsidP="00EB3E6F">
      <w:pPr>
        <w:tabs>
          <w:tab w:val="left" w:pos="2087"/>
        </w:tabs>
      </w:pPr>
    </w:p>
    <w:p w14:paraId="096DCDFD" w14:textId="77777777" w:rsidR="00BB553D" w:rsidRDefault="00BB553D" w:rsidP="00EB3E6F">
      <w:pPr>
        <w:tabs>
          <w:tab w:val="left" w:pos="2087"/>
        </w:tabs>
      </w:pPr>
    </w:p>
    <w:p w14:paraId="40DC8017" w14:textId="662DE317" w:rsidR="00A81694" w:rsidRDefault="00EB3E6F" w:rsidP="00EB3E6F">
      <w:pPr>
        <w:tabs>
          <w:tab w:val="left" w:pos="2087"/>
        </w:tabs>
      </w:pPr>
      <w:r>
        <w:tab/>
      </w:r>
    </w:p>
    <w:tbl>
      <w:tblPr>
        <w:tblW w:w="5170" w:type="pct"/>
        <w:tblInd w:w="-176" w:type="dxa"/>
        <w:tblLayout w:type="fixed"/>
        <w:tblLook w:val="01E0" w:firstRow="1" w:lastRow="1" w:firstColumn="1" w:lastColumn="1" w:noHBand="0" w:noVBand="0"/>
      </w:tblPr>
      <w:tblGrid>
        <w:gridCol w:w="2431"/>
        <w:gridCol w:w="13"/>
        <w:gridCol w:w="8107"/>
      </w:tblGrid>
      <w:tr w:rsidR="005A7E09" w:rsidRPr="00862949" w14:paraId="11B7B98C" w14:textId="77777777" w:rsidTr="005A7E09">
        <w:tc>
          <w:tcPr>
            <w:tcW w:w="5000" w:type="pct"/>
            <w:gridSpan w:val="3"/>
            <w:shd w:val="clear" w:color="auto" w:fill="0070C0"/>
            <w:tcMar>
              <w:top w:w="85" w:type="dxa"/>
              <w:bottom w:w="85" w:type="dxa"/>
            </w:tcMar>
            <w:vAlign w:val="bottom"/>
          </w:tcPr>
          <w:p w14:paraId="662AC440" w14:textId="77777777" w:rsidR="005A7E09" w:rsidRPr="00862949" w:rsidRDefault="005A7E09" w:rsidP="005A7E09">
            <w:pPr>
              <w:rPr>
                <w:rFonts w:cs="Arial"/>
                <w:color w:val="FFFFFF"/>
                <w:sz w:val="15"/>
                <w:szCs w:val="15"/>
              </w:rPr>
            </w:pPr>
            <w:r w:rsidRPr="00862949">
              <w:rPr>
                <w:rFonts w:cs="Arial"/>
                <w:b/>
                <w:bCs/>
                <w:iCs/>
                <w:color w:val="FFFFFF"/>
                <w:sz w:val="28"/>
                <w:szCs w:val="28"/>
                <w:lang w:val="en-US"/>
              </w:rPr>
              <w:t xml:space="preserve">Regulatory changes in the </w:t>
            </w:r>
            <w:r w:rsidR="00AA1F49">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5A7E09" w:rsidRPr="00862949" w14:paraId="0C271316" w14:textId="77777777" w:rsidTr="005A7E09">
        <w:tc>
          <w:tcPr>
            <w:tcW w:w="5000" w:type="pct"/>
            <w:gridSpan w:val="3"/>
            <w:shd w:val="clear" w:color="auto" w:fill="DAEEF3"/>
            <w:tcMar>
              <w:top w:w="0" w:type="dxa"/>
              <w:bottom w:w="0" w:type="dxa"/>
            </w:tcMar>
          </w:tcPr>
          <w:p w14:paraId="5055F1B8" w14:textId="77777777" w:rsidR="005A7E09" w:rsidRPr="00862949" w:rsidRDefault="005A7E09" w:rsidP="005A7E09">
            <w:pPr>
              <w:rPr>
                <w:rFonts w:cs="Arial"/>
                <w:b/>
                <w:bCs/>
                <w:i/>
                <w:iCs/>
                <w:color w:val="000000"/>
                <w:sz w:val="8"/>
                <w:szCs w:val="8"/>
                <w:lang w:val="en-US"/>
              </w:rPr>
            </w:pPr>
          </w:p>
        </w:tc>
      </w:tr>
      <w:tr w:rsidR="005A7E09" w:rsidRPr="00862949" w14:paraId="62940336" w14:textId="77777777" w:rsidTr="005A7E09">
        <w:tc>
          <w:tcPr>
            <w:tcW w:w="5000" w:type="pct"/>
            <w:gridSpan w:val="3"/>
            <w:shd w:val="clear" w:color="auto" w:fill="00B050"/>
            <w:tcMar>
              <w:top w:w="57" w:type="dxa"/>
              <w:bottom w:w="57" w:type="dxa"/>
            </w:tcMar>
          </w:tcPr>
          <w:p w14:paraId="5213F467" w14:textId="77777777" w:rsidR="005A7E09" w:rsidRPr="00433D3E" w:rsidRDefault="005A7E09" w:rsidP="00EB3E6F">
            <w:pPr>
              <w:rPr>
                <w:rFonts w:cs="Arial"/>
                <w:color w:val="FFFFFF"/>
                <w:sz w:val="20"/>
                <w:szCs w:val="20"/>
              </w:rPr>
            </w:pPr>
            <w:r w:rsidRPr="00433D3E">
              <w:rPr>
                <w:rFonts w:cs="Arial"/>
                <w:b/>
                <w:bCs/>
                <w:i/>
                <w:iCs/>
                <w:color w:val="FFFFFF"/>
                <w:sz w:val="22"/>
                <w:szCs w:val="20"/>
                <w:lang w:val="en-US"/>
              </w:rPr>
              <w:t xml:space="preserve">Approved in the </w:t>
            </w:r>
            <w:r w:rsidR="0048777D">
              <w:rPr>
                <w:rFonts w:cs="Arial"/>
                <w:b/>
                <w:bCs/>
                <w:i/>
                <w:iCs/>
                <w:color w:val="FFFFFF"/>
                <w:sz w:val="22"/>
                <w:szCs w:val="20"/>
                <w:lang w:val="en-US"/>
              </w:rPr>
              <w:t>UK</w:t>
            </w:r>
          </w:p>
        </w:tc>
      </w:tr>
      <w:tr w:rsidR="00247547" w14:paraId="402A394D" w14:textId="77777777" w:rsidTr="00690B8F">
        <w:tc>
          <w:tcPr>
            <w:tcW w:w="1158" w:type="pct"/>
            <w:gridSpan w:val="2"/>
            <w:shd w:val="clear" w:color="auto" w:fill="auto"/>
            <w:tcMar>
              <w:top w:w="57" w:type="dxa"/>
              <w:bottom w:w="57" w:type="dxa"/>
            </w:tcMar>
          </w:tcPr>
          <w:p w14:paraId="35492F3A" w14:textId="77777777" w:rsidR="00247547" w:rsidRDefault="0053131B" w:rsidP="007D01FD">
            <w:pPr>
              <w:rPr>
                <w:rFonts w:cs="Arial"/>
                <w:szCs w:val="19"/>
              </w:rPr>
            </w:pPr>
            <w:r w:rsidRPr="0053131B">
              <w:rPr>
                <w:rFonts w:cs="Arial"/>
                <w:szCs w:val="19"/>
              </w:rPr>
              <w:t>Bimekizumab</w:t>
            </w:r>
            <w:r>
              <w:rPr>
                <w:rFonts w:cs="Arial"/>
                <w:szCs w:val="19"/>
              </w:rPr>
              <w:t xml:space="preserve"> (</w:t>
            </w:r>
            <w:r w:rsidR="00FB7687" w:rsidRPr="00FB7687">
              <w:rPr>
                <w:rFonts w:cs="Arial"/>
                <w:i/>
                <w:iCs/>
                <w:szCs w:val="19"/>
              </w:rPr>
              <w:t>Bimzelx</w:t>
            </w:r>
            <w:r w:rsidR="00FB7687">
              <w:rPr>
                <w:rFonts w:cs="Arial"/>
                <w:szCs w:val="19"/>
              </w:rPr>
              <w:t>)</w:t>
            </w:r>
          </w:p>
          <w:p w14:paraId="634C08C1" w14:textId="06125512" w:rsidR="008D478B" w:rsidRPr="00247547" w:rsidRDefault="008D478B" w:rsidP="007D01FD">
            <w:pPr>
              <w:rPr>
                <w:rFonts w:cs="Arial"/>
                <w:szCs w:val="19"/>
              </w:rPr>
            </w:pPr>
            <w:r w:rsidRPr="00697DB5">
              <w:rPr>
                <w:rFonts w:cs="Arial"/>
                <w:sz w:val="16"/>
                <w:szCs w:val="16"/>
              </w:rPr>
              <w:t>320mg in 2mL prefilled pen and syringe</w:t>
            </w:r>
          </w:p>
        </w:tc>
        <w:tc>
          <w:tcPr>
            <w:tcW w:w="3842" w:type="pct"/>
            <w:shd w:val="clear" w:color="auto" w:fill="auto"/>
            <w:tcMar>
              <w:top w:w="57" w:type="dxa"/>
              <w:bottom w:w="57" w:type="dxa"/>
            </w:tcMar>
          </w:tcPr>
          <w:p w14:paraId="76F8C1A8" w14:textId="54CAB1F8" w:rsidR="00247547" w:rsidRPr="002B10C1" w:rsidRDefault="0083567F" w:rsidP="007D01FD">
            <w:pPr>
              <w:tabs>
                <w:tab w:val="center" w:pos="3152"/>
              </w:tabs>
              <w:rPr>
                <w:rFonts w:cs="Arial"/>
                <w:szCs w:val="19"/>
                <w:lang w:val="en-US"/>
              </w:rPr>
            </w:pPr>
            <w:r w:rsidRPr="0083567F">
              <w:rPr>
                <w:rFonts w:cs="Arial"/>
                <w:szCs w:val="19"/>
                <w:lang w:val="en-US"/>
              </w:rPr>
              <w:t xml:space="preserve">Treatment of moderate to severe plaque psoriasis in adults who are candidates for systemic therapy, use alone or in combination with methotrexate for the treatment of active psoriatic arthritis in adults who have had an inadequate response or who have been intolerant to one or more disease-modifying antirheumatic drugs, for the treatment of adults with active non-radiographic axial </w:t>
            </w:r>
            <w:proofErr w:type="spellStart"/>
            <w:r w:rsidRPr="0083567F">
              <w:rPr>
                <w:rFonts w:cs="Arial"/>
                <w:szCs w:val="19"/>
                <w:lang w:val="en-US"/>
              </w:rPr>
              <w:t>spondyloarthritis</w:t>
            </w:r>
            <w:proofErr w:type="spellEnd"/>
            <w:r w:rsidRPr="0083567F">
              <w:rPr>
                <w:rFonts w:cs="Arial"/>
                <w:szCs w:val="19"/>
                <w:lang w:val="en-US"/>
              </w:rPr>
              <w:t xml:space="preserve"> with objective signs of inflammation as indicated by elevated C reactive protein and/or magnetic resonance imaging who have responded inadequately or are intolerant to non-steroidal anti-inflammatory drugs, for the treatment of adults with active ankylosing spondylitis who have responded inadequately or are intolerant to conventional therapy, and for the treatment of active moderate to severe hidradenitis suppurativa (</w:t>
            </w:r>
            <w:r>
              <w:rPr>
                <w:rFonts w:cs="Arial"/>
                <w:szCs w:val="19"/>
                <w:lang w:val="en-US"/>
              </w:rPr>
              <w:t xml:space="preserve">HS, </w:t>
            </w:r>
            <w:r w:rsidRPr="0083567F">
              <w:rPr>
                <w:rFonts w:cs="Arial"/>
                <w:szCs w:val="19"/>
                <w:lang w:val="en-US"/>
              </w:rPr>
              <w:t xml:space="preserve">acne </w:t>
            </w:r>
            <w:proofErr w:type="spellStart"/>
            <w:r w:rsidRPr="0083567F">
              <w:rPr>
                <w:rFonts w:cs="Arial"/>
                <w:szCs w:val="19"/>
                <w:lang w:val="en-US"/>
              </w:rPr>
              <w:t>inversa</w:t>
            </w:r>
            <w:proofErr w:type="spellEnd"/>
            <w:r w:rsidRPr="0083567F">
              <w:rPr>
                <w:rFonts w:cs="Arial"/>
                <w:szCs w:val="19"/>
                <w:lang w:val="en-US"/>
              </w:rPr>
              <w:t>) in adults with an inadequate response to conventional systemic HS therapy</w:t>
            </w:r>
            <w:r>
              <w:rPr>
                <w:rFonts w:cs="Arial"/>
                <w:szCs w:val="19"/>
                <w:lang w:val="en-US"/>
              </w:rPr>
              <w:t xml:space="preserve"> </w:t>
            </w:r>
            <w:r w:rsidRPr="00441419">
              <w:rPr>
                <w:rFonts w:cs="Arial"/>
                <w:sz w:val="16"/>
                <w:szCs w:val="16"/>
                <w:lang w:val="en-US"/>
              </w:rPr>
              <w:t xml:space="preserve">[new </w:t>
            </w:r>
            <w:r w:rsidR="00441419" w:rsidRPr="00441419">
              <w:rPr>
                <w:rFonts w:cs="Arial"/>
                <w:sz w:val="16"/>
                <w:szCs w:val="16"/>
                <w:lang w:val="en-US"/>
              </w:rPr>
              <w:t xml:space="preserve">higher </w:t>
            </w:r>
            <w:r w:rsidR="00697DB5">
              <w:rPr>
                <w:rFonts w:cs="Arial"/>
                <w:sz w:val="16"/>
                <w:szCs w:val="16"/>
                <w:lang w:val="en-US"/>
              </w:rPr>
              <w:t>dose</w:t>
            </w:r>
            <w:r w:rsidR="00441419" w:rsidRPr="00441419">
              <w:rPr>
                <w:rFonts w:cs="Arial"/>
                <w:sz w:val="16"/>
                <w:szCs w:val="16"/>
                <w:lang w:val="en-US"/>
              </w:rPr>
              <w:t xml:space="preserve"> formulation]</w:t>
            </w:r>
          </w:p>
        </w:tc>
      </w:tr>
      <w:tr w:rsidR="000F4AF2" w14:paraId="255B2AD7" w14:textId="77777777" w:rsidTr="00690B8F">
        <w:tc>
          <w:tcPr>
            <w:tcW w:w="1158" w:type="pct"/>
            <w:gridSpan w:val="2"/>
            <w:shd w:val="clear" w:color="auto" w:fill="auto"/>
            <w:tcMar>
              <w:top w:w="57" w:type="dxa"/>
              <w:bottom w:w="57" w:type="dxa"/>
            </w:tcMar>
          </w:tcPr>
          <w:p w14:paraId="4C547B46" w14:textId="77777777" w:rsidR="000F4AF2" w:rsidRDefault="000F4AF2" w:rsidP="000F4AF2">
            <w:pPr>
              <w:rPr>
                <w:rFonts w:cs="Arial"/>
                <w:szCs w:val="19"/>
              </w:rPr>
            </w:pPr>
            <w:proofErr w:type="spellStart"/>
            <w:r w:rsidRPr="00C24C55">
              <w:rPr>
                <w:rFonts w:cs="Arial"/>
                <w:szCs w:val="19"/>
              </w:rPr>
              <w:t>Delgocitinib</w:t>
            </w:r>
            <w:proofErr w:type="spellEnd"/>
            <w:r>
              <w:rPr>
                <w:rFonts w:cs="Arial"/>
                <w:szCs w:val="19"/>
              </w:rPr>
              <w:t xml:space="preserve"> (</w:t>
            </w:r>
            <w:proofErr w:type="spellStart"/>
            <w:r>
              <w:rPr>
                <w:rFonts w:cs="Arial"/>
                <w:i/>
                <w:iCs/>
                <w:szCs w:val="19"/>
              </w:rPr>
              <w:t>Anzupgo</w:t>
            </w:r>
            <w:proofErr w:type="spellEnd"/>
            <w:r>
              <w:rPr>
                <w:rFonts w:cs="Arial"/>
                <w:szCs w:val="19"/>
              </w:rPr>
              <w:t>)</w:t>
            </w:r>
          </w:p>
          <w:p w14:paraId="2EE50EC6" w14:textId="4CCA08EC" w:rsidR="000B7C28" w:rsidRPr="002B10C1" w:rsidRDefault="000B7C28" w:rsidP="000F4AF2">
            <w:pPr>
              <w:rPr>
                <w:rFonts w:cs="Arial"/>
                <w:szCs w:val="19"/>
              </w:rPr>
            </w:pPr>
            <w:r w:rsidRPr="000B7C28">
              <w:rPr>
                <w:rFonts w:cs="Arial"/>
                <w:sz w:val="16"/>
                <w:szCs w:val="16"/>
              </w:rPr>
              <w:t>20mg</w:t>
            </w:r>
            <w:r>
              <w:rPr>
                <w:rFonts w:cs="Arial"/>
                <w:sz w:val="16"/>
                <w:szCs w:val="16"/>
              </w:rPr>
              <w:t xml:space="preserve"> in 1</w:t>
            </w:r>
            <w:r w:rsidRPr="000B7C28">
              <w:rPr>
                <w:rFonts w:cs="Arial"/>
                <w:sz w:val="16"/>
                <w:szCs w:val="16"/>
              </w:rPr>
              <w:t>g cream</w:t>
            </w:r>
          </w:p>
        </w:tc>
        <w:tc>
          <w:tcPr>
            <w:tcW w:w="3842" w:type="pct"/>
            <w:shd w:val="clear" w:color="auto" w:fill="auto"/>
            <w:tcMar>
              <w:top w:w="57" w:type="dxa"/>
              <w:bottom w:w="57" w:type="dxa"/>
            </w:tcMar>
          </w:tcPr>
          <w:p w14:paraId="24748691" w14:textId="218832DC" w:rsidR="000F4AF2" w:rsidRDefault="000F4AF2" w:rsidP="000F4AF2">
            <w:pPr>
              <w:tabs>
                <w:tab w:val="center" w:pos="3152"/>
              </w:tabs>
              <w:rPr>
                <w:rFonts w:cs="Arial"/>
                <w:sz w:val="18"/>
                <w:szCs w:val="18"/>
                <w:lang w:val="en-US"/>
              </w:rPr>
            </w:pPr>
            <w:r w:rsidRPr="00C24C55">
              <w:rPr>
                <w:rFonts w:cs="Arial"/>
                <w:szCs w:val="19"/>
                <w:lang w:val="en-US"/>
              </w:rPr>
              <w:t>Treatment of moderate to severe chronic hand eczema in adults for whom topical corticosteroids are inadequate or inappropriate</w:t>
            </w:r>
          </w:p>
        </w:tc>
      </w:tr>
      <w:tr w:rsidR="00F55EF3" w14:paraId="4D85A81B" w14:textId="77777777" w:rsidTr="00690B8F">
        <w:tc>
          <w:tcPr>
            <w:tcW w:w="1158" w:type="pct"/>
            <w:gridSpan w:val="2"/>
            <w:shd w:val="clear" w:color="auto" w:fill="auto"/>
            <w:tcMar>
              <w:top w:w="57" w:type="dxa"/>
              <w:bottom w:w="57" w:type="dxa"/>
            </w:tcMar>
          </w:tcPr>
          <w:p w14:paraId="3ED666E7" w14:textId="77777777" w:rsidR="00F55EF3" w:rsidRDefault="00F55EF3" w:rsidP="00F55EF3">
            <w:pPr>
              <w:rPr>
                <w:rFonts w:cs="Arial"/>
                <w:szCs w:val="19"/>
              </w:rPr>
            </w:pPr>
            <w:r w:rsidRPr="0030117F">
              <w:rPr>
                <w:rFonts w:cs="Arial"/>
                <w:szCs w:val="19"/>
              </w:rPr>
              <w:t>Factor VIII inhibitor bypassing fraction</w:t>
            </w:r>
            <w:r>
              <w:rPr>
                <w:rFonts w:cs="Arial"/>
                <w:szCs w:val="19"/>
              </w:rPr>
              <w:t xml:space="preserve"> (</w:t>
            </w:r>
            <w:proofErr w:type="spellStart"/>
            <w:r>
              <w:rPr>
                <w:rFonts w:cs="Arial"/>
                <w:i/>
                <w:iCs/>
                <w:szCs w:val="19"/>
              </w:rPr>
              <w:t>Feiba</w:t>
            </w:r>
            <w:proofErr w:type="spellEnd"/>
            <w:r>
              <w:rPr>
                <w:rFonts w:cs="Arial"/>
                <w:szCs w:val="19"/>
              </w:rPr>
              <w:t>)</w:t>
            </w:r>
          </w:p>
          <w:p w14:paraId="35873C7E" w14:textId="42367918" w:rsidR="00F55EF3" w:rsidRPr="002F73AD" w:rsidRDefault="00F55EF3" w:rsidP="00F55EF3">
            <w:pPr>
              <w:rPr>
                <w:rFonts w:cs="Arial"/>
                <w:szCs w:val="19"/>
              </w:rPr>
            </w:pPr>
            <w:r w:rsidRPr="00073C05">
              <w:rPr>
                <w:rFonts w:cs="Arial"/>
                <w:sz w:val="16"/>
                <w:szCs w:val="16"/>
              </w:rPr>
              <w:t>500U in 5mL, 1,000U in 10mL and 2,500U in 25mL vials</w:t>
            </w:r>
          </w:p>
        </w:tc>
        <w:tc>
          <w:tcPr>
            <w:tcW w:w="3842" w:type="pct"/>
            <w:shd w:val="clear" w:color="auto" w:fill="auto"/>
            <w:tcMar>
              <w:top w:w="57" w:type="dxa"/>
              <w:bottom w:w="57" w:type="dxa"/>
            </w:tcMar>
          </w:tcPr>
          <w:p w14:paraId="20288511" w14:textId="78B1CA5A" w:rsidR="00F55EF3" w:rsidRPr="00A075A3" w:rsidRDefault="00F55EF3" w:rsidP="00F55EF3">
            <w:pPr>
              <w:tabs>
                <w:tab w:val="center" w:pos="3152"/>
              </w:tabs>
              <w:rPr>
                <w:rFonts w:cs="Arial"/>
                <w:szCs w:val="19"/>
                <w:lang w:val="en-US"/>
              </w:rPr>
            </w:pPr>
            <w:r w:rsidRPr="001E3BBE">
              <w:rPr>
                <w:rFonts w:cs="Arial"/>
                <w:szCs w:val="19"/>
                <w:lang w:val="en-US"/>
              </w:rPr>
              <w:t xml:space="preserve">Treatment of bleeding in </w:t>
            </w:r>
            <w:proofErr w:type="spellStart"/>
            <w:r w:rsidRPr="001E3BBE">
              <w:rPr>
                <w:rFonts w:cs="Arial"/>
                <w:szCs w:val="19"/>
                <w:lang w:val="en-US"/>
              </w:rPr>
              <w:t>h</w:t>
            </w:r>
            <w:r>
              <w:rPr>
                <w:rFonts w:cs="Arial"/>
                <w:szCs w:val="19"/>
                <w:lang w:val="en-US"/>
              </w:rPr>
              <w:t>a</w:t>
            </w:r>
            <w:r w:rsidRPr="001E3BBE">
              <w:rPr>
                <w:rFonts w:cs="Arial"/>
                <w:szCs w:val="19"/>
                <w:lang w:val="en-US"/>
              </w:rPr>
              <w:t>emophilia</w:t>
            </w:r>
            <w:proofErr w:type="spellEnd"/>
            <w:r w:rsidRPr="001E3BBE">
              <w:rPr>
                <w:rFonts w:cs="Arial"/>
                <w:szCs w:val="19"/>
                <w:lang w:val="en-US"/>
              </w:rPr>
              <w:t xml:space="preserve"> A with inhibitors, </w:t>
            </w:r>
            <w:r w:rsidR="001F608A">
              <w:rPr>
                <w:rFonts w:cs="Arial"/>
                <w:szCs w:val="19"/>
                <w:lang w:val="en-US"/>
              </w:rPr>
              <w:t xml:space="preserve">treatment of bleeding in </w:t>
            </w:r>
            <w:proofErr w:type="spellStart"/>
            <w:r w:rsidRPr="001E3BBE">
              <w:rPr>
                <w:rFonts w:cs="Arial"/>
                <w:szCs w:val="19"/>
                <w:lang w:val="en-US"/>
              </w:rPr>
              <w:t>h</w:t>
            </w:r>
            <w:r>
              <w:rPr>
                <w:rFonts w:cs="Arial"/>
                <w:szCs w:val="19"/>
                <w:lang w:val="en-US"/>
              </w:rPr>
              <w:t>a</w:t>
            </w:r>
            <w:r w:rsidRPr="001E3BBE">
              <w:rPr>
                <w:rFonts w:cs="Arial"/>
                <w:szCs w:val="19"/>
                <w:lang w:val="en-US"/>
              </w:rPr>
              <w:t>emophilia</w:t>
            </w:r>
            <w:proofErr w:type="spellEnd"/>
            <w:r w:rsidRPr="001E3BBE">
              <w:rPr>
                <w:rFonts w:cs="Arial"/>
                <w:szCs w:val="19"/>
                <w:lang w:val="en-US"/>
              </w:rPr>
              <w:t xml:space="preserve"> B with inhibitors if no other specific treatment is available, </w:t>
            </w:r>
            <w:r w:rsidR="001F608A">
              <w:rPr>
                <w:rFonts w:cs="Arial"/>
                <w:szCs w:val="19"/>
                <w:lang w:val="en-US"/>
              </w:rPr>
              <w:t xml:space="preserve">treatment of bleeding </w:t>
            </w:r>
            <w:r w:rsidRPr="001E3BBE">
              <w:rPr>
                <w:rFonts w:cs="Arial"/>
                <w:szCs w:val="19"/>
                <w:lang w:val="en-US"/>
              </w:rPr>
              <w:t>in non-</w:t>
            </w:r>
            <w:proofErr w:type="spellStart"/>
            <w:r w:rsidRPr="001E3BBE">
              <w:rPr>
                <w:rFonts w:cs="Arial"/>
                <w:szCs w:val="19"/>
                <w:lang w:val="en-US"/>
              </w:rPr>
              <w:t>h</w:t>
            </w:r>
            <w:r>
              <w:rPr>
                <w:rFonts w:cs="Arial"/>
                <w:szCs w:val="19"/>
                <w:lang w:val="en-US"/>
              </w:rPr>
              <w:t>a</w:t>
            </w:r>
            <w:r w:rsidRPr="001E3BBE">
              <w:rPr>
                <w:rFonts w:cs="Arial"/>
                <w:szCs w:val="19"/>
                <w:lang w:val="en-US"/>
              </w:rPr>
              <w:t>emophilia</w:t>
            </w:r>
            <w:proofErr w:type="spellEnd"/>
            <w:r w:rsidRPr="001E3BBE">
              <w:rPr>
                <w:rFonts w:cs="Arial"/>
                <w:szCs w:val="19"/>
                <w:lang w:val="en-US"/>
              </w:rPr>
              <w:t xml:space="preserve"> with a</w:t>
            </w:r>
            <w:r>
              <w:rPr>
                <w:rFonts w:cs="Arial"/>
                <w:szCs w:val="19"/>
                <w:lang w:val="en-US"/>
              </w:rPr>
              <w:t>c</w:t>
            </w:r>
            <w:r w:rsidRPr="001E3BBE">
              <w:rPr>
                <w:rFonts w:cs="Arial"/>
                <w:szCs w:val="19"/>
                <w:lang w:val="en-US"/>
              </w:rPr>
              <w:t>quired inhibitors to factor VIII</w:t>
            </w:r>
            <w:r w:rsidR="0059610D">
              <w:rPr>
                <w:rFonts w:cs="Arial"/>
                <w:szCs w:val="19"/>
                <w:lang w:val="en-US"/>
              </w:rPr>
              <w:t>,</w:t>
            </w:r>
            <w:r w:rsidRPr="001E3BBE">
              <w:rPr>
                <w:rFonts w:cs="Arial"/>
                <w:szCs w:val="19"/>
                <w:lang w:val="en-US"/>
              </w:rPr>
              <w:t xml:space="preserve"> and prophylaxis of bleeding in </w:t>
            </w:r>
            <w:proofErr w:type="spellStart"/>
            <w:r w:rsidRPr="001E3BBE">
              <w:rPr>
                <w:rFonts w:cs="Arial"/>
                <w:szCs w:val="19"/>
                <w:lang w:val="en-US"/>
              </w:rPr>
              <w:t>h</w:t>
            </w:r>
            <w:r>
              <w:rPr>
                <w:rFonts w:cs="Arial"/>
                <w:szCs w:val="19"/>
                <w:lang w:val="en-US"/>
              </w:rPr>
              <w:t>a</w:t>
            </w:r>
            <w:r w:rsidRPr="001E3BBE">
              <w:rPr>
                <w:rFonts w:cs="Arial"/>
                <w:szCs w:val="19"/>
                <w:lang w:val="en-US"/>
              </w:rPr>
              <w:t>emophilia</w:t>
            </w:r>
            <w:proofErr w:type="spellEnd"/>
            <w:r w:rsidRPr="001E3BBE">
              <w:rPr>
                <w:rFonts w:cs="Arial"/>
                <w:szCs w:val="19"/>
                <w:lang w:val="en-US"/>
              </w:rPr>
              <w:t xml:space="preserve"> A with inhibitors in people who are at high risk of or have experienced a significant bleed</w:t>
            </w:r>
            <w:r w:rsidR="008F790C">
              <w:rPr>
                <w:rFonts w:cs="Arial"/>
                <w:szCs w:val="19"/>
                <w:lang w:val="en-US"/>
              </w:rPr>
              <w:t xml:space="preserve"> in all age groups</w:t>
            </w:r>
            <w:r w:rsidR="002439FD">
              <w:rPr>
                <w:rFonts w:cs="Arial"/>
                <w:szCs w:val="19"/>
                <w:lang w:val="en-US"/>
              </w:rPr>
              <w:t xml:space="preserve"> </w:t>
            </w:r>
            <w:r w:rsidR="002439FD" w:rsidRPr="002439FD">
              <w:rPr>
                <w:rFonts w:cs="Arial"/>
                <w:sz w:val="16"/>
                <w:szCs w:val="16"/>
                <w:lang w:val="en-US"/>
              </w:rPr>
              <w:t>[new reduced volume formulations]</w:t>
            </w:r>
          </w:p>
        </w:tc>
      </w:tr>
      <w:tr w:rsidR="00F55EF3" w14:paraId="48BE9654" w14:textId="77777777" w:rsidTr="00690B8F">
        <w:tc>
          <w:tcPr>
            <w:tcW w:w="1158" w:type="pct"/>
            <w:gridSpan w:val="2"/>
            <w:shd w:val="clear" w:color="auto" w:fill="auto"/>
            <w:tcMar>
              <w:top w:w="57" w:type="dxa"/>
              <w:bottom w:w="57" w:type="dxa"/>
            </w:tcMar>
          </w:tcPr>
          <w:p w14:paraId="1723DDDC" w14:textId="77777777" w:rsidR="00F55EF3" w:rsidRDefault="00F55EF3" w:rsidP="00F55EF3">
            <w:pPr>
              <w:rPr>
                <w:rFonts w:cs="Arial"/>
                <w:color w:val="000000" w:themeColor="text1"/>
                <w:szCs w:val="19"/>
              </w:rPr>
            </w:pPr>
            <w:proofErr w:type="spellStart"/>
            <w:r w:rsidRPr="0048384B">
              <w:rPr>
                <w:rFonts w:cs="Arial"/>
                <w:color w:val="000000" w:themeColor="text1"/>
                <w:szCs w:val="19"/>
              </w:rPr>
              <w:t>Givinostat</w:t>
            </w:r>
            <w:proofErr w:type="spellEnd"/>
            <w:r w:rsidRPr="0048384B">
              <w:rPr>
                <w:rFonts w:cs="Arial"/>
                <w:color w:val="000000" w:themeColor="text1"/>
                <w:szCs w:val="19"/>
              </w:rPr>
              <w:t xml:space="preserve"> (</w:t>
            </w:r>
            <w:proofErr w:type="spellStart"/>
            <w:r w:rsidRPr="0048384B">
              <w:rPr>
                <w:rFonts w:cs="Arial"/>
                <w:i/>
                <w:iCs/>
                <w:color w:val="000000" w:themeColor="text1"/>
                <w:szCs w:val="19"/>
              </w:rPr>
              <w:t>Duvyzat</w:t>
            </w:r>
            <w:proofErr w:type="spellEnd"/>
            <w:r w:rsidRPr="0048384B">
              <w:rPr>
                <w:rFonts w:cs="Arial"/>
                <w:color w:val="000000" w:themeColor="text1"/>
                <w:szCs w:val="19"/>
              </w:rPr>
              <w:t>)</w:t>
            </w:r>
          </w:p>
          <w:p w14:paraId="1B8EDFDD" w14:textId="15F03230" w:rsidR="0048384B" w:rsidRPr="0048384B" w:rsidRDefault="00D33693" w:rsidP="00F55EF3">
            <w:pPr>
              <w:rPr>
                <w:rFonts w:cs="Arial"/>
                <w:color w:val="000000" w:themeColor="text1"/>
                <w:szCs w:val="19"/>
              </w:rPr>
            </w:pPr>
            <w:r w:rsidRPr="00D33693">
              <w:rPr>
                <w:rFonts w:cs="Arial"/>
                <w:color w:val="000000" w:themeColor="text1"/>
                <w:sz w:val="16"/>
                <w:szCs w:val="16"/>
              </w:rPr>
              <w:t>8.86mg</w:t>
            </w:r>
            <w:r>
              <w:rPr>
                <w:rFonts w:cs="Arial"/>
                <w:color w:val="000000" w:themeColor="text1"/>
                <w:sz w:val="16"/>
                <w:szCs w:val="16"/>
              </w:rPr>
              <w:t xml:space="preserve"> in 1</w:t>
            </w:r>
            <w:r w:rsidRPr="00D33693">
              <w:rPr>
                <w:rFonts w:cs="Arial"/>
                <w:color w:val="000000" w:themeColor="text1"/>
                <w:sz w:val="16"/>
                <w:szCs w:val="16"/>
              </w:rPr>
              <w:t>mL oral suspension</w:t>
            </w:r>
          </w:p>
        </w:tc>
        <w:tc>
          <w:tcPr>
            <w:tcW w:w="3842" w:type="pct"/>
            <w:shd w:val="clear" w:color="auto" w:fill="auto"/>
            <w:tcMar>
              <w:top w:w="57" w:type="dxa"/>
              <w:bottom w:w="57" w:type="dxa"/>
            </w:tcMar>
          </w:tcPr>
          <w:p w14:paraId="532EE2C6" w14:textId="3D3E5D90" w:rsidR="00F55EF3" w:rsidRPr="0048384B" w:rsidRDefault="0048384B" w:rsidP="00F55EF3">
            <w:pPr>
              <w:tabs>
                <w:tab w:val="num" w:pos="720"/>
                <w:tab w:val="center" w:pos="3152"/>
              </w:tabs>
              <w:rPr>
                <w:rFonts w:cs="Arial"/>
                <w:color w:val="000000" w:themeColor="text1"/>
                <w:szCs w:val="19"/>
                <w:lang w:val="en-US"/>
              </w:rPr>
            </w:pPr>
            <w:r w:rsidRPr="0048384B">
              <w:rPr>
                <w:rFonts w:cs="Arial"/>
                <w:color w:val="000000" w:themeColor="text1"/>
                <w:szCs w:val="19"/>
                <w:lang w:val="en-US"/>
              </w:rPr>
              <w:t xml:space="preserve">Treatment of Duchenne muscular dystrophy in patients </w:t>
            </w:r>
            <w:r>
              <w:rPr>
                <w:rFonts w:cs="Arial"/>
                <w:color w:val="000000" w:themeColor="text1"/>
                <w:szCs w:val="19"/>
                <w:lang w:val="en-US"/>
              </w:rPr>
              <w:t>aged ≥</w:t>
            </w:r>
            <w:r w:rsidRPr="0048384B">
              <w:rPr>
                <w:rFonts w:cs="Arial"/>
                <w:color w:val="000000" w:themeColor="text1"/>
                <w:szCs w:val="19"/>
                <w:lang w:val="en-US"/>
              </w:rPr>
              <w:t>6 years</w:t>
            </w:r>
          </w:p>
        </w:tc>
      </w:tr>
      <w:tr w:rsidR="00F55EF3" w14:paraId="7A87C8E5" w14:textId="77777777" w:rsidTr="00690B8F">
        <w:tc>
          <w:tcPr>
            <w:tcW w:w="1158" w:type="pct"/>
            <w:gridSpan w:val="2"/>
            <w:shd w:val="clear" w:color="auto" w:fill="auto"/>
            <w:tcMar>
              <w:top w:w="57" w:type="dxa"/>
              <w:bottom w:w="57" w:type="dxa"/>
            </w:tcMar>
          </w:tcPr>
          <w:p w14:paraId="4035B1EA" w14:textId="77777777" w:rsidR="00F55EF3" w:rsidRDefault="00F55EF3" w:rsidP="00F55EF3">
            <w:pPr>
              <w:rPr>
                <w:rFonts w:cs="Arial"/>
                <w:szCs w:val="19"/>
              </w:rPr>
            </w:pPr>
            <w:r>
              <w:rPr>
                <w:rFonts w:cs="Arial"/>
                <w:szCs w:val="19"/>
              </w:rPr>
              <w:t>Leuprorelin (</w:t>
            </w:r>
            <w:proofErr w:type="spellStart"/>
            <w:r>
              <w:rPr>
                <w:rFonts w:cs="Arial"/>
                <w:i/>
                <w:iCs/>
                <w:szCs w:val="19"/>
              </w:rPr>
              <w:t>Camcevi</w:t>
            </w:r>
            <w:proofErr w:type="spellEnd"/>
            <w:r>
              <w:rPr>
                <w:rFonts w:cs="Arial"/>
                <w:szCs w:val="19"/>
              </w:rPr>
              <w:t>)</w:t>
            </w:r>
          </w:p>
          <w:p w14:paraId="5299EA88" w14:textId="332B97A3" w:rsidR="00F55EF3" w:rsidRPr="007B12FA" w:rsidRDefault="00F55EF3" w:rsidP="00F55EF3">
            <w:pPr>
              <w:rPr>
                <w:rFonts w:cs="Arial"/>
                <w:szCs w:val="19"/>
              </w:rPr>
            </w:pPr>
            <w:r w:rsidRPr="00EB48D9">
              <w:rPr>
                <w:rFonts w:cs="Arial"/>
                <w:sz w:val="16"/>
                <w:szCs w:val="16"/>
              </w:rPr>
              <w:t>42mg prefilled syringe</w:t>
            </w:r>
          </w:p>
        </w:tc>
        <w:tc>
          <w:tcPr>
            <w:tcW w:w="3842" w:type="pct"/>
            <w:shd w:val="clear" w:color="auto" w:fill="auto"/>
            <w:tcMar>
              <w:top w:w="57" w:type="dxa"/>
              <w:bottom w:w="57" w:type="dxa"/>
            </w:tcMar>
          </w:tcPr>
          <w:p w14:paraId="4C86C046" w14:textId="6926FEE8" w:rsidR="00F55EF3" w:rsidRPr="00912FFC" w:rsidRDefault="00F55EF3" w:rsidP="00F55EF3">
            <w:pPr>
              <w:tabs>
                <w:tab w:val="center" w:pos="3152"/>
              </w:tabs>
              <w:rPr>
                <w:rFonts w:cs="Arial"/>
                <w:color w:val="000000"/>
                <w:szCs w:val="19"/>
                <w:lang w:val="en-US"/>
              </w:rPr>
            </w:pPr>
            <w:r w:rsidRPr="00912FFC">
              <w:rPr>
                <w:rFonts w:cs="Arial"/>
                <w:color w:val="000000"/>
                <w:szCs w:val="19"/>
                <w:lang w:val="en-US"/>
              </w:rPr>
              <w:t>Metastatic prostate cancer, locally advanced prostate cancer, as an alternative to surgical castration</w:t>
            </w:r>
            <w:r>
              <w:rPr>
                <w:rFonts w:cs="Arial"/>
                <w:color w:val="000000"/>
                <w:szCs w:val="19"/>
                <w:lang w:val="en-US"/>
              </w:rPr>
              <w:t>, a</w:t>
            </w:r>
            <w:r w:rsidRPr="00912FFC">
              <w:rPr>
                <w:rFonts w:cs="Arial"/>
                <w:color w:val="000000"/>
                <w:szCs w:val="19"/>
                <w:lang w:val="en-US"/>
              </w:rPr>
              <w:t>s an adjuvant treatment to radiotherapy in patients with high-risk localised</w:t>
            </w:r>
          </w:p>
          <w:p w14:paraId="75C75153" w14:textId="75A4B5FF" w:rsidR="00F55EF3" w:rsidRPr="009B0BCE" w:rsidRDefault="00F55EF3" w:rsidP="00F55EF3">
            <w:pPr>
              <w:tabs>
                <w:tab w:val="center" w:pos="3152"/>
              </w:tabs>
              <w:rPr>
                <w:rFonts w:cs="Arial"/>
                <w:color w:val="000000"/>
                <w:sz w:val="20"/>
                <w:szCs w:val="18"/>
                <w:lang w:val="en-US"/>
              </w:rPr>
            </w:pPr>
            <w:r w:rsidRPr="00912FFC">
              <w:rPr>
                <w:rFonts w:cs="Arial"/>
                <w:color w:val="000000"/>
                <w:szCs w:val="19"/>
                <w:lang w:val="en-US"/>
              </w:rPr>
              <w:t>or locally advanced prostate cancer</w:t>
            </w:r>
            <w:r>
              <w:rPr>
                <w:rFonts w:cs="Arial"/>
                <w:color w:val="000000"/>
                <w:szCs w:val="19"/>
                <w:lang w:val="en-US"/>
              </w:rPr>
              <w:t xml:space="preserve">, as </w:t>
            </w:r>
            <w:r w:rsidRPr="00912FFC">
              <w:rPr>
                <w:rFonts w:cs="Arial"/>
                <w:color w:val="000000"/>
                <w:szCs w:val="19"/>
                <w:lang w:val="en-US"/>
              </w:rPr>
              <w:t>an adjuvant treatment to radical prostatectomy in patients with locally</w:t>
            </w:r>
            <w:r>
              <w:rPr>
                <w:rFonts w:cs="Arial"/>
                <w:color w:val="000000"/>
                <w:szCs w:val="19"/>
                <w:lang w:val="en-US"/>
              </w:rPr>
              <w:t xml:space="preserve"> </w:t>
            </w:r>
            <w:r w:rsidRPr="00912FFC">
              <w:rPr>
                <w:rFonts w:cs="Arial"/>
                <w:color w:val="000000"/>
                <w:szCs w:val="19"/>
                <w:lang w:val="en-US"/>
              </w:rPr>
              <w:t>advanced prostate cancer at high risk of disease progression</w:t>
            </w:r>
            <w:r>
              <w:rPr>
                <w:rFonts w:cs="Arial"/>
                <w:color w:val="000000"/>
                <w:szCs w:val="19"/>
                <w:lang w:val="en-US"/>
              </w:rPr>
              <w:t>, and a</w:t>
            </w:r>
            <w:r w:rsidRPr="00912FFC">
              <w:rPr>
                <w:rFonts w:cs="Arial"/>
                <w:color w:val="000000"/>
                <w:szCs w:val="19"/>
                <w:lang w:val="en-US"/>
              </w:rPr>
              <w:t>s neo-adjuvant treatment prior to radiotherapy in patients with high-risk</w:t>
            </w:r>
            <w:r>
              <w:rPr>
                <w:rFonts w:cs="Arial"/>
                <w:color w:val="000000"/>
                <w:szCs w:val="19"/>
                <w:lang w:val="en-US"/>
              </w:rPr>
              <w:t xml:space="preserve"> </w:t>
            </w:r>
            <w:r w:rsidRPr="00912FFC">
              <w:rPr>
                <w:rFonts w:cs="Arial"/>
                <w:color w:val="000000"/>
                <w:szCs w:val="19"/>
                <w:lang w:val="en-US"/>
              </w:rPr>
              <w:t>localised or locally advanced prostate cancer</w:t>
            </w:r>
            <w:r>
              <w:rPr>
                <w:rFonts w:cs="Arial"/>
                <w:color w:val="000000"/>
                <w:szCs w:val="19"/>
                <w:lang w:val="en-US"/>
              </w:rPr>
              <w:t xml:space="preserve"> </w:t>
            </w:r>
            <w:r w:rsidRPr="006A748B">
              <w:rPr>
                <w:rFonts w:cs="Arial"/>
                <w:color w:val="000000"/>
                <w:sz w:val="16"/>
                <w:szCs w:val="16"/>
                <w:lang w:val="en-US"/>
              </w:rPr>
              <w:t xml:space="preserve">[new 6-month </w:t>
            </w:r>
            <w:r>
              <w:rPr>
                <w:rFonts w:cs="Arial"/>
                <w:color w:val="000000"/>
                <w:sz w:val="16"/>
                <w:szCs w:val="16"/>
                <w:lang w:val="en-US"/>
              </w:rPr>
              <w:t xml:space="preserve">prolonged-release suspension for injection </w:t>
            </w:r>
            <w:r w:rsidRPr="006A748B">
              <w:rPr>
                <w:rFonts w:cs="Arial"/>
                <w:color w:val="000000"/>
                <w:sz w:val="16"/>
                <w:szCs w:val="16"/>
                <w:lang w:val="en-US"/>
              </w:rPr>
              <w:t>formulation]</w:t>
            </w:r>
          </w:p>
        </w:tc>
      </w:tr>
      <w:tr w:rsidR="00F55EF3" w14:paraId="6DF2D2AC" w14:textId="77777777" w:rsidTr="00690B8F">
        <w:tc>
          <w:tcPr>
            <w:tcW w:w="1158" w:type="pct"/>
            <w:gridSpan w:val="2"/>
            <w:shd w:val="clear" w:color="auto" w:fill="auto"/>
            <w:tcMar>
              <w:top w:w="57" w:type="dxa"/>
              <w:bottom w:w="57" w:type="dxa"/>
            </w:tcMar>
          </w:tcPr>
          <w:p w14:paraId="67D76E87" w14:textId="77777777" w:rsidR="00F55EF3" w:rsidRDefault="00F55EF3" w:rsidP="00F55EF3">
            <w:pPr>
              <w:rPr>
                <w:rFonts w:cs="Arial"/>
                <w:szCs w:val="19"/>
              </w:rPr>
            </w:pPr>
            <w:r>
              <w:rPr>
                <w:rFonts w:cs="Arial"/>
                <w:szCs w:val="19"/>
              </w:rPr>
              <w:t>Liraglutide biosimilar (</w:t>
            </w:r>
            <w:proofErr w:type="spellStart"/>
            <w:r>
              <w:rPr>
                <w:rFonts w:cs="Arial"/>
                <w:i/>
                <w:iCs/>
                <w:szCs w:val="19"/>
              </w:rPr>
              <w:t>Plaobes</w:t>
            </w:r>
            <w:proofErr w:type="spellEnd"/>
            <w:r>
              <w:rPr>
                <w:rFonts w:cs="Arial"/>
                <w:szCs w:val="19"/>
              </w:rPr>
              <w:t>)</w:t>
            </w:r>
          </w:p>
          <w:p w14:paraId="46330130" w14:textId="13233D65" w:rsidR="00F55EF3" w:rsidRPr="0089162F" w:rsidRDefault="00F55EF3" w:rsidP="00F55EF3">
            <w:pPr>
              <w:rPr>
                <w:rFonts w:cs="Arial"/>
                <w:szCs w:val="19"/>
              </w:rPr>
            </w:pPr>
            <w:r w:rsidRPr="006544AC">
              <w:rPr>
                <w:rFonts w:cs="Arial"/>
                <w:sz w:val="16"/>
                <w:szCs w:val="16"/>
              </w:rPr>
              <w:t>18mg in 3mL prefilled pen</w:t>
            </w:r>
          </w:p>
        </w:tc>
        <w:tc>
          <w:tcPr>
            <w:tcW w:w="3842" w:type="pct"/>
            <w:shd w:val="clear" w:color="auto" w:fill="auto"/>
            <w:tcMar>
              <w:top w:w="57" w:type="dxa"/>
              <w:bottom w:w="57" w:type="dxa"/>
            </w:tcMar>
          </w:tcPr>
          <w:p w14:paraId="2DC15BFD" w14:textId="1256E9CB" w:rsidR="00F55EF3" w:rsidRPr="00A075A3" w:rsidRDefault="00F55EF3" w:rsidP="00F55EF3">
            <w:pPr>
              <w:tabs>
                <w:tab w:val="center" w:pos="3152"/>
              </w:tabs>
              <w:rPr>
                <w:rFonts w:cs="Arial"/>
                <w:szCs w:val="19"/>
                <w:lang w:val="en-US"/>
              </w:rPr>
            </w:pPr>
            <w:r>
              <w:rPr>
                <w:rFonts w:cs="Arial"/>
                <w:szCs w:val="19"/>
                <w:lang w:val="en-US"/>
              </w:rPr>
              <w:t>U</w:t>
            </w:r>
            <w:r w:rsidRPr="0089162F">
              <w:rPr>
                <w:rFonts w:cs="Arial"/>
                <w:szCs w:val="19"/>
                <w:lang w:val="en-US"/>
              </w:rPr>
              <w:t xml:space="preserve">se as an adjunct to a reduced-calorie diet and increased physical activity for weight management in adults with an initial </w:t>
            </w:r>
            <w:r>
              <w:rPr>
                <w:rFonts w:cs="Arial"/>
                <w:szCs w:val="19"/>
                <w:lang w:val="en-US"/>
              </w:rPr>
              <w:t>b</w:t>
            </w:r>
            <w:r w:rsidRPr="0089162F">
              <w:rPr>
                <w:rFonts w:cs="Arial"/>
                <w:szCs w:val="19"/>
                <w:lang w:val="en-US"/>
              </w:rPr>
              <w:t xml:space="preserve">ody </w:t>
            </w:r>
            <w:r>
              <w:rPr>
                <w:rFonts w:cs="Arial"/>
                <w:szCs w:val="19"/>
                <w:lang w:val="en-US"/>
              </w:rPr>
              <w:t>m</w:t>
            </w:r>
            <w:r w:rsidRPr="0089162F">
              <w:rPr>
                <w:rFonts w:cs="Arial"/>
                <w:szCs w:val="19"/>
                <w:lang w:val="en-US"/>
              </w:rPr>
              <w:t xml:space="preserve">ass </w:t>
            </w:r>
            <w:r>
              <w:rPr>
                <w:rFonts w:cs="Arial"/>
                <w:szCs w:val="19"/>
                <w:lang w:val="en-US"/>
              </w:rPr>
              <w:t>i</w:t>
            </w:r>
            <w:r w:rsidRPr="0089162F">
              <w:rPr>
                <w:rFonts w:cs="Arial"/>
                <w:szCs w:val="19"/>
                <w:lang w:val="en-US"/>
              </w:rPr>
              <w:t xml:space="preserve">ndex (BMI) of ≥30kg/m² (obesity), or ≥27kg/m² to &lt;30kg/m² (overweight) in the presence of at least one weight-related comorbidity such as </w:t>
            </w:r>
            <w:proofErr w:type="spellStart"/>
            <w:r w:rsidRPr="0089162F">
              <w:rPr>
                <w:rFonts w:cs="Arial"/>
                <w:szCs w:val="19"/>
                <w:lang w:val="en-US"/>
              </w:rPr>
              <w:t>dysglycaemia</w:t>
            </w:r>
            <w:proofErr w:type="spellEnd"/>
            <w:r w:rsidRPr="0089162F">
              <w:rPr>
                <w:rFonts w:cs="Arial"/>
                <w:szCs w:val="19"/>
                <w:lang w:val="en-US"/>
              </w:rPr>
              <w:t xml:space="preserve"> (pre-diabetes or type 2 diabetes mellitus), hypertension, </w:t>
            </w:r>
            <w:proofErr w:type="gramStart"/>
            <w:r w:rsidRPr="0089162F">
              <w:rPr>
                <w:rFonts w:cs="Arial"/>
                <w:szCs w:val="19"/>
                <w:lang w:val="en-US"/>
              </w:rPr>
              <w:t>dyslipidaemia</w:t>
            </w:r>
            <w:proofErr w:type="gramEnd"/>
            <w:r w:rsidRPr="0089162F">
              <w:rPr>
                <w:rFonts w:cs="Arial"/>
                <w:szCs w:val="19"/>
                <w:lang w:val="en-US"/>
              </w:rPr>
              <w:t xml:space="preserve"> or obstructive sleep apnoea. A</w:t>
            </w:r>
            <w:r>
              <w:rPr>
                <w:rFonts w:cs="Arial"/>
                <w:szCs w:val="19"/>
                <w:lang w:val="en-US"/>
              </w:rPr>
              <w:t xml:space="preserve">lso </w:t>
            </w:r>
            <w:r w:rsidRPr="0089162F">
              <w:rPr>
                <w:rFonts w:cs="Arial"/>
                <w:szCs w:val="19"/>
                <w:lang w:val="en-US"/>
              </w:rPr>
              <w:t xml:space="preserve">use as an adjunct to a healthy nutrition and increased physical activity for weight management in adolescent patients </w:t>
            </w:r>
            <w:r>
              <w:rPr>
                <w:rFonts w:cs="Arial"/>
                <w:szCs w:val="19"/>
                <w:lang w:val="en-US"/>
              </w:rPr>
              <w:t>aged</w:t>
            </w:r>
            <w:r w:rsidRPr="0089162F">
              <w:rPr>
                <w:rFonts w:cs="Arial"/>
                <w:szCs w:val="19"/>
                <w:lang w:val="en-US"/>
              </w:rPr>
              <w:t xml:space="preserve"> </w:t>
            </w:r>
            <w:r>
              <w:rPr>
                <w:rFonts w:cs="Arial"/>
                <w:szCs w:val="19"/>
                <w:lang w:val="en-US"/>
              </w:rPr>
              <w:t>≥</w:t>
            </w:r>
            <w:r w:rsidRPr="0089162F">
              <w:rPr>
                <w:rFonts w:cs="Arial"/>
                <w:szCs w:val="19"/>
                <w:lang w:val="en-US"/>
              </w:rPr>
              <w:t xml:space="preserve">12 years with obesity (BMI corresponding to ≥30kg/m2 for adults by international cut-off points) and body weight </w:t>
            </w:r>
            <w:r>
              <w:rPr>
                <w:rFonts w:cs="Arial"/>
                <w:szCs w:val="19"/>
                <w:lang w:val="en-US"/>
              </w:rPr>
              <w:t>&gt;</w:t>
            </w:r>
            <w:r w:rsidRPr="0089162F">
              <w:rPr>
                <w:rFonts w:cs="Arial"/>
                <w:szCs w:val="19"/>
                <w:lang w:val="en-US"/>
              </w:rPr>
              <w:t>60kg</w:t>
            </w:r>
          </w:p>
        </w:tc>
      </w:tr>
      <w:tr w:rsidR="00FD3B30" w14:paraId="6187E904" w14:textId="77777777" w:rsidTr="00690B8F">
        <w:tc>
          <w:tcPr>
            <w:tcW w:w="1158" w:type="pct"/>
            <w:gridSpan w:val="2"/>
            <w:shd w:val="clear" w:color="auto" w:fill="auto"/>
            <w:tcMar>
              <w:top w:w="57" w:type="dxa"/>
              <w:bottom w:w="57" w:type="dxa"/>
            </w:tcMar>
          </w:tcPr>
          <w:p w14:paraId="3F049B50" w14:textId="77777777" w:rsidR="00FD3B30" w:rsidRPr="00BE25C0" w:rsidRDefault="00FD3B30" w:rsidP="00FD3B30">
            <w:pPr>
              <w:rPr>
                <w:rFonts w:cs="Arial"/>
                <w:color w:val="000000" w:themeColor="text1"/>
                <w:szCs w:val="19"/>
              </w:rPr>
            </w:pPr>
            <w:proofErr w:type="spellStart"/>
            <w:r w:rsidRPr="00BE25C0">
              <w:rPr>
                <w:rFonts w:cs="Arial"/>
                <w:color w:val="000000" w:themeColor="text1"/>
                <w:szCs w:val="19"/>
              </w:rPr>
              <w:t>Sotatercept</w:t>
            </w:r>
            <w:proofErr w:type="spellEnd"/>
            <w:r w:rsidRPr="00BE25C0">
              <w:rPr>
                <w:rFonts w:cs="Arial"/>
                <w:color w:val="000000" w:themeColor="text1"/>
                <w:szCs w:val="19"/>
              </w:rPr>
              <w:t xml:space="preserve"> (</w:t>
            </w:r>
            <w:proofErr w:type="spellStart"/>
            <w:r w:rsidRPr="00BE25C0">
              <w:rPr>
                <w:rFonts w:cs="Arial"/>
                <w:i/>
                <w:iCs/>
                <w:color w:val="000000" w:themeColor="text1"/>
                <w:szCs w:val="19"/>
              </w:rPr>
              <w:t>Winrevair</w:t>
            </w:r>
            <w:proofErr w:type="spellEnd"/>
            <w:r w:rsidRPr="00BE25C0">
              <w:rPr>
                <w:rFonts w:cs="Arial"/>
                <w:color w:val="000000" w:themeColor="text1"/>
                <w:szCs w:val="19"/>
              </w:rPr>
              <w:t>)</w:t>
            </w:r>
          </w:p>
          <w:p w14:paraId="1789018E" w14:textId="3F076C0F" w:rsidR="008E00C9" w:rsidRPr="00BE25C0" w:rsidRDefault="008E00C9" w:rsidP="00FD3B30">
            <w:pPr>
              <w:rPr>
                <w:rFonts w:cs="Arial"/>
                <w:color w:val="000000" w:themeColor="text1"/>
                <w:szCs w:val="19"/>
              </w:rPr>
            </w:pPr>
            <w:r w:rsidRPr="00BE25C0">
              <w:rPr>
                <w:rFonts w:cs="Arial"/>
                <w:color w:val="000000" w:themeColor="text1"/>
                <w:sz w:val="16"/>
                <w:szCs w:val="16"/>
              </w:rPr>
              <w:t>45mg and 60mg</w:t>
            </w:r>
            <w:r w:rsidR="00971EAA" w:rsidRPr="00BE25C0">
              <w:rPr>
                <w:rFonts w:cs="Arial"/>
                <w:color w:val="000000" w:themeColor="text1"/>
                <w:sz w:val="16"/>
                <w:szCs w:val="16"/>
              </w:rPr>
              <w:t xml:space="preserve"> vials</w:t>
            </w:r>
          </w:p>
        </w:tc>
        <w:tc>
          <w:tcPr>
            <w:tcW w:w="3842" w:type="pct"/>
            <w:shd w:val="clear" w:color="auto" w:fill="auto"/>
            <w:tcMar>
              <w:top w:w="57" w:type="dxa"/>
              <w:bottom w:w="57" w:type="dxa"/>
            </w:tcMar>
          </w:tcPr>
          <w:p w14:paraId="7E0D5BCE" w14:textId="5D7DAC9A" w:rsidR="00FD3B30" w:rsidRPr="00BE25C0" w:rsidRDefault="00FD3B30" w:rsidP="00FD3B30">
            <w:pPr>
              <w:tabs>
                <w:tab w:val="center" w:pos="3152"/>
              </w:tabs>
              <w:rPr>
                <w:rFonts w:cs="Arial"/>
                <w:color w:val="000000" w:themeColor="text1"/>
                <w:szCs w:val="19"/>
                <w:lang w:val="en-US"/>
              </w:rPr>
            </w:pPr>
            <w:r w:rsidRPr="00BE25C0">
              <w:rPr>
                <w:rFonts w:cs="Arial"/>
                <w:color w:val="000000" w:themeColor="text1"/>
                <w:szCs w:val="19"/>
                <w:lang w:val="en-US"/>
              </w:rPr>
              <w:t>Use in combination with other pulmonary arterial hypertension (PAH) therapies, for the treatment of PAH in adults with WHO Functional Class II to III, to improve exercise capacity</w:t>
            </w:r>
          </w:p>
        </w:tc>
      </w:tr>
      <w:tr w:rsidR="00FD3B30" w:rsidRPr="00862949" w14:paraId="33541E0D" w14:textId="77777777" w:rsidTr="005A7E09">
        <w:tc>
          <w:tcPr>
            <w:tcW w:w="5000" w:type="pct"/>
            <w:gridSpan w:val="3"/>
            <w:shd w:val="clear" w:color="auto" w:fill="auto"/>
            <w:tcMar>
              <w:top w:w="0" w:type="dxa"/>
              <w:bottom w:w="0" w:type="dxa"/>
            </w:tcMar>
          </w:tcPr>
          <w:p w14:paraId="36032FF8" w14:textId="77777777" w:rsidR="00FD3B30" w:rsidRPr="00862949" w:rsidRDefault="00FD3B30" w:rsidP="00FD3B30">
            <w:pPr>
              <w:jc w:val="center"/>
              <w:rPr>
                <w:rFonts w:cs="Arial"/>
                <w:noProof/>
                <w:sz w:val="8"/>
                <w:szCs w:val="8"/>
              </w:rPr>
            </w:pPr>
          </w:p>
        </w:tc>
      </w:tr>
      <w:tr w:rsidR="00FD3B30" w:rsidRPr="000F19E1" w14:paraId="5D0B2988" w14:textId="77777777" w:rsidTr="00155BD9">
        <w:tc>
          <w:tcPr>
            <w:tcW w:w="1152" w:type="pct"/>
            <w:shd w:val="clear" w:color="auto" w:fill="DAEEF3"/>
            <w:tcMar>
              <w:top w:w="0" w:type="dxa"/>
              <w:bottom w:w="0" w:type="dxa"/>
            </w:tcMar>
          </w:tcPr>
          <w:p w14:paraId="3D11B436" w14:textId="77777777" w:rsidR="00FD3B30" w:rsidRPr="000F19E1" w:rsidRDefault="00FD3B30" w:rsidP="00FD3B30">
            <w:pPr>
              <w:rPr>
                <w:rFonts w:cs="Arial"/>
                <w:bCs/>
                <w:sz w:val="8"/>
                <w:szCs w:val="8"/>
              </w:rPr>
            </w:pPr>
          </w:p>
        </w:tc>
        <w:tc>
          <w:tcPr>
            <w:tcW w:w="3848" w:type="pct"/>
            <w:gridSpan w:val="2"/>
            <w:shd w:val="clear" w:color="auto" w:fill="DAEEF3"/>
            <w:tcMar>
              <w:top w:w="0" w:type="dxa"/>
              <w:bottom w:w="0" w:type="dxa"/>
            </w:tcMar>
          </w:tcPr>
          <w:p w14:paraId="6B3B4D23" w14:textId="77777777" w:rsidR="00FD3B30" w:rsidRPr="000F19E1" w:rsidRDefault="00FD3B30" w:rsidP="00FD3B30">
            <w:pPr>
              <w:tabs>
                <w:tab w:val="center" w:pos="3152"/>
              </w:tabs>
              <w:rPr>
                <w:rFonts w:cs="Arial"/>
                <w:sz w:val="8"/>
                <w:szCs w:val="8"/>
                <w:lang w:val="en-US"/>
              </w:rPr>
            </w:pPr>
          </w:p>
        </w:tc>
      </w:tr>
    </w:tbl>
    <w:p w14:paraId="45D0A464" w14:textId="77777777" w:rsidR="00BB553D" w:rsidRDefault="00BB553D">
      <w:r>
        <w:br w:type="page"/>
      </w:r>
    </w:p>
    <w:p w14:paraId="4E0C2BF2" w14:textId="77777777" w:rsidR="00BB553D" w:rsidRDefault="00BB553D"/>
    <w:tbl>
      <w:tblPr>
        <w:tblW w:w="5170" w:type="pct"/>
        <w:tblInd w:w="-176" w:type="dxa"/>
        <w:tblLayout w:type="fixed"/>
        <w:tblLook w:val="01E0" w:firstRow="1" w:lastRow="1" w:firstColumn="1" w:lastColumn="1" w:noHBand="0" w:noVBand="0"/>
      </w:tblPr>
      <w:tblGrid>
        <w:gridCol w:w="2431"/>
        <w:gridCol w:w="13"/>
        <w:gridCol w:w="8107"/>
      </w:tblGrid>
      <w:tr w:rsidR="00BB553D" w:rsidRPr="00862949" w14:paraId="6C1DE821" w14:textId="77777777" w:rsidTr="009F0C3A">
        <w:tc>
          <w:tcPr>
            <w:tcW w:w="5000" w:type="pct"/>
            <w:gridSpan w:val="3"/>
            <w:shd w:val="clear" w:color="auto" w:fill="0070C0"/>
            <w:tcMar>
              <w:top w:w="85" w:type="dxa"/>
              <w:bottom w:w="85" w:type="dxa"/>
            </w:tcMar>
            <w:vAlign w:val="bottom"/>
          </w:tcPr>
          <w:p w14:paraId="6AE19BAB" w14:textId="77777777" w:rsidR="00BB553D" w:rsidRPr="00862949" w:rsidRDefault="00BB553D" w:rsidP="009F0C3A">
            <w:pPr>
              <w:rPr>
                <w:rFonts w:cs="Arial"/>
                <w:color w:val="FFFFFF"/>
                <w:sz w:val="15"/>
                <w:szCs w:val="15"/>
              </w:rPr>
            </w:pPr>
            <w:r w:rsidRPr="00862949">
              <w:rPr>
                <w:rFonts w:cs="Arial"/>
                <w:b/>
                <w:bCs/>
                <w:iCs/>
                <w:color w:val="FFFFFF"/>
                <w:sz w:val="28"/>
                <w:szCs w:val="28"/>
                <w:lang w:val="en-US"/>
              </w:rPr>
              <w:t xml:space="preserve">Regulatory changes in the </w:t>
            </w:r>
            <w:r>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BB553D" w:rsidRPr="00862949" w14:paraId="268DE67C" w14:textId="77777777" w:rsidTr="009F0C3A">
        <w:tc>
          <w:tcPr>
            <w:tcW w:w="5000" w:type="pct"/>
            <w:gridSpan w:val="3"/>
            <w:shd w:val="clear" w:color="auto" w:fill="DAEEF3"/>
            <w:tcMar>
              <w:top w:w="0" w:type="dxa"/>
              <w:bottom w:w="0" w:type="dxa"/>
            </w:tcMar>
          </w:tcPr>
          <w:p w14:paraId="525F2150" w14:textId="77777777" w:rsidR="00BB553D" w:rsidRPr="00862949" w:rsidRDefault="00BB553D" w:rsidP="009F0C3A">
            <w:pPr>
              <w:rPr>
                <w:rFonts w:cs="Arial"/>
                <w:b/>
                <w:bCs/>
                <w:i/>
                <w:iCs/>
                <w:color w:val="000000"/>
                <w:sz w:val="8"/>
                <w:szCs w:val="8"/>
                <w:lang w:val="en-US"/>
              </w:rPr>
            </w:pPr>
          </w:p>
        </w:tc>
      </w:tr>
      <w:tr w:rsidR="00FD3B30" w:rsidRPr="00831779" w14:paraId="46746840" w14:textId="77777777" w:rsidTr="00D6452A">
        <w:tc>
          <w:tcPr>
            <w:tcW w:w="5000" w:type="pct"/>
            <w:gridSpan w:val="3"/>
            <w:shd w:val="clear" w:color="auto" w:fill="00B050"/>
            <w:tcMar>
              <w:top w:w="57" w:type="dxa"/>
              <w:bottom w:w="57" w:type="dxa"/>
            </w:tcMar>
          </w:tcPr>
          <w:p w14:paraId="10451CF4" w14:textId="15219EAA" w:rsidR="00FD3B30" w:rsidRPr="00831779" w:rsidRDefault="00FD3B30" w:rsidP="00FD3B30">
            <w:pPr>
              <w:rPr>
                <w:rFonts w:cs="Arial"/>
                <w:noProof/>
                <w:color w:val="FFFFFF"/>
                <w:sz w:val="16"/>
                <w:szCs w:val="16"/>
              </w:rPr>
            </w:pPr>
            <w:r>
              <w:rPr>
                <w:rFonts w:cs="Arial"/>
                <w:b/>
                <w:bCs/>
                <w:i/>
                <w:iCs/>
                <w:color w:val="FFFFFF"/>
                <w:sz w:val="22"/>
                <w:szCs w:val="20"/>
                <w:lang w:val="en-US"/>
              </w:rPr>
              <w:t xml:space="preserve">Recommended for approval in </w:t>
            </w:r>
            <w:r w:rsidRPr="00433D3E">
              <w:rPr>
                <w:rFonts w:cs="Arial"/>
                <w:b/>
                <w:bCs/>
                <w:i/>
                <w:iCs/>
                <w:color w:val="FFFFFF"/>
                <w:sz w:val="22"/>
                <w:szCs w:val="20"/>
                <w:lang w:val="en-US"/>
              </w:rPr>
              <w:t xml:space="preserve">the </w:t>
            </w:r>
            <w:r>
              <w:rPr>
                <w:rFonts w:cs="Arial"/>
                <w:b/>
                <w:bCs/>
                <w:i/>
                <w:iCs/>
                <w:color w:val="FFFFFF"/>
                <w:sz w:val="22"/>
                <w:szCs w:val="20"/>
                <w:lang w:val="en-US"/>
              </w:rPr>
              <w:t xml:space="preserve">UK or </w:t>
            </w:r>
            <w:r w:rsidRPr="00433D3E">
              <w:rPr>
                <w:rFonts w:cs="Arial"/>
                <w:b/>
                <w:bCs/>
                <w:i/>
                <w:iCs/>
                <w:color w:val="FFFFFF"/>
                <w:sz w:val="22"/>
                <w:szCs w:val="20"/>
                <w:lang w:val="en-US"/>
              </w:rPr>
              <w:t>EU</w:t>
            </w:r>
          </w:p>
        </w:tc>
      </w:tr>
      <w:tr w:rsidR="00FD3B30" w:rsidRPr="00A075A3" w14:paraId="2477F6E6" w14:textId="77777777" w:rsidTr="00690B8F">
        <w:tc>
          <w:tcPr>
            <w:tcW w:w="1158" w:type="pct"/>
            <w:gridSpan w:val="2"/>
            <w:shd w:val="clear" w:color="auto" w:fill="auto"/>
            <w:tcMar>
              <w:top w:w="57" w:type="dxa"/>
              <w:bottom w:w="57" w:type="dxa"/>
            </w:tcMar>
          </w:tcPr>
          <w:p w14:paraId="7AD02E25" w14:textId="01A707B3" w:rsidR="00FD3B30" w:rsidRPr="00690B8F" w:rsidRDefault="00FD3B30" w:rsidP="00FD3B30">
            <w:pPr>
              <w:rPr>
                <w:rFonts w:cs="Arial"/>
                <w:szCs w:val="19"/>
              </w:rPr>
            </w:pPr>
            <w:proofErr w:type="spellStart"/>
            <w:r w:rsidRPr="00F72572">
              <w:rPr>
                <w:rFonts w:cs="Arial"/>
                <w:szCs w:val="19"/>
              </w:rPr>
              <w:t>Acoramidi</w:t>
            </w:r>
            <w:r>
              <w:rPr>
                <w:rFonts w:cs="Arial"/>
                <w:szCs w:val="19"/>
              </w:rPr>
              <w:t>s</w:t>
            </w:r>
            <w:proofErr w:type="spellEnd"/>
            <w:r>
              <w:rPr>
                <w:rFonts w:cs="Arial"/>
                <w:szCs w:val="19"/>
              </w:rPr>
              <w:t xml:space="preserve"> (</w:t>
            </w:r>
            <w:proofErr w:type="spellStart"/>
            <w:r>
              <w:rPr>
                <w:rFonts w:cs="Arial"/>
                <w:i/>
                <w:iCs/>
                <w:szCs w:val="19"/>
              </w:rPr>
              <w:t>Beyonttra</w:t>
            </w:r>
            <w:proofErr w:type="spellEnd"/>
            <w:r>
              <w:rPr>
                <w:rFonts w:cs="Arial"/>
                <w:szCs w:val="19"/>
              </w:rPr>
              <w:t>)</w:t>
            </w:r>
          </w:p>
        </w:tc>
        <w:tc>
          <w:tcPr>
            <w:tcW w:w="3842" w:type="pct"/>
            <w:shd w:val="clear" w:color="auto" w:fill="auto"/>
            <w:tcMar>
              <w:top w:w="57" w:type="dxa"/>
              <w:bottom w:w="57" w:type="dxa"/>
            </w:tcMar>
          </w:tcPr>
          <w:p w14:paraId="1F874BE9" w14:textId="4505D1DA" w:rsidR="00FD3B30" w:rsidRPr="00A075A3" w:rsidRDefault="00FD3B30" w:rsidP="00FD3B30">
            <w:pPr>
              <w:tabs>
                <w:tab w:val="center" w:pos="3152"/>
              </w:tabs>
              <w:rPr>
                <w:rFonts w:cs="Arial"/>
                <w:szCs w:val="19"/>
                <w:lang w:val="en-US"/>
              </w:rPr>
            </w:pPr>
            <w:r w:rsidRPr="00690B8F">
              <w:rPr>
                <w:rFonts w:cs="Arial"/>
                <w:szCs w:val="19"/>
                <w:lang w:val="en-US"/>
              </w:rPr>
              <w:t>Treatment of wild-type or variant transthyretin amyloidosis in adults with cardiomyopathy</w:t>
            </w:r>
            <w:r>
              <w:rPr>
                <w:rFonts w:cs="Arial"/>
                <w:szCs w:val="19"/>
                <w:lang w:val="en-US"/>
              </w:rPr>
              <w:t xml:space="preserve"> </w:t>
            </w:r>
            <w:r w:rsidRPr="00690B8F">
              <w:rPr>
                <w:rFonts w:cs="Arial"/>
                <w:sz w:val="16"/>
                <w:szCs w:val="16"/>
                <w:lang w:val="en-US"/>
              </w:rPr>
              <w:t>[EU]</w:t>
            </w:r>
          </w:p>
        </w:tc>
      </w:tr>
      <w:tr w:rsidR="00FD3B30" w:rsidRPr="00A075A3" w14:paraId="545D8AF5" w14:textId="77777777" w:rsidTr="00690B8F">
        <w:tc>
          <w:tcPr>
            <w:tcW w:w="1158" w:type="pct"/>
            <w:gridSpan w:val="2"/>
            <w:shd w:val="clear" w:color="auto" w:fill="auto"/>
            <w:tcMar>
              <w:top w:w="57" w:type="dxa"/>
              <w:bottom w:w="57" w:type="dxa"/>
            </w:tcMar>
          </w:tcPr>
          <w:p w14:paraId="29479372" w14:textId="692161CE" w:rsidR="00FD3B30" w:rsidRPr="00E15A39" w:rsidRDefault="00FD3B30" w:rsidP="00FD3B30">
            <w:pPr>
              <w:rPr>
                <w:rFonts w:cs="Arial"/>
                <w:szCs w:val="19"/>
              </w:rPr>
            </w:pPr>
            <w:r w:rsidRPr="00A52283">
              <w:rPr>
                <w:rFonts w:cs="Arial"/>
                <w:szCs w:val="19"/>
              </w:rPr>
              <w:t>Aflibercept biosimilar (</w:t>
            </w:r>
            <w:proofErr w:type="spellStart"/>
            <w:r w:rsidRPr="0062521A">
              <w:rPr>
                <w:rFonts w:cs="Arial"/>
                <w:i/>
                <w:iCs/>
                <w:szCs w:val="19"/>
              </w:rPr>
              <w:t>Eydenzelt</w:t>
            </w:r>
            <w:proofErr w:type="spellEnd"/>
            <w:r>
              <w:rPr>
                <w:rFonts w:cs="Arial"/>
                <w:szCs w:val="19"/>
              </w:rPr>
              <w:t>)</w:t>
            </w:r>
          </w:p>
        </w:tc>
        <w:tc>
          <w:tcPr>
            <w:tcW w:w="3842" w:type="pct"/>
            <w:shd w:val="clear" w:color="auto" w:fill="auto"/>
            <w:tcMar>
              <w:top w:w="57" w:type="dxa"/>
              <w:bottom w:w="57" w:type="dxa"/>
            </w:tcMar>
          </w:tcPr>
          <w:p w14:paraId="39F0579A" w14:textId="73ABFACB" w:rsidR="00FD3B30" w:rsidRPr="00A075A3" w:rsidRDefault="00FD3B30" w:rsidP="00FD3B30">
            <w:pPr>
              <w:tabs>
                <w:tab w:val="center" w:pos="3152"/>
              </w:tabs>
              <w:rPr>
                <w:rFonts w:cs="Arial"/>
                <w:szCs w:val="19"/>
                <w:lang w:val="en-US"/>
              </w:rPr>
            </w:pPr>
            <w:r w:rsidRPr="00717B11">
              <w:rPr>
                <w:rFonts w:cs="Arial"/>
                <w:szCs w:val="19"/>
                <w:lang w:val="en-US"/>
              </w:rPr>
              <w:t xml:space="preserve">Treatment of adults with neovascular (wet) age-related macular degeneration, visual impairment due to macular oedema secondary to retinal vein occlusion (branch RVO or central RVO), visual impairment due to diabetic macular oedema, </w:t>
            </w:r>
            <w:r>
              <w:rPr>
                <w:rFonts w:cs="Arial"/>
                <w:szCs w:val="19"/>
                <w:lang w:val="en-US"/>
              </w:rPr>
              <w:t xml:space="preserve">and </w:t>
            </w:r>
            <w:r w:rsidRPr="00717B11">
              <w:rPr>
                <w:rFonts w:cs="Arial"/>
                <w:szCs w:val="19"/>
                <w:lang w:val="en-US"/>
              </w:rPr>
              <w:t xml:space="preserve">visual impairment due to myopic choroidal </w:t>
            </w:r>
            <w:r>
              <w:rPr>
                <w:rFonts w:cs="Arial"/>
                <w:szCs w:val="19"/>
                <w:lang w:val="en-US"/>
              </w:rPr>
              <w:t xml:space="preserve">neovascularization </w:t>
            </w:r>
            <w:r w:rsidRPr="00717B11">
              <w:rPr>
                <w:rFonts w:cs="Arial"/>
                <w:sz w:val="16"/>
                <w:szCs w:val="16"/>
                <w:lang w:val="en-US"/>
              </w:rPr>
              <w:t>[EU]</w:t>
            </w:r>
          </w:p>
        </w:tc>
      </w:tr>
      <w:tr w:rsidR="00FD3B30" w14:paraId="15DF785B" w14:textId="77777777" w:rsidTr="00690B8F">
        <w:tc>
          <w:tcPr>
            <w:tcW w:w="1158" w:type="pct"/>
            <w:gridSpan w:val="2"/>
            <w:shd w:val="clear" w:color="auto" w:fill="auto"/>
            <w:tcMar>
              <w:top w:w="57" w:type="dxa"/>
              <w:bottom w:w="57" w:type="dxa"/>
            </w:tcMar>
          </w:tcPr>
          <w:p w14:paraId="38923F7F" w14:textId="57CC8ACB" w:rsidR="00FD3B30" w:rsidRPr="006276AF" w:rsidRDefault="00FD3B30" w:rsidP="00FD3B30">
            <w:pPr>
              <w:rPr>
                <w:rFonts w:cs="Arial"/>
                <w:szCs w:val="19"/>
              </w:rPr>
            </w:pPr>
            <w:proofErr w:type="spellStart"/>
            <w:r w:rsidRPr="008D5969">
              <w:rPr>
                <w:rFonts w:cs="Arial"/>
                <w:szCs w:val="19"/>
              </w:rPr>
              <w:t>Belzutifan</w:t>
            </w:r>
            <w:proofErr w:type="spellEnd"/>
            <w:r>
              <w:rPr>
                <w:rFonts w:cs="Arial"/>
                <w:szCs w:val="19"/>
              </w:rPr>
              <w:t xml:space="preserve"> (</w:t>
            </w:r>
            <w:proofErr w:type="spellStart"/>
            <w:r>
              <w:rPr>
                <w:rFonts w:cs="Arial"/>
                <w:i/>
                <w:iCs/>
                <w:szCs w:val="19"/>
              </w:rPr>
              <w:t>Welireg</w:t>
            </w:r>
            <w:proofErr w:type="spellEnd"/>
            <w:r>
              <w:rPr>
                <w:rFonts w:cs="Arial"/>
                <w:szCs w:val="19"/>
              </w:rPr>
              <w:t>)</w:t>
            </w:r>
          </w:p>
        </w:tc>
        <w:tc>
          <w:tcPr>
            <w:tcW w:w="3842" w:type="pct"/>
            <w:shd w:val="clear" w:color="auto" w:fill="auto"/>
            <w:tcMar>
              <w:top w:w="57" w:type="dxa"/>
              <w:bottom w:w="57" w:type="dxa"/>
            </w:tcMar>
          </w:tcPr>
          <w:p w14:paraId="5D9AC75F" w14:textId="5CF56449" w:rsidR="00FD3B30" w:rsidRDefault="00FD3B30" w:rsidP="00FD3B30">
            <w:pPr>
              <w:tabs>
                <w:tab w:val="center" w:pos="3152"/>
              </w:tabs>
              <w:rPr>
                <w:rFonts w:cs="Arial"/>
                <w:szCs w:val="19"/>
                <w:lang w:val="en-US"/>
              </w:rPr>
            </w:pPr>
            <w:r w:rsidRPr="00E15A39">
              <w:rPr>
                <w:rFonts w:cs="Arial"/>
                <w:szCs w:val="19"/>
                <w:lang w:val="en-US"/>
              </w:rPr>
              <w:t>Monotherapy for the treatment of adults with advanced clear cell renal cell carcinoma that progressed following two or more lines of therapy that included a PD-(L)1 inhibitor and at least two VEGF-targeted therapies</w:t>
            </w:r>
            <w:r>
              <w:rPr>
                <w:rFonts w:cs="Arial"/>
                <w:szCs w:val="19"/>
                <w:lang w:val="en-US"/>
              </w:rPr>
              <w:t xml:space="preserve"> </w:t>
            </w:r>
            <w:r w:rsidRPr="00E15A39">
              <w:rPr>
                <w:rFonts w:cs="Arial"/>
                <w:sz w:val="16"/>
                <w:szCs w:val="16"/>
                <w:lang w:val="en-US"/>
              </w:rPr>
              <w:t>[EU]</w:t>
            </w:r>
          </w:p>
        </w:tc>
      </w:tr>
      <w:tr w:rsidR="00FD3B30" w14:paraId="33611974" w14:textId="77777777" w:rsidTr="00690B8F">
        <w:tc>
          <w:tcPr>
            <w:tcW w:w="1158" w:type="pct"/>
            <w:gridSpan w:val="2"/>
            <w:shd w:val="clear" w:color="auto" w:fill="auto"/>
            <w:tcMar>
              <w:top w:w="57" w:type="dxa"/>
              <w:bottom w:w="57" w:type="dxa"/>
            </w:tcMar>
          </w:tcPr>
          <w:p w14:paraId="17004575" w14:textId="4D153CDB" w:rsidR="00FD3B30" w:rsidRPr="00E411E8" w:rsidRDefault="00FD3B30" w:rsidP="00FD3B30">
            <w:pPr>
              <w:rPr>
                <w:rFonts w:cs="Arial"/>
                <w:szCs w:val="19"/>
              </w:rPr>
            </w:pPr>
            <w:proofErr w:type="spellStart"/>
            <w:r w:rsidRPr="008D5969">
              <w:rPr>
                <w:rFonts w:cs="Arial"/>
                <w:szCs w:val="19"/>
              </w:rPr>
              <w:t>Belzutifan</w:t>
            </w:r>
            <w:proofErr w:type="spellEnd"/>
            <w:r>
              <w:rPr>
                <w:rFonts w:cs="Arial"/>
                <w:szCs w:val="19"/>
              </w:rPr>
              <w:t xml:space="preserve"> (</w:t>
            </w:r>
            <w:proofErr w:type="spellStart"/>
            <w:r>
              <w:rPr>
                <w:rFonts w:cs="Arial"/>
                <w:i/>
                <w:iCs/>
                <w:szCs w:val="19"/>
              </w:rPr>
              <w:t>Welireg</w:t>
            </w:r>
            <w:proofErr w:type="spellEnd"/>
            <w:r>
              <w:rPr>
                <w:rFonts w:cs="Arial"/>
                <w:szCs w:val="19"/>
              </w:rPr>
              <w:t>)</w:t>
            </w:r>
          </w:p>
        </w:tc>
        <w:tc>
          <w:tcPr>
            <w:tcW w:w="3842" w:type="pct"/>
            <w:shd w:val="clear" w:color="auto" w:fill="auto"/>
            <w:tcMar>
              <w:top w:w="57" w:type="dxa"/>
              <w:bottom w:w="57" w:type="dxa"/>
            </w:tcMar>
          </w:tcPr>
          <w:p w14:paraId="0075699B" w14:textId="42CC6C75" w:rsidR="00FD3B30" w:rsidRDefault="00FD3B30" w:rsidP="00FD3B30">
            <w:pPr>
              <w:tabs>
                <w:tab w:val="num" w:pos="720"/>
                <w:tab w:val="center" w:pos="3152"/>
              </w:tabs>
              <w:rPr>
                <w:rFonts w:cs="Arial"/>
                <w:szCs w:val="19"/>
                <w:lang w:val="en-US"/>
              </w:rPr>
            </w:pPr>
            <w:r w:rsidRPr="00413762">
              <w:rPr>
                <w:rFonts w:cs="Arial"/>
                <w:szCs w:val="19"/>
                <w:lang w:val="en-US"/>
              </w:rPr>
              <w:t xml:space="preserve">Monotherapy for the treatment of adults with von Hippel-Lindau disease who require therapy for associated, localised renal cell carcinoma, central nervous system </w:t>
            </w:r>
            <w:proofErr w:type="spellStart"/>
            <w:r w:rsidRPr="00413762">
              <w:rPr>
                <w:rFonts w:cs="Arial"/>
                <w:szCs w:val="19"/>
                <w:lang w:val="en-US"/>
              </w:rPr>
              <w:t>haemangioblastomas</w:t>
            </w:r>
            <w:proofErr w:type="spellEnd"/>
            <w:r w:rsidRPr="00413762">
              <w:rPr>
                <w:rFonts w:cs="Arial"/>
                <w:szCs w:val="19"/>
                <w:lang w:val="en-US"/>
              </w:rPr>
              <w:t xml:space="preserve">, or pancreatic neuroendocrine </w:t>
            </w:r>
            <w:proofErr w:type="spellStart"/>
            <w:r w:rsidRPr="00413762">
              <w:rPr>
                <w:rFonts w:cs="Arial"/>
                <w:szCs w:val="19"/>
                <w:lang w:val="en-US"/>
              </w:rPr>
              <w:t>tumours</w:t>
            </w:r>
            <w:proofErr w:type="spellEnd"/>
            <w:r w:rsidRPr="00413762">
              <w:rPr>
                <w:rFonts w:cs="Arial"/>
                <w:szCs w:val="19"/>
                <w:lang w:val="en-US"/>
              </w:rPr>
              <w:t>, and for whom localised procedures are unsuitable</w:t>
            </w:r>
            <w:r>
              <w:rPr>
                <w:rFonts w:cs="Arial"/>
                <w:szCs w:val="19"/>
                <w:lang w:val="en-US"/>
              </w:rPr>
              <w:t xml:space="preserve"> </w:t>
            </w:r>
            <w:r w:rsidRPr="00E15A39">
              <w:rPr>
                <w:rFonts w:cs="Arial"/>
                <w:sz w:val="16"/>
                <w:szCs w:val="16"/>
                <w:lang w:val="en-US"/>
              </w:rPr>
              <w:t>[EU]</w:t>
            </w:r>
            <w:r>
              <w:rPr>
                <w:rFonts w:cs="Arial"/>
                <w:sz w:val="16"/>
                <w:szCs w:val="16"/>
                <w:lang w:val="en-US"/>
              </w:rPr>
              <w:t xml:space="preserve"> </w:t>
            </w:r>
            <w:r>
              <w:rPr>
                <w:rFonts w:cs="Arial"/>
                <w:i/>
                <w:iCs/>
                <w:sz w:val="16"/>
                <w:szCs w:val="16"/>
                <w:lang w:val="en-US"/>
              </w:rPr>
              <w:t>Note: Already launched in UK</w:t>
            </w:r>
            <w:r w:rsidRPr="00E15A39">
              <w:rPr>
                <w:rFonts w:cs="Arial"/>
                <w:sz w:val="16"/>
                <w:szCs w:val="16"/>
                <w:lang w:val="en-US"/>
              </w:rPr>
              <w:t xml:space="preserve"> </w:t>
            </w:r>
          </w:p>
        </w:tc>
      </w:tr>
      <w:tr w:rsidR="00D35726" w14:paraId="6FF9AFDA" w14:textId="77777777" w:rsidTr="00690B8F">
        <w:tc>
          <w:tcPr>
            <w:tcW w:w="1158" w:type="pct"/>
            <w:gridSpan w:val="2"/>
            <w:shd w:val="clear" w:color="auto" w:fill="auto"/>
            <w:tcMar>
              <w:top w:w="57" w:type="dxa"/>
              <w:bottom w:w="57" w:type="dxa"/>
            </w:tcMar>
          </w:tcPr>
          <w:p w14:paraId="3683A8A7" w14:textId="5570BFA2" w:rsidR="00D35726" w:rsidRPr="008D5969" w:rsidRDefault="00D35726" w:rsidP="00D35726">
            <w:pPr>
              <w:rPr>
                <w:rFonts w:cs="Arial"/>
                <w:szCs w:val="19"/>
              </w:rPr>
            </w:pPr>
            <w:r w:rsidRPr="00830F8D">
              <w:rPr>
                <w:rFonts w:cs="Arial"/>
                <w:szCs w:val="19"/>
              </w:rPr>
              <w:t>Blinatumomab (</w:t>
            </w:r>
            <w:proofErr w:type="spellStart"/>
            <w:r w:rsidRPr="00830F8D">
              <w:rPr>
                <w:rFonts w:cs="Arial"/>
                <w:i/>
                <w:iCs/>
                <w:szCs w:val="19"/>
              </w:rPr>
              <w:t>Blincyto</w:t>
            </w:r>
            <w:proofErr w:type="spellEnd"/>
            <w:r w:rsidRPr="00830F8D">
              <w:rPr>
                <w:rFonts w:cs="Arial"/>
                <w:szCs w:val="19"/>
              </w:rPr>
              <w:t>)</w:t>
            </w:r>
          </w:p>
        </w:tc>
        <w:tc>
          <w:tcPr>
            <w:tcW w:w="3842" w:type="pct"/>
            <w:shd w:val="clear" w:color="auto" w:fill="auto"/>
            <w:tcMar>
              <w:top w:w="57" w:type="dxa"/>
              <w:bottom w:w="57" w:type="dxa"/>
            </w:tcMar>
          </w:tcPr>
          <w:p w14:paraId="73E9EB6D" w14:textId="6174815E" w:rsidR="00D35726" w:rsidRPr="00413762" w:rsidRDefault="00D35726" w:rsidP="00D35726">
            <w:pPr>
              <w:tabs>
                <w:tab w:val="num" w:pos="720"/>
                <w:tab w:val="center" w:pos="3152"/>
              </w:tabs>
              <w:rPr>
                <w:rFonts w:cs="Arial"/>
                <w:szCs w:val="19"/>
                <w:lang w:val="en-US"/>
              </w:rPr>
            </w:pPr>
            <w:r>
              <w:rPr>
                <w:rFonts w:cs="Arial"/>
                <w:szCs w:val="19"/>
                <w:lang w:val="en-US"/>
              </w:rPr>
              <w:t xml:space="preserve">Use as </w:t>
            </w:r>
            <w:r w:rsidRPr="00360D29">
              <w:rPr>
                <w:rFonts w:cs="Arial"/>
                <w:szCs w:val="19"/>
                <w:lang w:val="en-US"/>
              </w:rPr>
              <w:t xml:space="preserve">monotherapy as part of consolidation therapy for the treatment of adults with newly diagnosed Philadelphia chromosome negative CD19 positive B-cell precursor </w:t>
            </w:r>
            <w:r>
              <w:rPr>
                <w:rFonts w:cs="Arial"/>
                <w:szCs w:val="19"/>
                <w:lang w:val="en-US"/>
              </w:rPr>
              <w:t xml:space="preserve">acute lymphoblastic </w:t>
            </w:r>
            <w:proofErr w:type="spellStart"/>
            <w:r>
              <w:rPr>
                <w:rFonts w:cs="Arial"/>
                <w:szCs w:val="19"/>
                <w:lang w:val="en-US"/>
              </w:rPr>
              <w:t>leukaemia</w:t>
            </w:r>
            <w:proofErr w:type="spellEnd"/>
            <w:r>
              <w:rPr>
                <w:rFonts w:cs="Arial"/>
                <w:szCs w:val="19"/>
                <w:lang w:val="en-US"/>
              </w:rPr>
              <w:t xml:space="preserve"> </w:t>
            </w:r>
            <w:r w:rsidRPr="00E8418C">
              <w:rPr>
                <w:rFonts w:cs="Arial"/>
                <w:sz w:val="16"/>
                <w:szCs w:val="16"/>
                <w:lang w:val="en-US"/>
              </w:rPr>
              <w:t>[EU] [new indication]</w:t>
            </w:r>
          </w:p>
        </w:tc>
      </w:tr>
      <w:tr w:rsidR="00D35726" w14:paraId="50E187FB" w14:textId="77777777" w:rsidTr="00690B8F">
        <w:tc>
          <w:tcPr>
            <w:tcW w:w="1158" w:type="pct"/>
            <w:gridSpan w:val="2"/>
            <w:shd w:val="clear" w:color="auto" w:fill="auto"/>
            <w:tcMar>
              <w:top w:w="57" w:type="dxa"/>
              <w:bottom w:w="57" w:type="dxa"/>
            </w:tcMar>
          </w:tcPr>
          <w:p w14:paraId="58DC36C1" w14:textId="4D93D2FB" w:rsidR="00D35726" w:rsidRPr="008D5969" w:rsidRDefault="00D35726" w:rsidP="00D35726">
            <w:pPr>
              <w:rPr>
                <w:rFonts w:cs="Arial"/>
                <w:szCs w:val="19"/>
              </w:rPr>
            </w:pPr>
            <w:r w:rsidRPr="00830F8D">
              <w:rPr>
                <w:rFonts w:cs="Arial"/>
                <w:szCs w:val="19"/>
              </w:rPr>
              <w:t>Blinatumomab (</w:t>
            </w:r>
            <w:proofErr w:type="spellStart"/>
            <w:r w:rsidRPr="00830F8D">
              <w:rPr>
                <w:rFonts w:cs="Arial"/>
                <w:i/>
                <w:iCs/>
                <w:szCs w:val="19"/>
              </w:rPr>
              <w:t>Blincyto</w:t>
            </w:r>
            <w:proofErr w:type="spellEnd"/>
            <w:r w:rsidRPr="00830F8D">
              <w:rPr>
                <w:rFonts w:cs="Arial"/>
                <w:szCs w:val="19"/>
              </w:rPr>
              <w:t>)</w:t>
            </w:r>
          </w:p>
        </w:tc>
        <w:tc>
          <w:tcPr>
            <w:tcW w:w="3842" w:type="pct"/>
            <w:shd w:val="clear" w:color="auto" w:fill="auto"/>
            <w:tcMar>
              <w:top w:w="57" w:type="dxa"/>
              <w:bottom w:w="57" w:type="dxa"/>
            </w:tcMar>
          </w:tcPr>
          <w:p w14:paraId="3B11CD3D" w14:textId="77777777" w:rsidR="00D35726" w:rsidRDefault="00D35726" w:rsidP="00D35726">
            <w:pPr>
              <w:tabs>
                <w:tab w:val="center" w:pos="3152"/>
              </w:tabs>
              <w:rPr>
                <w:rFonts w:cs="Arial"/>
                <w:sz w:val="16"/>
                <w:szCs w:val="16"/>
                <w:lang w:val="en-US"/>
              </w:rPr>
            </w:pPr>
            <w:r>
              <w:rPr>
                <w:rFonts w:cs="Arial"/>
                <w:szCs w:val="19"/>
                <w:lang w:val="en-US"/>
              </w:rPr>
              <w:t>Use</w:t>
            </w:r>
            <w:r w:rsidRPr="00E8418C">
              <w:rPr>
                <w:rFonts w:cs="Arial"/>
                <w:szCs w:val="19"/>
                <w:lang w:val="en-US"/>
              </w:rPr>
              <w:t xml:space="preserve"> as monotherapy for the treatment of paediatric patients aged </w:t>
            </w:r>
            <w:r>
              <w:rPr>
                <w:rFonts w:cs="Arial"/>
                <w:szCs w:val="19"/>
                <w:lang w:val="en-US"/>
              </w:rPr>
              <w:t>≥</w:t>
            </w:r>
            <w:r w:rsidRPr="00E8418C">
              <w:rPr>
                <w:rFonts w:cs="Arial"/>
                <w:szCs w:val="19"/>
                <w:lang w:val="en-US"/>
              </w:rPr>
              <w:t>1 month with Philadelphia chromosome-negative CD19 positive B</w:t>
            </w:r>
            <w:r>
              <w:rPr>
                <w:rFonts w:cs="Arial"/>
                <w:szCs w:val="19"/>
                <w:lang w:val="en-US"/>
              </w:rPr>
              <w:t>-</w:t>
            </w:r>
            <w:r w:rsidRPr="00E8418C">
              <w:rPr>
                <w:rFonts w:cs="Arial"/>
                <w:szCs w:val="19"/>
                <w:lang w:val="en-US"/>
              </w:rPr>
              <w:t xml:space="preserve">cell precursor </w:t>
            </w:r>
            <w:r>
              <w:rPr>
                <w:rFonts w:cs="Arial"/>
                <w:szCs w:val="19"/>
                <w:lang w:val="en-US"/>
              </w:rPr>
              <w:t xml:space="preserve">acute lymphoblastic </w:t>
            </w:r>
            <w:proofErr w:type="spellStart"/>
            <w:r>
              <w:rPr>
                <w:rFonts w:cs="Arial"/>
                <w:szCs w:val="19"/>
                <w:lang w:val="en-US"/>
              </w:rPr>
              <w:t>leukaemia</w:t>
            </w:r>
            <w:proofErr w:type="spellEnd"/>
            <w:r w:rsidRPr="00E8418C">
              <w:rPr>
                <w:rFonts w:cs="Arial"/>
                <w:szCs w:val="19"/>
                <w:lang w:val="en-US"/>
              </w:rPr>
              <w:t xml:space="preserve"> which is refractory or in relapse after receiving at least two prior therapies or in relapse after receiving prior allogeneic haematopoietic stem cell transplantation</w:t>
            </w:r>
            <w:r>
              <w:rPr>
                <w:rFonts w:cs="Arial"/>
                <w:szCs w:val="19"/>
                <w:lang w:val="en-US"/>
              </w:rPr>
              <w:t xml:space="preserve"> </w:t>
            </w:r>
            <w:r w:rsidRPr="00357885">
              <w:rPr>
                <w:rFonts w:cs="Arial"/>
                <w:sz w:val="16"/>
                <w:szCs w:val="16"/>
                <w:lang w:val="en-US"/>
              </w:rPr>
              <w:t xml:space="preserve">[EU] </w:t>
            </w:r>
          </w:p>
          <w:p w14:paraId="132D6DFF" w14:textId="34FB5FC6" w:rsidR="00D35726" w:rsidRPr="00413762" w:rsidRDefault="00D35726" w:rsidP="00D35726">
            <w:pPr>
              <w:tabs>
                <w:tab w:val="num" w:pos="720"/>
                <w:tab w:val="center" w:pos="3152"/>
              </w:tabs>
              <w:rPr>
                <w:rFonts w:cs="Arial"/>
                <w:szCs w:val="19"/>
                <w:lang w:val="en-US"/>
              </w:rPr>
            </w:pPr>
            <w:r w:rsidRPr="00357885">
              <w:rPr>
                <w:rFonts w:cs="Arial"/>
                <w:sz w:val="16"/>
                <w:szCs w:val="16"/>
                <w:lang w:val="en-US"/>
              </w:rPr>
              <w:t>[licence change from use only in paediatric patients aged ≥1 year]</w:t>
            </w:r>
          </w:p>
        </w:tc>
      </w:tr>
      <w:tr w:rsidR="00D35726" w14:paraId="5C4AD07F" w14:textId="77777777" w:rsidTr="00690B8F">
        <w:tc>
          <w:tcPr>
            <w:tcW w:w="1158" w:type="pct"/>
            <w:gridSpan w:val="2"/>
            <w:shd w:val="clear" w:color="auto" w:fill="auto"/>
            <w:tcMar>
              <w:top w:w="57" w:type="dxa"/>
              <w:bottom w:w="57" w:type="dxa"/>
            </w:tcMar>
          </w:tcPr>
          <w:p w14:paraId="772A98CC" w14:textId="2A95F4C4" w:rsidR="00D35726" w:rsidRPr="008D5969" w:rsidRDefault="00D35726" w:rsidP="00D35726">
            <w:pPr>
              <w:rPr>
                <w:rFonts w:cs="Arial"/>
                <w:szCs w:val="19"/>
              </w:rPr>
            </w:pPr>
            <w:r w:rsidRPr="00830F8D">
              <w:rPr>
                <w:rFonts w:cs="Arial"/>
                <w:szCs w:val="19"/>
              </w:rPr>
              <w:t>Blinatumomab (</w:t>
            </w:r>
            <w:proofErr w:type="spellStart"/>
            <w:r w:rsidRPr="00830F8D">
              <w:rPr>
                <w:rFonts w:cs="Arial"/>
                <w:i/>
                <w:iCs/>
                <w:szCs w:val="19"/>
              </w:rPr>
              <w:t>Blincyto</w:t>
            </w:r>
            <w:proofErr w:type="spellEnd"/>
            <w:r w:rsidRPr="00830F8D">
              <w:rPr>
                <w:rFonts w:cs="Arial"/>
                <w:szCs w:val="19"/>
              </w:rPr>
              <w:t>)</w:t>
            </w:r>
          </w:p>
        </w:tc>
        <w:tc>
          <w:tcPr>
            <w:tcW w:w="3842" w:type="pct"/>
            <w:shd w:val="clear" w:color="auto" w:fill="auto"/>
            <w:tcMar>
              <w:top w:w="57" w:type="dxa"/>
              <w:bottom w:w="57" w:type="dxa"/>
            </w:tcMar>
          </w:tcPr>
          <w:p w14:paraId="55DBC1C4" w14:textId="77777777" w:rsidR="00D35726" w:rsidRDefault="00D35726" w:rsidP="00D35726">
            <w:pPr>
              <w:tabs>
                <w:tab w:val="center" w:pos="3152"/>
              </w:tabs>
              <w:rPr>
                <w:rFonts w:cs="Arial"/>
                <w:sz w:val="16"/>
                <w:szCs w:val="16"/>
                <w:lang w:val="en-US"/>
              </w:rPr>
            </w:pPr>
            <w:r>
              <w:rPr>
                <w:rFonts w:cs="Arial"/>
                <w:szCs w:val="19"/>
                <w:lang w:val="en-US"/>
              </w:rPr>
              <w:t>Use</w:t>
            </w:r>
            <w:r w:rsidRPr="00E8418C">
              <w:rPr>
                <w:rFonts w:cs="Arial"/>
                <w:szCs w:val="19"/>
                <w:lang w:val="en-US"/>
              </w:rPr>
              <w:t xml:space="preserve"> as monotherapy for the treatment of paediatric patients aged </w:t>
            </w:r>
            <w:r>
              <w:rPr>
                <w:rFonts w:cs="Arial"/>
                <w:szCs w:val="19"/>
                <w:lang w:val="en-US"/>
              </w:rPr>
              <w:t>≥</w:t>
            </w:r>
            <w:r w:rsidRPr="00E8418C">
              <w:rPr>
                <w:rFonts w:cs="Arial"/>
                <w:szCs w:val="19"/>
                <w:lang w:val="en-US"/>
              </w:rPr>
              <w:t xml:space="preserve">1 month with high-risk first relapsed Philadelphia chromosome-negative CD19 positive B-cell precursor </w:t>
            </w:r>
            <w:r>
              <w:rPr>
                <w:rFonts w:cs="Arial"/>
                <w:szCs w:val="19"/>
                <w:lang w:val="en-US"/>
              </w:rPr>
              <w:t xml:space="preserve">acute lymphoblastic </w:t>
            </w:r>
            <w:proofErr w:type="spellStart"/>
            <w:r>
              <w:rPr>
                <w:rFonts w:cs="Arial"/>
                <w:szCs w:val="19"/>
                <w:lang w:val="en-US"/>
              </w:rPr>
              <w:t>leukaemia</w:t>
            </w:r>
            <w:proofErr w:type="spellEnd"/>
            <w:r w:rsidRPr="00E8418C">
              <w:rPr>
                <w:rFonts w:cs="Arial"/>
                <w:szCs w:val="19"/>
                <w:lang w:val="en-US"/>
              </w:rPr>
              <w:t xml:space="preserve"> as part of the consolidation therapy</w:t>
            </w:r>
            <w:r>
              <w:rPr>
                <w:rFonts w:cs="Arial"/>
                <w:szCs w:val="19"/>
                <w:lang w:val="en-US"/>
              </w:rPr>
              <w:t xml:space="preserve"> </w:t>
            </w:r>
            <w:r w:rsidRPr="00357885">
              <w:rPr>
                <w:rFonts w:cs="Arial"/>
                <w:sz w:val="16"/>
                <w:szCs w:val="16"/>
                <w:lang w:val="en-US"/>
              </w:rPr>
              <w:t xml:space="preserve">[EU] </w:t>
            </w:r>
          </w:p>
          <w:p w14:paraId="3834CA8A" w14:textId="6AA56FBE" w:rsidR="00D35726" w:rsidRPr="00413762" w:rsidRDefault="00D35726" w:rsidP="00D35726">
            <w:pPr>
              <w:tabs>
                <w:tab w:val="num" w:pos="720"/>
                <w:tab w:val="center" w:pos="3152"/>
              </w:tabs>
              <w:rPr>
                <w:rFonts w:cs="Arial"/>
                <w:szCs w:val="19"/>
                <w:lang w:val="en-US"/>
              </w:rPr>
            </w:pPr>
            <w:r w:rsidRPr="00357885">
              <w:rPr>
                <w:rFonts w:cs="Arial"/>
                <w:sz w:val="16"/>
                <w:szCs w:val="16"/>
                <w:lang w:val="en-US"/>
              </w:rPr>
              <w:t>[licence change from use only in paediatric patients aged ≥1 year]</w:t>
            </w:r>
          </w:p>
        </w:tc>
      </w:tr>
      <w:tr w:rsidR="00D35726" w14:paraId="4D4ED086" w14:textId="77777777" w:rsidTr="00690B8F">
        <w:tc>
          <w:tcPr>
            <w:tcW w:w="1158" w:type="pct"/>
            <w:gridSpan w:val="2"/>
            <w:shd w:val="clear" w:color="auto" w:fill="auto"/>
            <w:tcMar>
              <w:top w:w="57" w:type="dxa"/>
              <w:bottom w:w="57" w:type="dxa"/>
            </w:tcMar>
          </w:tcPr>
          <w:p w14:paraId="3D2D731A" w14:textId="67BCA94F" w:rsidR="00D35726" w:rsidRPr="008D5969" w:rsidRDefault="00D35726" w:rsidP="00D35726">
            <w:pPr>
              <w:rPr>
                <w:rFonts w:cs="Arial"/>
                <w:szCs w:val="19"/>
              </w:rPr>
            </w:pPr>
            <w:r>
              <w:rPr>
                <w:rFonts w:cs="Arial"/>
                <w:szCs w:val="19"/>
              </w:rPr>
              <w:t>Cabotegravir (</w:t>
            </w:r>
            <w:proofErr w:type="spellStart"/>
            <w:r>
              <w:rPr>
                <w:rFonts w:cs="Arial"/>
                <w:i/>
                <w:iCs/>
                <w:szCs w:val="19"/>
              </w:rPr>
              <w:t>Vocabria</w:t>
            </w:r>
            <w:proofErr w:type="spellEnd"/>
            <w:r>
              <w:rPr>
                <w:rFonts w:cs="Arial"/>
                <w:szCs w:val="19"/>
              </w:rPr>
              <w:t>)</w:t>
            </w:r>
          </w:p>
        </w:tc>
        <w:tc>
          <w:tcPr>
            <w:tcW w:w="3842" w:type="pct"/>
            <w:shd w:val="clear" w:color="auto" w:fill="auto"/>
            <w:tcMar>
              <w:top w:w="57" w:type="dxa"/>
              <w:bottom w:w="57" w:type="dxa"/>
            </w:tcMar>
          </w:tcPr>
          <w:p w14:paraId="13A5738E" w14:textId="636EF5CC" w:rsidR="00D35726" w:rsidRPr="00413762" w:rsidRDefault="00D35726" w:rsidP="00A70754">
            <w:pPr>
              <w:tabs>
                <w:tab w:val="center" w:pos="3152"/>
              </w:tabs>
              <w:rPr>
                <w:rFonts w:cs="Arial"/>
                <w:szCs w:val="19"/>
                <w:lang w:val="en-US"/>
              </w:rPr>
            </w:pPr>
            <w:r w:rsidRPr="0021263C">
              <w:rPr>
                <w:rFonts w:cs="Arial"/>
                <w:szCs w:val="19"/>
                <w:lang w:val="en-US"/>
              </w:rPr>
              <w:t xml:space="preserve">Use in combination with </w:t>
            </w:r>
            <w:proofErr w:type="spellStart"/>
            <w:r w:rsidRPr="0021263C">
              <w:rPr>
                <w:rFonts w:cs="Arial"/>
                <w:szCs w:val="19"/>
                <w:lang w:val="en-US"/>
              </w:rPr>
              <w:t>rilpivirine</w:t>
            </w:r>
            <w:proofErr w:type="spellEnd"/>
            <w:r w:rsidRPr="0021263C">
              <w:rPr>
                <w:rFonts w:cs="Arial"/>
                <w:szCs w:val="19"/>
                <w:lang w:val="en-US"/>
              </w:rPr>
              <w:t xml:space="preserve"> tablets, for the short-term treatment of Human Immunodeficiency Virus type 1 (HIV-1) infection in adults and adolescents (</w:t>
            </w:r>
            <w:r>
              <w:rPr>
                <w:rFonts w:cs="Arial"/>
                <w:szCs w:val="19"/>
                <w:lang w:val="en-US"/>
              </w:rPr>
              <w:t>aged ≥</w:t>
            </w:r>
            <w:r w:rsidRPr="0021263C">
              <w:rPr>
                <w:rFonts w:cs="Arial"/>
                <w:szCs w:val="19"/>
                <w:lang w:val="en-US"/>
              </w:rPr>
              <w:t xml:space="preserve">12 years and weighing </w:t>
            </w:r>
            <w:r>
              <w:rPr>
                <w:rFonts w:cs="Arial"/>
                <w:szCs w:val="19"/>
                <w:lang w:val="en-US"/>
              </w:rPr>
              <w:t>≥</w:t>
            </w:r>
            <w:r w:rsidRPr="0021263C">
              <w:rPr>
                <w:rFonts w:cs="Arial"/>
                <w:szCs w:val="19"/>
                <w:lang w:val="en-US"/>
              </w:rPr>
              <w:t xml:space="preserve">35kg), who are virologically suppressed (HIV-1 RNA &lt;50 copies/mL) on a stable antiretroviral regimen without present or past evidence of viral resistance to, and no prior virological failure with agents of the non-nucleoside reverse transcriptase inhibitor and integrase inhibitor class for oral lead-in to assess tolerability of </w:t>
            </w:r>
            <w:proofErr w:type="spellStart"/>
            <w:r w:rsidRPr="0021263C">
              <w:rPr>
                <w:rFonts w:cs="Arial"/>
                <w:i/>
                <w:iCs/>
                <w:szCs w:val="19"/>
                <w:lang w:val="en-US"/>
              </w:rPr>
              <w:t>Vocabria</w:t>
            </w:r>
            <w:proofErr w:type="spellEnd"/>
            <w:r w:rsidRPr="0021263C">
              <w:rPr>
                <w:rFonts w:cs="Arial"/>
                <w:szCs w:val="19"/>
                <w:lang w:val="en-US"/>
              </w:rPr>
              <w:t xml:space="preserve"> and </w:t>
            </w:r>
            <w:proofErr w:type="spellStart"/>
            <w:r w:rsidRPr="0021263C">
              <w:rPr>
                <w:rFonts w:cs="Arial"/>
                <w:szCs w:val="19"/>
                <w:lang w:val="en-US"/>
              </w:rPr>
              <w:t>rilpivirine</w:t>
            </w:r>
            <w:proofErr w:type="spellEnd"/>
            <w:r w:rsidRPr="0021263C">
              <w:rPr>
                <w:rFonts w:cs="Arial"/>
                <w:szCs w:val="19"/>
                <w:lang w:val="en-US"/>
              </w:rPr>
              <w:t xml:space="preserve"> prior to administration of long acting cabotegravir injection plus long acting </w:t>
            </w:r>
            <w:proofErr w:type="spellStart"/>
            <w:r w:rsidRPr="0021263C">
              <w:rPr>
                <w:rFonts w:cs="Arial"/>
                <w:szCs w:val="19"/>
                <w:lang w:val="en-US"/>
              </w:rPr>
              <w:t>rilpivirine</w:t>
            </w:r>
            <w:proofErr w:type="spellEnd"/>
            <w:r w:rsidRPr="0021263C">
              <w:rPr>
                <w:rFonts w:cs="Arial"/>
                <w:szCs w:val="19"/>
                <w:lang w:val="en-US"/>
              </w:rPr>
              <w:t xml:space="preserve"> injection, and oral therapy for adults and adolescents who will miss planned dosing with cabotegravir injection plus </w:t>
            </w:r>
            <w:proofErr w:type="spellStart"/>
            <w:r w:rsidRPr="0021263C">
              <w:rPr>
                <w:rFonts w:cs="Arial"/>
                <w:szCs w:val="19"/>
                <w:lang w:val="en-US"/>
              </w:rPr>
              <w:t>rilpivirine</w:t>
            </w:r>
            <w:proofErr w:type="spellEnd"/>
            <w:r w:rsidRPr="0021263C">
              <w:rPr>
                <w:rFonts w:cs="Arial"/>
                <w:szCs w:val="19"/>
                <w:lang w:val="en-US"/>
              </w:rPr>
              <w:t xml:space="preserve"> injection</w:t>
            </w:r>
            <w:r>
              <w:rPr>
                <w:rFonts w:cs="Arial"/>
                <w:szCs w:val="19"/>
                <w:lang w:val="en-US"/>
              </w:rPr>
              <w:t xml:space="preserve"> </w:t>
            </w:r>
            <w:r w:rsidRPr="0021263C">
              <w:rPr>
                <w:rFonts w:cs="Arial"/>
                <w:sz w:val="16"/>
                <w:szCs w:val="16"/>
                <w:lang w:val="en-US"/>
              </w:rPr>
              <w:t>[EU] [</w:t>
            </w:r>
            <w:proofErr w:type="spellStart"/>
            <w:r w:rsidRPr="0021263C">
              <w:rPr>
                <w:rFonts w:cs="Arial"/>
                <w:sz w:val="16"/>
                <w:szCs w:val="16"/>
                <w:lang w:val="en-US"/>
              </w:rPr>
              <w:t>licence</w:t>
            </w:r>
            <w:proofErr w:type="spellEnd"/>
            <w:r w:rsidRPr="0021263C">
              <w:rPr>
                <w:rFonts w:cs="Arial"/>
                <w:sz w:val="16"/>
                <w:szCs w:val="16"/>
                <w:lang w:val="en-US"/>
              </w:rPr>
              <w:t xml:space="preserve"> change from use only in adults]</w:t>
            </w:r>
          </w:p>
        </w:tc>
      </w:tr>
      <w:tr w:rsidR="00D35726" w14:paraId="51C4AEA1" w14:textId="77777777" w:rsidTr="00690B8F">
        <w:tc>
          <w:tcPr>
            <w:tcW w:w="1158" w:type="pct"/>
            <w:gridSpan w:val="2"/>
            <w:shd w:val="clear" w:color="auto" w:fill="auto"/>
            <w:tcMar>
              <w:top w:w="57" w:type="dxa"/>
              <w:bottom w:w="57" w:type="dxa"/>
            </w:tcMar>
          </w:tcPr>
          <w:p w14:paraId="100BFD0D" w14:textId="674E8A3E" w:rsidR="00D35726" w:rsidRPr="008D5969" w:rsidRDefault="00D35726" w:rsidP="00D35726">
            <w:pPr>
              <w:rPr>
                <w:rFonts w:cs="Arial"/>
                <w:szCs w:val="19"/>
              </w:rPr>
            </w:pPr>
            <w:r>
              <w:rPr>
                <w:rFonts w:cs="Arial"/>
                <w:szCs w:val="19"/>
              </w:rPr>
              <w:t>Cabotegravir (</w:t>
            </w:r>
            <w:proofErr w:type="spellStart"/>
            <w:r>
              <w:rPr>
                <w:rFonts w:cs="Arial"/>
                <w:i/>
                <w:iCs/>
                <w:szCs w:val="19"/>
              </w:rPr>
              <w:t>Vocabria</w:t>
            </w:r>
            <w:proofErr w:type="spellEnd"/>
            <w:r>
              <w:rPr>
                <w:rFonts w:cs="Arial"/>
                <w:szCs w:val="19"/>
              </w:rPr>
              <w:t>)</w:t>
            </w:r>
          </w:p>
        </w:tc>
        <w:tc>
          <w:tcPr>
            <w:tcW w:w="3842" w:type="pct"/>
            <w:shd w:val="clear" w:color="auto" w:fill="auto"/>
            <w:tcMar>
              <w:top w:w="57" w:type="dxa"/>
              <w:bottom w:w="57" w:type="dxa"/>
            </w:tcMar>
          </w:tcPr>
          <w:p w14:paraId="36F78C0D" w14:textId="4B1A563F" w:rsidR="00D35726" w:rsidRPr="00413762" w:rsidRDefault="00D35726" w:rsidP="00D35726">
            <w:pPr>
              <w:tabs>
                <w:tab w:val="num" w:pos="720"/>
                <w:tab w:val="center" w:pos="3152"/>
              </w:tabs>
              <w:rPr>
                <w:rFonts w:cs="Arial"/>
                <w:szCs w:val="19"/>
                <w:lang w:val="en-US"/>
              </w:rPr>
            </w:pPr>
            <w:r w:rsidRPr="00A9634D">
              <w:rPr>
                <w:rFonts w:cs="Arial"/>
                <w:szCs w:val="19"/>
                <w:lang w:val="en-US"/>
              </w:rPr>
              <w:t xml:space="preserve">Use in combination with </w:t>
            </w:r>
            <w:proofErr w:type="spellStart"/>
            <w:r w:rsidRPr="00A9634D">
              <w:rPr>
                <w:rFonts w:cs="Arial"/>
                <w:szCs w:val="19"/>
                <w:lang w:val="en-US"/>
              </w:rPr>
              <w:t>rilpivirine</w:t>
            </w:r>
            <w:proofErr w:type="spellEnd"/>
            <w:r w:rsidRPr="00A9634D">
              <w:rPr>
                <w:rFonts w:cs="Arial"/>
                <w:szCs w:val="19"/>
                <w:lang w:val="en-US"/>
              </w:rPr>
              <w:t xml:space="preserve"> injection, for the treatment of Human Immunodeficiency Virus type 1 (HIV-1) infection in adults and adolescents (</w:t>
            </w:r>
            <w:r>
              <w:rPr>
                <w:rFonts w:cs="Arial"/>
                <w:szCs w:val="19"/>
                <w:lang w:val="en-US"/>
              </w:rPr>
              <w:t>aged</w:t>
            </w:r>
            <w:r w:rsidRPr="00A9634D">
              <w:rPr>
                <w:rFonts w:cs="Arial"/>
                <w:szCs w:val="19"/>
                <w:lang w:val="en-US"/>
              </w:rPr>
              <w:t xml:space="preserve"> </w:t>
            </w:r>
            <w:r>
              <w:rPr>
                <w:rFonts w:cs="Arial"/>
                <w:szCs w:val="19"/>
                <w:lang w:val="en-US"/>
              </w:rPr>
              <w:t>≥</w:t>
            </w:r>
            <w:r w:rsidRPr="00A9634D">
              <w:rPr>
                <w:rFonts w:cs="Arial"/>
                <w:szCs w:val="19"/>
                <w:lang w:val="en-US"/>
              </w:rPr>
              <w:t xml:space="preserve">12 years and weighing </w:t>
            </w:r>
            <w:r>
              <w:rPr>
                <w:rFonts w:cs="Arial"/>
                <w:szCs w:val="19"/>
                <w:lang w:val="en-US"/>
              </w:rPr>
              <w:t>≥</w:t>
            </w:r>
            <w:r w:rsidRPr="00A9634D">
              <w:rPr>
                <w:rFonts w:cs="Arial"/>
                <w:szCs w:val="19"/>
                <w:lang w:val="en-US"/>
              </w:rPr>
              <w:t>35kg), who are virologically suppressed (HIV-1 RNA &lt;50 copies/mL) on a stable antiretroviral regimen without present or past evidence of viral resistance to, and no prior virological failure with agents of the non-nucleoside reverse transcriptase inhibitor and integrase inhibitor class</w:t>
            </w:r>
            <w:r>
              <w:rPr>
                <w:rFonts w:cs="Arial"/>
                <w:szCs w:val="19"/>
                <w:lang w:val="en-US"/>
              </w:rPr>
              <w:t xml:space="preserve"> </w:t>
            </w:r>
            <w:r w:rsidRPr="0021263C">
              <w:rPr>
                <w:rFonts w:cs="Arial"/>
                <w:sz w:val="16"/>
                <w:szCs w:val="16"/>
                <w:lang w:val="en-US"/>
              </w:rPr>
              <w:t>[EU] [licence change from use only in adults]</w:t>
            </w:r>
          </w:p>
        </w:tc>
      </w:tr>
      <w:tr w:rsidR="00D35726" w14:paraId="4C8A66D6" w14:textId="77777777" w:rsidTr="00690B8F">
        <w:tc>
          <w:tcPr>
            <w:tcW w:w="1158" w:type="pct"/>
            <w:gridSpan w:val="2"/>
            <w:shd w:val="clear" w:color="auto" w:fill="auto"/>
            <w:tcMar>
              <w:top w:w="57" w:type="dxa"/>
              <w:bottom w:w="57" w:type="dxa"/>
            </w:tcMar>
          </w:tcPr>
          <w:p w14:paraId="016C4383" w14:textId="71BF7103" w:rsidR="00D35726" w:rsidRPr="008D5969" w:rsidRDefault="00D35726" w:rsidP="00D35726">
            <w:pPr>
              <w:rPr>
                <w:rFonts w:cs="Arial"/>
                <w:szCs w:val="19"/>
              </w:rPr>
            </w:pPr>
            <w:r>
              <w:rPr>
                <w:rFonts w:cs="Arial"/>
                <w:szCs w:val="19"/>
              </w:rPr>
              <w:t>Denosumab biosimilar (</w:t>
            </w:r>
            <w:proofErr w:type="spellStart"/>
            <w:r w:rsidRPr="004C2F9B">
              <w:rPr>
                <w:rFonts w:cs="Arial"/>
                <w:i/>
                <w:iCs/>
                <w:szCs w:val="19"/>
              </w:rPr>
              <w:t>Osenvelt</w:t>
            </w:r>
            <w:proofErr w:type="spellEnd"/>
            <w:r>
              <w:rPr>
                <w:rFonts w:cs="Arial"/>
                <w:szCs w:val="19"/>
              </w:rPr>
              <w:t>)</w:t>
            </w:r>
          </w:p>
        </w:tc>
        <w:tc>
          <w:tcPr>
            <w:tcW w:w="3842" w:type="pct"/>
            <w:shd w:val="clear" w:color="auto" w:fill="auto"/>
            <w:tcMar>
              <w:top w:w="57" w:type="dxa"/>
              <w:bottom w:w="57" w:type="dxa"/>
            </w:tcMar>
          </w:tcPr>
          <w:p w14:paraId="3166B715" w14:textId="585F6CBC" w:rsidR="00D35726" w:rsidRPr="00413762" w:rsidRDefault="00D35726" w:rsidP="00D35726">
            <w:pPr>
              <w:tabs>
                <w:tab w:val="num" w:pos="720"/>
                <w:tab w:val="center" w:pos="3152"/>
              </w:tabs>
              <w:rPr>
                <w:rFonts w:cs="Arial"/>
                <w:szCs w:val="19"/>
                <w:lang w:val="en-US"/>
              </w:rPr>
            </w:pPr>
            <w:r>
              <w:rPr>
                <w:rFonts w:cs="Arial"/>
                <w:szCs w:val="19"/>
                <w:lang w:val="en-US"/>
              </w:rPr>
              <w:t>P</w:t>
            </w:r>
            <w:r w:rsidRPr="008F2C3A">
              <w:rPr>
                <w:rFonts w:cs="Arial"/>
                <w:szCs w:val="19"/>
                <w:lang w:val="en-US"/>
              </w:rPr>
              <w:t>revention of skeletal related events (pathological fracture, radiation to bone, spinal cord compression or surgery to bone) in adults with advanced malignancies involving bone, and treatment of adults and skeletally mature adolescents with giant cell tumour of bone that is unresectable or where surgical resection is likely to result in severe morbidity</w:t>
            </w:r>
            <w:r>
              <w:rPr>
                <w:rFonts w:cs="Arial"/>
                <w:szCs w:val="19"/>
                <w:lang w:val="en-US"/>
              </w:rPr>
              <w:t xml:space="preserve"> </w:t>
            </w:r>
            <w:r w:rsidRPr="007D7D60">
              <w:rPr>
                <w:rFonts w:cs="Arial"/>
                <w:sz w:val="16"/>
                <w:szCs w:val="16"/>
                <w:lang w:val="en-US"/>
              </w:rPr>
              <w:t>[EU]</w:t>
            </w:r>
          </w:p>
        </w:tc>
      </w:tr>
      <w:tr w:rsidR="00D35726" w14:paraId="54945940" w14:textId="77777777" w:rsidTr="00690B8F">
        <w:tc>
          <w:tcPr>
            <w:tcW w:w="1158" w:type="pct"/>
            <w:gridSpan w:val="2"/>
            <w:shd w:val="clear" w:color="auto" w:fill="auto"/>
            <w:tcMar>
              <w:top w:w="57" w:type="dxa"/>
              <w:bottom w:w="57" w:type="dxa"/>
            </w:tcMar>
          </w:tcPr>
          <w:p w14:paraId="74980CA6" w14:textId="5FDB50D2" w:rsidR="00D35726" w:rsidRPr="008D5969" w:rsidRDefault="00D35726" w:rsidP="00D35726">
            <w:pPr>
              <w:rPr>
                <w:rFonts w:cs="Arial"/>
                <w:szCs w:val="19"/>
              </w:rPr>
            </w:pPr>
            <w:r>
              <w:rPr>
                <w:rFonts w:cs="Arial"/>
                <w:szCs w:val="19"/>
              </w:rPr>
              <w:t>Denosumab biosimilar (</w:t>
            </w:r>
            <w:proofErr w:type="spellStart"/>
            <w:r w:rsidRPr="003D5368">
              <w:rPr>
                <w:rFonts w:cs="Arial"/>
                <w:i/>
                <w:iCs/>
                <w:szCs w:val="19"/>
              </w:rPr>
              <w:t>Stoboclo</w:t>
            </w:r>
            <w:proofErr w:type="spellEnd"/>
            <w:r>
              <w:rPr>
                <w:rFonts w:cs="Arial"/>
                <w:szCs w:val="19"/>
              </w:rPr>
              <w:t>)</w:t>
            </w:r>
          </w:p>
        </w:tc>
        <w:tc>
          <w:tcPr>
            <w:tcW w:w="3842" w:type="pct"/>
            <w:shd w:val="clear" w:color="auto" w:fill="auto"/>
            <w:tcMar>
              <w:top w:w="57" w:type="dxa"/>
              <w:bottom w:w="57" w:type="dxa"/>
            </w:tcMar>
          </w:tcPr>
          <w:p w14:paraId="082A29DB" w14:textId="7BB87109" w:rsidR="00D35726" w:rsidRPr="00413762" w:rsidRDefault="00D35726" w:rsidP="00D35726">
            <w:pPr>
              <w:tabs>
                <w:tab w:val="num" w:pos="720"/>
                <w:tab w:val="center" w:pos="3152"/>
              </w:tabs>
              <w:rPr>
                <w:rFonts w:cs="Arial"/>
                <w:szCs w:val="19"/>
                <w:lang w:val="en-US"/>
              </w:rPr>
            </w:pPr>
            <w:r w:rsidRPr="00853B5A">
              <w:rPr>
                <w:rFonts w:cs="Arial"/>
                <w:szCs w:val="19"/>
                <w:lang w:val="en-US"/>
              </w:rPr>
              <w:t>Treatment of osteoporosis in postmenopausal women and in men at increased risk of fractures</w:t>
            </w:r>
            <w:r>
              <w:rPr>
                <w:rFonts w:cs="Arial"/>
                <w:szCs w:val="19"/>
                <w:lang w:val="en-US"/>
              </w:rPr>
              <w:t>,</w:t>
            </w:r>
            <w:r w:rsidRPr="00853B5A">
              <w:rPr>
                <w:rFonts w:cs="Arial"/>
                <w:szCs w:val="19"/>
                <w:lang w:val="en-US"/>
              </w:rPr>
              <w:t xml:space="preserve"> treatment of bone loss associated with hormone ablation in men with prostate cancer at increased risk of fractures</w:t>
            </w:r>
            <w:r>
              <w:rPr>
                <w:rFonts w:cs="Arial"/>
                <w:szCs w:val="19"/>
                <w:lang w:val="en-US"/>
              </w:rPr>
              <w:t xml:space="preserve">, </w:t>
            </w:r>
            <w:r w:rsidRPr="00853B5A">
              <w:rPr>
                <w:rFonts w:cs="Arial"/>
                <w:szCs w:val="19"/>
                <w:lang w:val="en-US"/>
              </w:rPr>
              <w:t>and treatment of bone loss associated with long-term systemic glucocorticoid therapy in adult patients at increased risk of fracture</w:t>
            </w:r>
            <w:r>
              <w:rPr>
                <w:rFonts w:cs="Arial"/>
                <w:szCs w:val="19"/>
                <w:lang w:val="en-US"/>
              </w:rPr>
              <w:t xml:space="preserve"> </w:t>
            </w:r>
            <w:r w:rsidRPr="007D7D60">
              <w:rPr>
                <w:rFonts w:cs="Arial"/>
                <w:sz w:val="16"/>
                <w:szCs w:val="16"/>
                <w:lang w:val="en-US"/>
              </w:rPr>
              <w:t>[EU]</w:t>
            </w:r>
          </w:p>
        </w:tc>
      </w:tr>
      <w:tr w:rsidR="00D35726" w:rsidRPr="000F19E1" w14:paraId="41A4AED4" w14:textId="77777777" w:rsidTr="00690B8F">
        <w:tc>
          <w:tcPr>
            <w:tcW w:w="1158" w:type="pct"/>
            <w:gridSpan w:val="2"/>
            <w:shd w:val="clear" w:color="auto" w:fill="auto"/>
            <w:tcMar>
              <w:top w:w="0" w:type="dxa"/>
              <w:bottom w:w="0" w:type="dxa"/>
            </w:tcMar>
          </w:tcPr>
          <w:p w14:paraId="23E6E1DB" w14:textId="77777777" w:rsidR="00D35726" w:rsidRPr="000F19E1" w:rsidRDefault="00D35726" w:rsidP="00D35726">
            <w:pPr>
              <w:rPr>
                <w:rFonts w:cs="Arial"/>
                <w:bCs/>
                <w:sz w:val="8"/>
                <w:szCs w:val="8"/>
              </w:rPr>
            </w:pPr>
          </w:p>
        </w:tc>
        <w:tc>
          <w:tcPr>
            <w:tcW w:w="3842" w:type="pct"/>
            <w:shd w:val="clear" w:color="auto" w:fill="auto"/>
            <w:tcMar>
              <w:top w:w="0" w:type="dxa"/>
              <w:bottom w:w="0" w:type="dxa"/>
            </w:tcMar>
          </w:tcPr>
          <w:p w14:paraId="6B734ED8" w14:textId="77777777" w:rsidR="00D35726" w:rsidRPr="000F19E1" w:rsidRDefault="00D35726" w:rsidP="00D35726">
            <w:pPr>
              <w:tabs>
                <w:tab w:val="center" w:pos="3152"/>
              </w:tabs>
              <w:rPr>
                <w:rFonts w:cs="Arial"/>
                <w:sz w:val="8"/>
                <w:szCs w:val="8"/>
                <w:lang w:val="en-US"/>
              </w:rPr>
            </w:pPr>
          </w:p>
        </w:tc>
      </w:tr>
      <w:tr w:rsidR="00D35726" w:rsidRPr="000F19E1" w14:paraId="32551D09" w14:textId="77777777" w:rsidTr="00D6452A">
        <w:tc>
          <w:tcPr>
            <w:tcW w:w="1152" w:type="pct"/>
            <w:shd w:val="clear" w:color="auto" w:fill="DAEEF3"/>
            <w:tcMar>
              <w:top w:w="0" w:type="dxa"/>
              <w:bottom w:w="0" w:type="dxa"/>
            </w:tcMar>
          </w:tcPr>
          <w:p w14:paraId="65D3C651" w14:textId="77777777" w:rsidR="00D35726" w:rsidRPr="000F19E1" w:rsidRDefault="00D35726" w:rsidP="00D35726">
            <w:pPr>
              <w:rPr>
                <w:rFonts w:cs="Arial"/>
                <w:bCs/>
                <w:sz w:val="8"/>
                <w:szCs w:val="8"/>
              </w:rPr>
            </w:pPr>
          </w:p>
        </w:tc>
        <w:tc>
          <w:tcPr>
            <w:tcW w:w="3848" w:type="pct"/>
            <w:gridSpan w:val="2"/>
            <w:shd w:val="clear" w:color="auto" w:fill="DAEEF3"/>
            <w:tcMar>
              <w:top w:w="0" w:type="dxa"/>
              <w:bottom w:w="0" w:type="dxa"/>
            </w:tcMar>
          </w:tcPr>
          <w:p w14:paraId="086C0053" w14:textId="77777777" w:rsidR="00D35726" w:rsidRPr="000F19E1" w:rsidRDefault="00D35726" w:rsidP="00D35726">
            <w:pPr>
              <w:tabs>
                <w:tab w:val="center" w:pos="3152"/>
              </w:tabs>
              <w:rPr>
                <w:rFonts w:cs="Arial"/>
                <w:sz w:val="8"/>
                <w:szCs w:val="8"/>
                <w:lang w:val="en-US"/>
              </w:rPr>
            </w:pPr>
          </w:p>
        </w:tc>
      </w:tr>
    </w:tbl>
    <w:p w14:paraId="0647B48B" w14:textId="77777777" w:rsidR="0048777D" w:rsidRDefault="0048777D"/>
    <w:p w14:paraId="07E5FCE9" w14:textId="77777777" w:rsidR="0048777D" w:rsidRDefault="0048777D">
      <w:r>
        <w:br w:type="page"/>
      </w:r>
    </w:p>
    <w:p w14:paraId="1D2423E7" w14:textId="77777777" w:rsidR="0048777D" w:rsidRDefault="0048777D"/>
    <w:tbl>
      <w:tblPr>
        <w:tblW w:w="5170" w:type="pct"/>
        <w:tblInd w:w="-176" w:type="dxa"/>
        <w:tblLayout w:type="fixed"/>
        <w:tblLook w:val="01E0" w:firstRow="1" w:lastRow="1" w:firstColumn="1" w:lastColumn="1" w:noHBand="0" w:noVBand="0"/>
      </w:tblPr>
      <w:tblGrid>
        <w:gridCol w:w="2430"/>
        <w:gridCol w:w="298"/>
        <w:gridCol w:w="7823"/>
      </w:tblGrid>
      <w:tr w:rsidR="00D35726" w:rsidRPr="00862949" w14:paraId="35A8D1DB" w14:textId="77777777" w:rsidTr="009F0C3A">
        <w:tc>
          <w:tcPr>
            <w:tcW w:w="5000" w:type="pct"/>
            <w:gridSpan w:val="3"/>
            <w:shd w:val="clear" w:color="auto" w:fill="0070C0"/>
            <w:tcMar>
              <w:top w:w="85" w:type="dxa"/>
              <w:bottom w:w="85" w:type="dxa"/>
            </w:tcMar>
            <w:vAlign w:val="bottom"/>
          </w:tcPr>
          <w:p w14:paraId="5A381C76" w14:textId="77777777" w:rsidR="00D35726" w:rsidRPr="00862949" w:rsidRDefault="00D35726" w:rsidP="009F0C3A">
            <w:pPr>
              <w:rPr>
                <w:rFonts w:cs="Arial"/>
                <w:color w:val="FFFFFF"/>
                <w:sz w:val="15"/>
                <w:szCs w:val="15"/>
              </w:rPr>
            </w:pPr>
            <w:r w:rsidRPr="00862949">
              <w:rPr>
                <w:rFonts w:cs="Arial"/>
                <w:b/>
                <w:bCs/>
                <w:iCs/>
                <w:color w:val="FFFFFF"/>
                <w:sz w:val="28"/>
                <w:szCs w:val="28"/>
                <w:lang w:val="en-US"/>
              </w:rPr>
              <w:t xml:space="preserve">Regulatory changes in the </w:t>
            </w:r>
            <w:r>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D35726" w:rsidRPr="000F19E1" w14:paraId="1FCB0A04" w14:textId="77777777" w:rsidTr="009F0C3A">
        <w:tc>
          <w:tcPr>
            <w:tcW w:w="1152" w:type="pct"/>
            <w:shd w:val="clear" w:color="auto" w:fill="DAEEF3"/>
            <w:tcMar>
              <w:top w:w="0" w:type="dxa"/>
              <w:bottom w:w="0" w:type="dxa"/>
            </w:tcMar>
          </w:tcPr>
          <w:p w14:paraId="2887831F" w14:textId="77777777" w:rsidR="00D35726" w:rsidRPr="000F19E1" w:rsidRDefault="00D35726" w:rsidP="009F0C3A">
            <w:pPr>
              <w:rPr>
                <w:rFonts w:cs="Arial"/>
                <w:bCs/>
                <w:sz w:val="8"/>
                <w:szCs w:val="8"/>
              </w:rPr>
            </w:pPr>
          </w:p>
        </w:tc>
        <w:tc>
          <w:tcPr>
            <w:tcW w:w="3848" w:type="pct"/>
            <w:gridSpan w:val="2"/>
            <w:shd w:val="clear" w:color="auto" w:fill="DAEEF3"/>
            <w:tcMar>
              <w:top w:w="0" w:type="dxa"/>
              <w:bottom w:w="0" w:type="dxa"/>
            </w:tcMar>
          </w:tcPr>
          <w:p w14:paraId="71BDF774" w14:textId="77777777" w:rsidR="00D35726" w:rsidRPr="000F19E1" w:rsidRDefault="00D35726" w:rsidP="009F0C3A">
            <w:pPr>
              <w:tabs>
                <w:tab w:val="center" w:pos="3152"/>
              </w:tabs>
              <w:rPr>
                <w:rFonts w:cs="Arial"/>
                <w:sz w:val="8"/>
                <w:szCs w:val="8"/>
                <w:lang w:val="en-US"/>
              </w:rPr>
            </w:pPr>
          </w:p>
        </w:tc>
      </w:tr>
      <w:tr w:rsidR="00D35726" w:rsidRPr="00433D3E" w14:paraId="3AACB70C" w14:textId="77777777" w:rsidTr="009F0C3A">
        <w:tc>
          <w:tcPr>
            <w:tcW w:w="5000" w:type="pct"/>
            <w:gridSpan w:val="3"/>
            <w:shd w:val="clear" w:color="auto" w:fill="00B050"/>
            <w:tcMar>
              <w:top w:w="57" w:type="dxa"/>
              <w:bottom w:w="57" w:type="dxa"/>
            </w:tcMar>
          </w:tcPr>
          <w:p w14:paraId="4B4BEC15" w14:textId="77777777" w:rsidR="00D35726" w:rsidRPr="0021490D" w:rsidRDefault="00D35726" w:rsidP="009F0C3A">
            <w:pPr>
              <w:rPr>
                <w:rFonts w:cs="Arial"/>
                <w:noProof/>
                <w:color w:val="FFFFFF"/>
                <w:sz w:val="16"/>
                <w:szCs w:val="16"/>
              </w:rPr>
            </w:pPr>
            <w:r>
              <w:rPr>
                <w:rFonts w:cs="Arial"/>
                <w:b/>
                <w:bCs/>
                <w:i/>
                <w:iCs/>
                <w:color w:val="FFFFFF"/>
                <w:sz w:val="22"/>
                <w:szCs w:val="20"/>
                <w:lang w:val="en-US"/>
              </w:rPr>
              <w:t xml:space="preserve">Recommended for approval in </w:t>
            </w:r>
            <w:r w:rsidRPr="00433D3E">
              <w:rPr>
                <w:rFonts w:cs="Arial"/>
                <w:b/>
                <w:bCs/>
                <w:i/>
                <w:iCs/>
                <w:color w:val="FFFFFF"/>
                <w:sz w:val="22"/>
                <w:szCs w:val="20"/>
                <w:lang w:val="en-US"/>
              </w:rPr>
              <w:t xml:space="preserve">the </w:t>
            </w:r>
            <w:r>
              <w:rPr>
                <w:rFonts w:cs="Arial"/>
                <w:b/>
                <w:bCs/>
                <w:i/>
                <w:iCs/>
                <w:color w:val="FFFFFF"/>
                <w:sz w:val="22"/>
                <w:szCs w:val="20"/>
                <w:lang w:val="en-US"/>
              </w:rPr>
              <w:t xml:space="preserve">UK or </w:t>
            </w:r>
            <w:r w:rsidRPr="00433D3E">
              <w:rPr>
                <w:rFonts w:cs="Arial"/>
                <w:b/>
                <w:bCs/>
                <w:i/>
                <w:iCs/>
                <w:color w:val="FFFFFF"/>
                <w:sz w:val="22"/>
                <w:szCs w:val="20"/>
                <w:lang w:val="en-US"/>
              </w:rPr>
              <w:t>EU</w:t>
            </w:r>
            <w:r>
              <w:rPr>
                <w:rFonts w:cs="Arial"/>
                <w:b/>
                <w:bCs/>
                <w:i/>
                <w:iCs/>
                <w:color w:val="FFFFFF"/>
                <w:sz w:val="22"/>
                <w:szCs w:val="20"/>
                <w:lang w:val="en-US"/>
              </w:rPr>
              <w:t xml:space="preserve"> </w:t>
            </w:r>
            <w:r w:rsidRPr="0021490D">
              <w:rPr>
                <w:rFonts w:cs="Arial"/>
                <w:b/>
                <w:bCs/>
                <w:color w:val="FFFFFF"/>
                <w:sz w:val="16"/>
                <w:szCs w:val="14"/>
                <w:lang w:val="en-US"/>
              </w:rPr>
              <w:t>(continued)</w:t>
            </w:r>
          </w:p>
        </w:tc>
      </w:tr>
      <w:tr w:rsidR="00D35726" w:rsidRPr="00A075A3" w14:paraId="4F5428FB" w14:textId="77777777" w:rsidTr="009F0C3A">
        <w:tc>
          <w:tcPr>
            <w:tcW w:w="1293" w:type="pct"/>
            <w:gridSpan w:val="2"/>
            <w:shd w:val="clear" w:color="auto" w:fill="auto"/>
            <w:tcMar>
              <w:top w:w="57" w:type="dxa"/>
              <w:bottom w:w="57" w:type="dxa"/>
            </w:tcMar>
          </w:tcPr>
          <w:p w14:paraId="0EF723E6" w14:textId="77777777" w:rsidR="00D35726" w:rsidRPr="00E4535C" w:rsidRDefault="00D35726" w:rsidP="009F0C3A">
            <w:pPr>
              <w:rPr>
                <w:rFonts w:cs="Arial"/>
                <w:i/>
                <w:iCs/>
                <w:szCs w:val="19"/>
              </w:rPr>
            </w:pPr>
            <w:proofErr w:type="spellStart"/>
            <w:r w:rsidRPr="00E4535C">
              <w:rPr>
                <w:rFonts w:cs="Arial"/>
                <w:szCs w:val="19"/>
              </w:rPr>
              <w:t>Dostarlimab</w:t>
            </w:r>
            <w:proofErr w:type="spellEnd"/>
            <w:r>
              <w:rPr>
                <w:rFonts w:cs="Arial"/>
                <w:szCs w:val="19"/>
              </w:rPr>
              <w:t xml:space="preserve"> (</w:t>
            </w:r>
            <w:proofErr w:type="spellStart"/>
            <w:r w:rsidRPr="00E4535C">
              <w:rPr>
                <w:rFonts w:cs="Arial"/>
                <w:i/>
                <w:iCs/>
                <w:szCs w:val="19"/>
              </w:rPr>
              <w:t>Jemperli</w:t>
            </w:r>
            <w:proofErr w:type="spellEnd"/>
            <w:r>
              <w:rPr>
                <w:rFonts w:cs="Arial"/>
                <w:szCs w:val="19"/>
              </w:rPr>
              <w:t>)</w:t>
            </w:r>
          </w:p>
        </w:tc>
        <w:tc>
          <w:tcPr>
            <w:tcW w:w="3707" w:type="pct"/>
            <w:shd w:val="clear" w:color="auto" w:fill="auto"/>
            <w:tcMar>
              <w:top w:w="57" w:type="dxa"/>
              <w:bottom w:w="57" w:type="dxa"/>
            </w:tcMar>
          </w:tcPr>
          <w:p w14:paraId="3A28EE8B" w14:textId="77777777" w:rsidR="00D35726" w:rsidRPr="00A9245B" w:rsidRDefault="00D35726" w:rsidP="009F0C3A">
            <w:pPr>
              <w:tabs>
                <w:tab w:val="center" w:pos="3152"/>
              </w:tabs>
              <w:rPr>
                <w:rFonts w:cs="Arial"/>
                <w:szCs w:val="19"/>
                <w:lang w:val="en-US"/>
              </w:rPr>
            </w:pPr>
            <w:r>
              <w:rPr>
                <w:rFonts w:cs="Arial"/>
                <w:szCs w:val="19"/>
                <w:lang w:val="en-US"/>
              </w:rPr>
              <w:t xml:space="preserve">Use in </w:t>
            </w:r>
            <w:r w:rsidRPr="00845026">
              <w:rPr>
                <w:rFonts w:cs="Arial"/>
                <w:szCs w:val="19"/>
                <w:lang w:val="en-US"/>
              </w:rPr>
              <w:t>combination with carboplatin and paclitaxel for the first-line treatment of adults with primary advanced or recurrent endometrial cancer and who are candidates for systemic therapy</w:t>
            </w:r>
            <w:r>
              <w:rPr>
                <w:rFonts w:cs="Arial"/>
                <w:szCs w:val="19"/>
                <w:lang w:val="en-US"/>
              </w:rPr>
              <w:t xml:space="preserve"> </w:t>
            </w:r>
            <w:r w:rsidRPr="00F95F88">
              <w:rPr>
                <w:rFonts w:cs="Arial"/>
                <w:sz w:val="16"/>
                <w:szCs w:val="16"/>
                <w:lang w:val="en-US"/>
              </w:rPr>
              <w:t>[EU] [licence change from use only in adults with mismatch repair deficient/microsatellite instability</w:t>
            </w:r>
            <w:r w:rsidRPr="00F95F88">
              <w:rPr>
                <w:rFonts w:ascii="Cambria Math" w:hAnsi="Cambria Math" w:cs="Cambria Math"/>
                <w:sz w:val="16"/>
                <w:szCs w:val="16"/>
                <w:lang w:val="en-US"/>
              </w:rPr>
              <w:t>‑</w:t>
            </w:r>
            <w:r w:rsidRPr="00F95F88">
              <w:rPr>
                <w:rFonts w:cs="Arial"/>
                <w:sz w:val="16"/>
                <w:szCs w:val="16"/>
                <w:lang w:val="en-US"/>
              </w:rPr>
              <w:t>high cancer]</w:t>
            </w:r>
          </w:p>
        </w:tc>
      </w:tr>
      <w:tr w:rsidR="00D35726" w:rsidRPr="00A075A3" w14:paraId="66928DD9" w14:textId="77777777" w:rsidTr="009F0C3A">
        <w:tc>
          <w:tcPr>
            <w:tcW w:w="1293" w:type="pct"/>
            <w:gridSpan w:val="2"/>
            <w:shd w:val="clear" w:color="auto" w:fill="auto"/>
            <w:tcMar>
              <w:top w:w="57" w:type="dxa"/>
              <w:bottom w:w="57" w:type="dxa"/>
            </w:tcMar>
          </w:tcPr>
          <w:p w14:paraId="6AB500E5" w14:textId="77777777" w:rsidR="00D35726" w:rsidRPr="00A9245B" w:rsidRDefault="00D35726" w:rsidP="009F0C3A">
            <w:pPr>
              <w:rPr>
                <w:rFonts w:cs="Arial"/>
                <w:i/>
                <w:iCs/>
                <w:szCs w:val="19"/>
              </w:rPr>
            </w:pPr>
            <w:r>
              <w:rPr>
                <w:rFonts w:cs="Arial"/>
                <w:szCs w:val="19"/>
              </w:rPr>
              <w:t>Filgrastim biosimilar (</w:t>
            </w:r>
            <w:proofErr w:type="spellStart"/>
            <w:r w:rsidRPr="006F5F27">
              <w:rPr>
                <w:rFonts w:cs="Arial"/>
                <w:i/>
                <w:iCs/>
                <w:szCs w:val="19"/>
              </w:rPr>
              <w:t>Zefylti</w:t>
            </w:r>
            <w:proofErr w:type="spellEnd"/>
            <w:r>
              <w:rPr>
                <w:rFonts w:cs="Arial"/>
                <w:szCs w:val="19"/>
              </w:rPr>
              <w:t>)</w:t>
            </w:r>
          </w:p>
        </w:tc>
        <w:tc>
          <w:tcPr>
            <w:tcW w:w="3707" w:type="pct"/>
            <w:shd w:val="clear" w:color="auto" w:fill="auto"/>
            <w:tcMar>
              <w:top w:w="57" w:type="dxa"/>
              <w:bottom w:w="57" w:type="dxa"/>
            </w:tcMar>
          </w:tcPr>
          <w:p w14:paraId="3CF0379E" w14:textId="640318AA" w:rsidR="00D35726" w:rsidRPr="007D7D60" w:rsidRDefault="00D35726" w:rsidP="009F0C3A">
            <w:pPr>
              <w:tabs>
                <w:tab w:val="center" w:pos="3152"/>
              </w:tabs>
              <w:rPr>
                <w:rFonts w:cs="Arial"/>
                <w:szCs w:val="19"/>
                <w:lang w:val="en-US"/>
              </w:rPr>
            </w:pPr>
            <w:r w:rsidRPr="00A9245B">
              <w:rPr>
                <w:rFonts w:cs="Arial"/>
                <w:szCs w:val="19"/>
                <w:lang w:val="en-US"/>
              </w:rPr>
              <w:t xml:space="preserve">Reduction in duration of neutropenia and incidence of febrile neutropenia in </w:t>
            </w:r>
            <w:r>
              <w:rPr>
                <w:rFonts w:cs="Arial"/>
                <w:szCs w:val="19"/>
                <w:lang w:val="en-US"/>
              </w:rPr>
              <w:t>adults and children</w:t>
            </w:r>
            <w:r w:rsidRPr="00A9245B">
              <w:rPr>
                <w:rFonts w:cs="Arial"/>
                <w:szCs w:val="19"/>
                <w:lang w:val="en-US"/>
              </w:rPr>
              <w:t xml:space="preserve"> treated with established cytotoxic chemotherapy for malignancy (</w:t>
            </w:r>
            <w:proofErr w:type="gramStart"/>
            <w:r w:rsidRPr="00A9245B">
              <w:rPr>
                <w:rFonts w:cs="Arial"/>
                <w:szCs w:val="19"/>
                <w:lang w:val="en-US"/>
              </w:rPr>
              <w:t>with the exception of</w:t>
            </w:r>
            <w:proofErr w:type="gramEnd"/>
            <w:r w:rsidRPr="00A9245B">
              <w:rPr>
                <w:rFonts w:cs="Arial"/>
                <w:szCs w:val="19"/>
                <w:lang w:val="en-US"/>
              </w:rPr>
              <w:t xml:space="preserve"> chronic myeloid </w:t>
            </w:r>
            <w:proofErr w:type="spellStart"/>
            <w:r w:rsidRPr="00A9245B">
              <w:rPr>
                <w:rFonts w:cs="Arial"/>
                <w:szCs w:val="19"/>
                <w:lang w:val="en-US"/>
              </w:rPr>
              <w:t>leukaemia</w:t>
            </w:r>
            <w:proofErr w:type="spellEnd"/>
            <w:r w:rsidRPr="00A9245B">
              <w:rPr>
                <w:rFonts w:cs="Arial"/>
                <w:szCs w:val="19"/>
                <w:lang w:val="en-US"/>
              </w:rPr>
              <w:t xml:space="preserve"> and myelodysplastic syndromes) and for reduction in duration of neutropenia in patients undergoing myeloablative therapy followed by bone marrow transplantation considered to be at increased risk of prolonged severe neutropenia</w:t>
            </w:r>
            <w:r>
              <w:rPr>
                <w:rFonts w:cs="Arial"/>
                <w:szCs w:val="19"/>
                <w:lang w:val="en-US"/>
              </w:rPr>
              <w:t xml:space="preserve">. </w:t>
            </w:r>
            <w:proofErr w:type="gramStart"/>
            <w:r>
              <w:rPr>
                <w:rFonts w:cs="Arial"/>
                <w:szCs w:val="19"/>
                <w:lang w:val="en-US"/>
              </w:rPr>
              <w:t>Also</w:t>
            </w:r>
            <w:proofErr w:type="gramEnd"/>
            <w:r w:rsidRPr="00A9245B">
              <w:rPr>
                <w:rFonts w:cs="Arial"/>
                <w:szCs w:val="19"/>
                <w:lang w:val="en-US"/>
              </w:rPr>
              <w:t xml:space="preserve"> </w:t>
            </w:r>
            <w:proofErr w:type="spellStart"/>
            <w:r w:rsidRPr="00A9245B">
              <w:rPr>
                <w:rFonts w:cs="Arial"/>
                <w:szCs w:val="19"/>
                <w:lang w:val="en-US"/>
              </w:rPr>
              <w:t>mobilisation</w:t>
            </w:r>
            <w:proofErr w:type="spellEnd"/>
            <w:r w:rsidRPr="00A9245B">
              <w:rPr>
                <w:rFonts w:cs="Arial"/>
                <w:szCs w:val="19"/>
                <w:lang w:val="en-US"/>
              </w:rPr>
              <w:t xml:space="preserve"> of peripheral blood progenitor cells and for treatment of persistent neutropenia (ANC </w:t>
            </w:r>
            <w:r w:rsidR="00D175D2">
              <w:rPr>
                <w:rFonts w:cs="Arial"/>
                <w:szCs w:val="19"/>
                <w:lang w:val="en-US"/>
              </w:rPr>
              <w:t>≤</w:t>
            </w:r>
            <w:r w:rsidRPr="00A9245B">
              <w:rPr>
                <w:rFonts w:cs="Arial"/>
                <w:szCs w:val="19"/>
                <w:lang w:val="en-US"/>
              </w:rPr>
              <w:t>1.0 x 10</w:t>
            </w:r>
            <w:r w:rsidRPr="004B7379">
              <w:rPr>
                <w:rFonts w:cs="Arial"/>
                <w:szCs w:val="19"/>
                <w:vertAlign w:val="superscript"/>
                <w:lang w:val="en-US"/>
              </w:rPr>
              <w:t>9</w:t>
            </w:r>
            <w:r w:rsidRPr="00A9245B">
              <w:rPr>
                <w:rFonts w:cs="Arial"/>
                <w:szCs w:val="19"/>
                <w:lang w:val="en-US"/>
              </w:rPr>
              <w:t>/L) in patients with advanced HIV infection, in order to reduce the risk of bacterial infections when other options to manage neutropenia are inappropriate</w:t>
            </w:r>
            <w:r>
              <w:rPr>
                <w:rFonts w:cs="Arial"/>
                <w:szCs w:val="19"/>
                <w:lang w:val="en-US"/>
              </w:rPr>
              <w:t xml:space="preserve"> </w:t>
            </w:r>
            <w:r w:rsidRPr="004B7379">
              <w:rPr>
                <w:rFonts w:cs="Arial"/>
                <w:sz w:val="16"/>
                <w:szCs w:val="16"/>
                <w:lang w:val="en-US"/>
              </w:rPr>
              <w:t>[EU]</w:t>
            </w:r>
          </w:p>
        </w:tc>
      </w:tr>
      <w:tr w:rsidR="00D35726" w:rsidRPr="00A075A3" w14:paraId="0044FE39" w14:textId="77777777" w:rsidTr="009F0C3A">
        <w:tc>
          <w:tcPr>
            <w:tcW w:w="1293" w:type="pct"/>
            <w:gridSpan w:val="2"/>
            <w:shd w:val="clear" w:color="auto" w:fill="auto"/>
            <w:tcMar>
              <w:top w:w="57" w:type="dxa"/>
              <w:bottom w:w="57" w:type="dxa"/>
            </w:tcMar>
          </w:tcPr>
          <w:p w14:paraId="1F58BBCA" w14:textId="77777777" w:rsidR="00D35726" w:rsidRPr="00813950" w:rsidRDefault="00D35726" w:rsidP="009F0C3A">
            <w:pPr>
              <w:rPr>
                <w:rFonts w:cs="Arial"/>
                <w:szCs w:val="19"/>
              </w:rPr>
            </w:pPr>
            <w:proofErr w:type="spellStart"/>
            <w:r w:rsidRPr="008A48E6">
              <w:rPr>
                <w:rFonts w:cs="Arial"/>
                <w:szCs w:val="19"/>
              </w:rPr>
              <w:t>Garadacimab</w:t>
            </w:r>
            <w:proofErr w:type="spellEnd"/>
            <w:r>
              <w:rPr>
                <w:rFonts w:cs="Arial"/>
                <w:szCs w:val="19"/>
              </w:rPr>
              <w:t xml:space="preserve"> (</w:t>
            </w:r>
            <w:proofErr w:type="spellStart"/>
            <w:r>
              <w:rPr>
                <w:rFonts w:cs="Arial"/>
                <w:i/>
                <w:iCs/>
                <w:szCs w:val="19"/>
              </w:rPr>
              <w:t>Andembry</w:t>
            </w:r>
            <w:proofErr w:type="spellEnd"/>
            <w:r>
              <w:rPr>
                <w:rFonts w:cs="Arial"/>
                <w:szCs w:val="19"/>
              </w:rPr>
              <w:t>)</w:t>
            </w:r>
          </w:p>
        </w:tc>
        <w:tc>
          <w:tcPr>
            <w:tcW w:w="3707" w:type="pct"/>
            <w:shd w:val="clear" w:color="auto" w:fill="auto"/>
            <w:tcMar>
              <w:top w:w="57" w:type="dxa"/>
              <w:bottom w:w="57" w:type="dxa"/>
            </w:tcMar>
          </w:tcPr>
          <w:p w14:paraId="2A28F4D3" w14:textId="77777777" w:rsidR="00D35726" w:rsidRPr="00A075A3" w:rsidRDefault="00D35726" w:rsidP="009F0C3A">
            <w:pPr>
              <w:tabs>
                <w:tab w:val="center" w:pos="3152"/>
              </w:tabs>
              <w:rPr>
                <w:rFonts w:cs="Arial"/>
                <w:szCs w:val="19"/>
                <w:lang w:val="en-US"/>
              </w:rPr>
            </w:pPr>
            <w:r w:rsidRPr="007D7D60">
              <w:rPr>
                <w:rFonts w:cs="Arial"/>
                <w:szCs w:val="19"/>
                <w:lang w:val="en-US"/>
              </w:rPr>
              <w:t xml:space="preserve">Routine prevention of recurrent attacks of hereditary angioedema in adult and adolescent patients aged </w:t>
            </w:r>
            <w:r>
              <w:rPr>
                <w:rFonts w:cs="Arial"/>
                <w:szCs w:val="19"/>
                <w:lang w:val="en-US"/>
              </w:rPr>
              <w:t>≥</w:t>
            </w:r>
            <w:r w:rsidRPr="007D7D60">
              <w:rPr>
                <w:rFonts w:cs="Arial"/>
                <w:szCs w:val="19"/>
                <w:lang w:val="en-US"/>
              </w:rPr>
              <w:t xml:space="preserve">12 years </w:t>
            </w:r>
            <w:r w:rsidRPr="007D7D60">
              <w:rPr>
                <w:rFonts w:cs="Arial"/>
                <w:sz w:val="16"/>
                <w:szCs w:val="16"/>
                <w:lang w:val="en-US"/>
              </w:rPr>
              <w:t>[EU]</w:t>
            </w:r>
          </w:p>
        </w:tc>
      </w:tr>
      <w:tr w:rsidR="00D35726" w:rsidRPr="00A075A3" w14:paraId="0534B69C" w14:textId="77777777" w:rsidTr="009F0C3A">
        <w:tc>
          <w:tcPr>
            <w:tcW w:w="1293" w:type="pct"/>
            <w:gridSpan w:val="2"/>
            <w:shd w:val="clear" w:color="auto" w:fill="auto"/>
            <w:tcMar>
              <w:top w:w="57" w:type="dxa"/>
              <w:bottom w:w="57" w:type="dxa"/>
            </w:tcMar>
          </w:tcPr>
          <w:p w14:paraId="71D993B1" w14:textId="77777777" w:rsidR="00D35726" w:rsidRPr="00DB7BF0" w:rsidRDefault="00D35726" w:rsidP="009F0C3A">
            <w:pPr>
              <w:rPr>
                <w:rFonts w:cs="Arial"/>
                <w:szCs w:val="19"/>
              </w:rPr>
            </w:pPr>
            <w:r w:rsidRPr="00DB7BF0">
              <w:rPr>
                <w:rFonts w:cs="Arial"/>
                <w:szCs w:val="19"/>
              </w:rPr>
              <w:t>Guanfacine</w:t>
            </w:r>
            <w:r>
              <w:rPr>
                <w:rFonts w:cs="Arial"/>
                <w:szCs w:val="19"/>
              </w:rPr>
              <w:t xml:space="preserve"> (</w:t>
            </w:r>
            <w:proofErr w:type="spellStart"/>
            <w:r>
              <w:rPr>
                <w:rFonts w:cs="Arial"/>
                <w:i/>
                <w:iCs/>
                <w:szCs w:val="19"/>
              </w:rPr>
              <w:t>Paxneury</w:t>
            </w:r>
            <w:proofErr w:type="spellEnd"/>
            <w:r>
              <w:rPr>
                <w:rFonts w:cs="Arial"/>
                <w:szCs w:val="19"/>
              </w:rPr>
              <w:t>)</w:t>
            </w:r>
          </w:p>
        </w:tc>
        <w:tc>
          <w:tcPr>
            <w:tcW w:w="3707" w:type="pct"/>
            <w:shd w:val="clear" w:color="auto" w:fill="auto"/>
            <w:tcMar>
              <w:top w:w="57" w:type="dxa"/>
              <w:bottom w:w="57" w:type="dxa"/>
            </w:tcMar>
          </w:tcPr>
          <w:p w14:paraId="4303D5FA" w14:textId="77777777" w:rsidR="00D35726" w:rsidRPr="003D782B" w:rsidRDefault="00D35726" w:rsidP="009F0C3A">
            <w:pPr>
              <w:tabs>
                <w:tab w:val="center" w:pos="3152"/>
              </w:tabs>
              <w:rPr>
                <w:rFonts w:cs="Arial"/>
                <w:szCs w:val="19"/>
                <w:lang w:val="en-US"/>
              </w:rPr>
            </w:pPr>
            <w:r w:rsidRPr="00DB7BF0">
              <w:rPr>
                <w:rFonts w:cs="Arial"/>
                <w:szCs w:val="19"/>
                <w:lang w:val="en-US"/>
              </w:rPr>
              <w:t xml:space="preserve">Treatment of attention deficit hyperactivity disorder in children and adolescents </w:t>
            </w:r>
            <w:r>
              <w:rPr>
                <w:rFonts w:cs="Arial"/>
                <w:szCs w:val="19"/>
                <w:lang w:val="en-US"/>
              </w:rPr>
              <w:t xml:space="preserve">aged </w:t>
            </w:r>
            <w:r w:rsidRPr="00DB7BF0">
              <w:rPr>
                <w:rFonts w:cs="Arial"/>
                <w:szCs w:val="19"/>
                <w:lang w:val="en-US"/>
              </w:rPr>
              <w:t>6</w:t>
            </w:r>
            <w:r w:rsidRPr="00DB7BF0">
              <w:rPr>
                <w:rFonts w:ascii="Cambria Math" w:hAnsi="Cambria Math" w:cs="Cambria Math"/>
                <w:szCs w:val="19"/>
                <w:lang w:val="en-US"/>
              </w:rPr>
              <w:t>‑</w:t>
            </w:r>
            <w:r w:rsidRPr="00DB7BF0">
              <w:rPr>
                <w:rFonts w:cs="Arial"/>
                <w:szCs w:val="19"/>
                <w:lang w:val="en-US"/>
              </w:rPr>
              <w:t>17 years for whom stimulants are not suitable, not tolerated or have been shown to be ineffective</w:t>
            </w:r>
            <w:r>
              <w:rPr>
                <w:rFonts w:cs="Arial"/>
                <w:szCs w:val="19"/>
                <w:lang w:val="en-US"/>
              </w:rPr>
              <w:t xml:space="preserve"> </w:t>
            </w:r>
            <w:r w:rsidRPr="00DB7BF0">
              <w:rPr>
                <w:rFonts w:cs="Arial"/>
                <w:sz w:val="16"/>
                <w:szCs w:val="16"/>
                <w:lang w:val="en-US"/>
              </w:rPr>
              <w:t>[EU]</w:t>
            </w:r>
          </w:p>
        </w:tc>
      </w:tr>
      <w:tr w:rsidR="00D35726" w:rsidRPr="00A075A3" w14:paraId="4EF86948" w14:textId="77777777" w:rsidTr="009F0C3A">
        <w:tc>
          <w:tcPr>
            <w:tcW w:w="1293" w:type="pct"/>
            <w:gridSpan w:val="2"/>
            <w:shd w:val="clear" w:color="auto" w:fill="auto"/>
            <w:tcMar>
              <w:top w:w="57" w:type="dxa"/>
              <w:bottom w:w="57" w:type="dxa"/>
            </w:tcMar>
          </w:tcPr>
          <w:p w14:paraId="524E2988" w14:textId="77777777" w:rsidR="00D35726" w:rsidRPr="006D50B4" w:rsidRDefault="00D35726" w:rsidP="009F0C3A">
            <w:pPr>
              <w:rPr>
                <w:rFonts w:cs="Arial"/>
                <w:szCs w:val="19"/>
              </w:rPr>
            </w:pPr>
            <w:proofErr w:type="spellStart"/>
            <w:r w:rsidRPr="006D50B4">
              <w:rPr>
                <w:rFonts w:cs="Arial"/>
                <w:szCs w:val="19"/>
              </w:rPr>
              <w:t>Imetelstat</w:t>
            </w:r>
            <w:proofErr w:type="spellEnd"/>
            <w:r>
              <w:rPr>
                <w:rFonts w:cs="Arial"/>
                <w:szCs w:val="19"/>
              </w:rPr>
              <w:t xml:space="preserve"> (</w:t>
            </w:r>
            <w:proofErr w:type="spellStart"/>
            <w:r>
              <w:rPr>
                <w:rFonts w:cs="Arial"/>
                <w:i/>
                <w:iCs/>
                <w:szCs w:val="19"/>
              </w:rPr>
              <w:t>Rytelo</w:t>
            </w:r>
            <w:proofErr w:type="spellEnd"/>
            <w:r>
              <w:rPr>
                <w:rFonts w:cs="Arial"/>
                <w:szCs w:val="19"/>
              </w:rPr>
              <w:t>)</w:t>
            </w:r>
          </w:p>
        </w:tc>
        <w:tc>
          <w:tcPr>
            <w:tcW w:w="3707" w:type="pct"/>
            <w:shd w:val="clear" w:color="auto" w:fill="auto"/>
            <w:tcMar>
              <w:top w:w="57" w:type="dxa"/>
              <w:bottom w:w="57" w:type="dxa"/>
            </w:tcMar>
          </w:tcPr>
          <w:p w14:paraId="1B9C1C5A" w14:textId="77777777" w:rsidR="00D35726" w:rsidRPr="00A075A3" w:rsidRDefault="00D35726" w:rsidP="009F0C3A">
            <w:pPr>
              <w:tabs>
                <w:tab w:val="center" w:pos="3152"/>
              </w:tabs>
              <w:rPr>
                <w:rFonts w:cs="Arial"/>
                <w:szCs w:val="19"/>
                <w:lang w:val="en-US"/>
              </w:rPr>
            </w:pPr>
            <w:r w:rsidRPr="003D782B">
              <w:rPr>
                <w:rFonts w:cs="Arial"/>
                <w:szCs w:val="19"/>
                <w:lang w:val="en-US"/>
              </w:rPr>
              <w:t xml:space="preserve">Monotherapy for the treatment of adults with transfusion-dependent </w:t>
            </w:r>
            <w:proofErr w:type="spellStart"/>
            <w:r w:rsidRPr="003D782B">
              <w:rPr>
                <w:rFonts w:cs="Arial"/>
                <w:szCs w:val="19"/>
                <w:lang w:val="en-US"/>
              </w:rPr>
              <w:t>anaemia</w:t>
            </w:r>
            <w:proofErr w:type="spellEnd"/>
            <w:r w:rsidRPr="003D782B">
              <w:rPr>
                <w:rFonts w:cs="Arial"/>
                <w:szCs w:val="19"/>
                <w:lang w:val="en-US"/>
              </w:rPr>
              <w:t xml:space="preserve"> due to very low, </w:t>
            </w:r>
            <w:proofErr w:type="gramStart"/>
            <w:r w:rsidRPr="003D782B">
              <w:rPr>
                <w:rFonts w:cs="Arial"/>
                <w:szCs w:val="19"/>
                <w:lang w:val="en-US"/>
              </w:rPr>
              <w:t>low</w:t>
            </w:r>
            <w:proofErr w:type="gramEnd"/>
            <w:r w:rsidRPr="003D782B">
              <w:rPr>
                <w:rFonts w:cs="Arial"/>
                <w:szCs w:val="19"/>
                <w:lang w:val="en-US"/>
              </w:rPr>
              <w:t xml:space="preserve"> or intermediate risk myelodysplastic syndromes without an isolated deletion 5q cytogenetic (non-del 5q) abnormality and who had an unsatisfactory response to or are ineligible for erythropoietin-based therapy</w:t>
            </w:r>
            <w:r>
              <w:rPr>
                <w:rFonts w:cs="Arial"/>
                <w:szCs w:val="19"/>
                <w:lang w:val="en-US"/>
              </w:rPr>
              <w:t xml:space="preserve"> </w:t>
            </w:r>
            <w:r w:rsidRPr="007D7D60">
              <w:rPr>
                <w:rFonts w:cs="Arial"/>
                <w:sz w:val="16"/>
                <w:szCs w:val="16"/>
                <w:lang w:val="en-US"/>
              </w:rPr>
              <w:t>[EU]</w:t>
            </w:r>
          </w:p>
        </w:tc>
      </w:tr>
      <w:tr w:rsidR="00D35726" w:rsidRPr="00A075A3" w14:paraId="32783BF2" w14:textId="77777777" w:rsidTr="009F0C3A">
        <w:tc>
          <w:tcPr>
            <w:tcW w:w="1293" w:type="pct"/>
            <w:gridSpan w:val="2"/>
            <w:shd w:val="clear" w:color="auto" w:fill="auto"/>
            <w:tcMar>
              <w:top w:w="57" w:type="dxa"/>
              <w:bottom w:w="57" w:type="dxa"/>
            </w:tcMar>
          </w:tcPr>
          <w:p w14:paraId="2AEBDF07" w14:textId="77777777" w:rsidR="00D35726" w:rsidRPr="00884445" w:rsidRDefault="00D35726" w:rsidP="009F0C3A">
            <w:pPr>
              <w:rPr>
                <w:rFonts w:cs="Arial"/>
                <w:szCs w:val="19"/>
              </w:rPr>
            </w:pPr>
            <w:r>
              <w:rPr>
                <w:rFonts w:cs="Arial"/>
                <w:szCs w:val="19"/>
              </w:rPr>
              <w:t>Influenza vaccine (</w:t>
            </w:r>
            <w:r>
              <w:rPr>
                <w:rFonts w:cs="Arial"/>
                <w:i/>
                <w:iCs/>
                <w:szCs w:val="19"/>
              </w:rPr>
              <w:t>Fluad</w:t>
            </w:r>
            <w:r>
              <w:rPr>
                <w:rFonts w:cs="Arial"/>
                <w:szCs w:val="19"/>
              </w:rPr>
              <w:t>)</w:t>
            </w:r>
          </w:p>
        </w:tc>
        <w:tc>
          <w:tcPr>
            <w:tcW w:w="3707" w:type="pct"/>
            <w:shd w:val="clear" w:color="auto" w:fill="auto"/>
            <w:tcMar>
              <w:top w:w="57" w:type="dxa"/>
              <w:bottom w:w="57" w:type="dxa"/>
            </w:tcMar>
          </w:tcPr>
          <w:p w14:paraId="35D7CA4A" w14:textId="77777777" w:rsidR="00D35726" w:rsidRPr="00884445" w:rsidRDefault="00D35726" w:rsidP="009F0C3A">
            <w:pPr>
              <w:tabs>
                <w:tab w:val="center" w:pos="3152"/>
              </w:tabs>
              <w:rPr>
                <w:rFonts w:cs="Arial"/>
                <w:sz w:val="16"/>
                <w:szCs w:val="16"/>
                <w:lang w:val="en-US"/>
              </w:rPr>
            </w:pPr>
            <w:r w:rsidRPr="00E22D1F">
              <w:rPr>
                <w:rFonts w:cs="Arial"/>
                <w:szCs w:val="19"/>
                <w:lang w:val="en-US"/>
              </w:rPr>
              <w:t xml:space="preserve">Prophylaxis of influenza in adults </w:t>
            </w:r>
            <w:r>
              <w:rPr>
                <w:rFonts w:cs="Arial"/>
                <w:szCs w:val="19"/>
                <w:lang w:val="en-US"/>
              </w:rPr>
              <w:t>aged ≥50 years</w:t>
            </w:r>
            <w:r w:rsidRPr="00E22D1F">
              <w:rPr>
                <w:rFonts w:cs="Arial"/>
                <w:szCs w:val="19"/>
                <w:lang w:val="en-US"/>
              </w:rPr>
              <w:t xml:space="preserve"> </w:t>
            </w:r>
            <w:r w:rsidRPr="00B0062F">
              <w:rPr>
                <w:rFonts w:cs="Arial"/>
                <w:sz w:val="16"/>
                <w:szCs w:val="16"/>
                <w:lang w:val="en-US"/>
              </w:rPr>
              <w:t xml:space="preserve">[EU] </w:t>
            </w:r>
          </w:p>
        </w:tc>
      </w:tr>
      <w:tr w:rsidR="00D35726" w:rsidRPr="00A075A3" w14:paraId="2CCEF2B8" w14:textId="77777777" w:rsidTr="009F0C3A">
        <w:tc>
          <w:tcPr>
            <w:tcW w:w="1293" w:type="pct"/>
            <w:gridSpan w:val="2"/>
            <w:shd w:val="clear" w:color="auto" w:fill="auto"/>
            <w:tcMar>
              <w:top w:w="57" w:type="dxa"/>
              <w:bottom w:w="57" w:type="dxa"/>
            </w:tcMar>
          </w:tcPr>
          <w:p w14:paraId="49A07C32" w14:textId="77777777" w:rsidR="00D35726" w:rsidRDefault="00D35726" w:rsidP="009F0C3A">
            <w:pPr>
              <w:rPr>
                <w:rFonts w:cs="Arial"/>
                <w:szCs w:val="19"/>
              </w:rPr>
            </w:pPr>
            <w:r>
              <w:rPr>
                <w:rFonts w:cs="Arial"/>
                <w:szCs w:val="19"/>
              </w:rPr>
              <w:t xml:space="preserve">Influenza vaccine </w:t>
            </w:r>
          </w:p>
          <w:p w14:paraId="2CC9565E" w14:textId="77777777" w:rsidR="00D35726" w:rsidRPr="0067115E" w:rsidRDefault="00D35726" w:rsidP="009F0C3A">
            <w:pPr>
              <w:rPr>
                <w:rFonts w:cs="Arial"/>
                <w:i/>
                <w:iCs/>
                <w:szCs w:val="19"/>
              </w:rPr>
            </w:pPr>
            <w:r>
              <w:rPr>
                <w:rFonts w:cs="Arial"/>
                <w:szCs w:val="19"/>
              </w:rPr>
              <w:t>(</w:t>
            </w:r>
            <w:r w:rsidRPr="00E22D1F">
              <w:rPr>
                <w:rFonts w:cs="Arial"/>
                <w:i/>
                <w:iCs/>
                <w:szCs w:val="19"/>
              </w:rPr>
              <w:t>Flucelvax Tetra</w:t>
            </w:r>
            <w:r>
              <w:rPr>
                <w:rFonts w:cs="Arial"/>
                <w:szCs w:val="19"/>
              </w:rPr>
              <w:t>)</w:t>
            </w:r>
          </w:p>
        </w:tc>
        <w:tc>
          <w:tcPr>
            <w:tcW w:w="3707" w:type="pct"/>
            <w:shd w:val="clear" w:color="auto" w:fill="auto"/>
            <w:tcMar>
              <w:top w:w="57" w:type="dxa"/>
              <w:bottom w:w="57" w:type="dxa"/>
            </w:tcMar>
          </w:tcPr>
          <w:p w14:paraId="43032393" w14:textId="77777777" w:rsidR="00D35726" w:rsidRDefault="00D35726" w:rsidP="009F0C3A">
            <w:pPr>
              <w:tabs>
                <w:tab w:val="center" w:pos="3152"/>
              </w:tabs>
              <w:rPr>
                <w:rFonts w:cs="Arial"/>
                <w:sz w:val="16"/>
                <w:szCs w:val="16"/>
                <w:lang w:val="en-US"/>
              </w:rPr>
            </w:pPr>
            <w:r w:rsidRPr="00E22D1F">
              <w:rPr>
                <w:rFonts w:cs="Arial"/>
                <w:szCs w:val="19"/>
                <w:lang w:val="en-US"/>
              </w:rPr>
              <w:t xml:space="preserve">Prophylaxis of influenza in adults and children </w:t>
            </w:r>
            <w:r>
              <w:rPr>
                <w:rFonts w:cs="Arial"/>
                <w:szCs w:val="19"/>
                <w:lang w:val="en-US"/>
              </w:rPr>
              <w:t>aged ≥</w:t>
            </w:r>
            <w:r w:rsidRPr="00E22D1F">
              <w:rPr>
                <w:rFonts w:cs="Arial"/>
                <w:szCs w:val="19"/>
                <w:lang w:val="en-US"/>
              </w:rPr>
              <w:t xml:space="preserve">6 months </w:t>
            </w:r>
            <w:r w:rsidRPr="00B0062F">
              <w:rPr>
                <w:rFonts w:cs="Arial"/>
                <w:sz w:val="16"/>
                <w:szCs w:val="16"/>
                <w:lang w:val="en-US"/>
              </w:rPr>
              <w:t xml:space="preserve">[EU] </w:t>
            </w:r>
          </w:p>
          <w:p w14:paraId="6A78868E" w14:textId="77777777" w:rsidR="00D35726" w:rsidRPr="00B0062F" w:rsidRDefault="00D35726" w:rsidP="009F0C3A">
            <w:pPr>
              <w:tabs>
                <w:tab w:val="center" w:pos="3152"/>
              </w:tabs>
              <w:rPr>
                <w:rFonts w:cs="Arial"/>
                <w:i/>
                <w:iCs/>
                <w:szCs w:val="19"/>
                <w:lang w:val="en-US"/>
              </w:rPr>
            </w:pPr>
            <w:r w:rsidRPr="00B0062F">
              <w:rPr>
                <w:rFonts w:cs="Arial"/>
                <w:sz w:val="16"/>
                <w:szCs w:val="16"/>
                <w:lang w:val="en-US"/>
              </w:rPr>
              <w:t xml:space="preserve">[licence change from use only in adults and children aged ≥2 years] </w:t>
            </w:r>
            <w:r w:rsidRPr="00B0062F">
              <w:rPr>
                <w:rFonts w:cs="Arial"/>
                <w:i/>
                <w:iCs/>
                <w:sz w:val="16"/>
                <w:szCs w:val="16"/>
                <w:lang w:val="en-US"/>
              </w:rPr>
              <w:t>Note: Already licensed in UK</w:t>
            </w:r>
          </w:p>
        </w:tc>
      </w:tr>
      <w:tr w:rsidR="00D35726" w:rsidRPr="00A075A3" w14:paraId="6C83003B" w14:textId="77777777" w:rsidTr="009F0C3A">
        <w:tc>
          <w:tcPr>
            <w:tcW w:w="1293" w:type="pct"/>
            <w:gridSpan w:val="2"/>
            <w:shd w:val="clear" w:color="auto" w:fill="auto"/>
            <w:tcMar>
              <w:top w:w="57" w:type="dxa"/>
              <w:bottom w:w="57" w:type="dxa"/>
            </w:tcMar>
          </w:tcPr>
          <w:p w14:paraId="1A423D5C" w14:textId="77777777" w:rsidR="00D35726" w:rsidRPr="005B3EC3" w:rsidRDefault="00D35726" w:rsidP="009F0C3A">
            <w:pPr>
              <w:rPr>
                <w:rFonts w:cs="Arial"/>
                <w:szCs w:val="19"/>
              </w:rPr>
            </w:pPr>
            <w:r>
              <w:rPr>
                <w:rFonts w:cs="Arial"/>
                <w:szCs w:val="19"/>
              </w:rPr>
              <w:t>Methylphenidate (</w:t>
            </w:r>
            <w:proofErr w:type="spellStart"/>
            <w:r>
              <w:rPr>
                <w:rFonts w:cs="Arial"/>
                <w:i/>
                <w:iCs/>
                <w:szCs w:val="19"/>
              </w:rPr>
              <w:t>Tuzulby</w:t>
            </w:r>
            <w:proofErr w:type="spellEnd"/>
            <w:r>
              <w:rPr>
                <w:rFonts w:cs="Arial"/>
                <w:szCs w:val="19"/>
              </w:rPr>
              <w:t>)</w:t>
            </w:r>
          </w:p>
        </w:tc>
        <w:tc>
          <w:tcPr>
            <w:tcW w:w="3707" w:type="pct"/>
            <w:shd w:val="clear" w:color="auto" w:fill="auto"/>
            <w:tcMar>
              <w:top w:w="57" w:type="dxa"/>
              <w:bottom w:w="57" w:type="dxa"/>
            </w:tcMar>
          </w:tcPr>
          <w:p w14:paraId="7A38B4F4" w14:textId="77777777" w:rsidR="00D35726" w:rsidRPr="00915295" w:rsidRDefault="00D35726" w:rsidP="009F0C3A">
            <w:pPr>
              <w:tabs>
                <w:tab w:val="center" w:pos="3152"/>
              </w:tabs>
              <w:rPr>
                <w:rFonts w:cs="Arial"/>
                <w:szCs w:val="19"/>
                <w:lang w:val="en-US"/>
              </w:rPr>
            </w:pPr>
            <w:r w:rsidRPr="00A643FF">
              <w:rPr>
                <w:rFonts w:cs="Arial"/>
                <w:szCs w:val="19"/>
                <w:lang w:val="en-US"/>
              </w:rPr>
              <w:t xml:space="preserve">Use as part of a comprehensive treatment </w:t>
            </w:r>
            <w:proofErr w:type="spellStart"/>
            <w:r w:rsidRPr="00A643FF">
              <w:rPr>
                <w:rFonts w:cs="Arial"/>
                <w:szCs w:val="19"/>
                <w:lang w:val="en-US"/>
              </w:rPr>
              <w:t>programme</w:t>
            </w:r>
            <w:proofErr w:type="spellEnd"/>
            <w:r w:rsidRPr="00A643FF">
              <w:rPr>
                <w:rFonts w:cs="Arial"/>
                <w:szCs w:val="19"/>
                <w:lang w:val="en-US"/>
              </w:rPr>
              <w:t xml:space="preserve"> for attention-deficit / hyperactivity disorder in children aged </w:t>
            </w:r>
            <w:r>
              <w:rPr>
                <w:rFonts w:cs="Arial"/>
                <w:szCs w:val="19"/>
                <w:lang w:val="en-US"/>
              </w:rPr>
              <w:t>≥</w:t>
            </w:r>
            <w:r w:rsidRPr="00A643FF">
              <w:rPr>
                <w:rFonts w:cs="Arial"/>
                <w:szCs w:val="19"/>
                <w:lang w:val="en-US"/>
              </w:rPr>
              <w:t>6 years of age when remedial measures alone prove insufficient</w:t>
            </w:r>
            <w:r>
              <w:rPr>
                <w:rFonts w:cs="Arial"/>
                <w:szCs w:val="19"/>
                <w:lang w:val="en-US"/>
              </w:rPr>
              <w:t xml:space="preserve"> </w:t>
            </w:r>
            <w:r w:rsidRPr="00A643FF">
              <w:rPr>
                <w:rFonts w:cs="Arial"/>
                <w:sz w:val="16"/>
                <w:szCs w:val="16"/>
                <w:lang w:val="en-US"/>
              </w:rPr>
              <w:t>[EU]</w:t>
            </w:r>
          </w:p>
        </w:tc>
      </w:tr>
      <w:tr w:rsidR="00D35726" w:rsidRPr="00A075A3" w14:paraId="0FD69519" w14:textId="77777777" w:rsidTr="009F0C3A">
        <w:tc>
          <w:tcPr>
            <w:tcW w:w="1293" w:type="pct"/>
            <w:gridSpan w:val="2"/>
            <w:shd w:val="clear" w:color="auto" w:fill="auto"/>
            <w:tcMar>
              <w:top w:w="57" w:type="dxa"/>
              <w:bottom w:w="57" w:type="dxa"/>
            </w:tcMar>
          </w:tcPr>
          <w:p w14:paraId="78ACC08E" w14:textId="77777777" w:rsidR="00D35726" w:rsidRPr="007C73FF" w:rsidRDefault="00D35726" w:rsidP="009F0C3A">
            <w:pPr>
              <w:rPr>
                <w:rFonts w:cs="Arial"/>
                <w:szCs w:val="19"/>
              </w:rPr>
            </w:pPr>
            <w:proofErr w:type="spellStart"/>
            <w:r>
              <w:rPr>
                <w:rFonts w:cs="Arial"/>
                <w:szCs w:val="19"/>
              </w:rPr>
              <w:t>Mirikizumab</w:t>
            </w:r>
            <w:proofErr w:type="spellEnd"/>
            <w:r>
              <w:rPr>
                <w:rFonts w:cs="Arial"/>
                <w:szCs w:val="19"/>
              </w:rPr>
              <w:t xml:space="preserve"> (</w:t>
            </w:r>
            <w:proofErr w:type="spellStart"/>
            <w:r>
              <w:rPr>
                <w:rFonts w:cs="Arial"/>
                <w:i/>
                <w:iCs/>
                <w:szCs w:val="19"/>
              </w:rPr>
              <w:t>Omvoh</w:t>
            </w:r>
            <w:proofErr w:type="spellEnd"/>
            <w:r>
              <w:rPr>
                <w:rFonts w:cs="Arial"/>
                <w:szCs w:val="19"/>
              </w:rPr>
              <w:t>)</w:t>
            </w:r>
          </w:p>
        </w:tc>
        <w:tc>
          <w:tcPr>
            <w:tcW w:w="3707" w:type="pct"/>
            <w:shd w:val="clear" w:color="auto" w:fill="auto"/>
            <w:tcMar>
              <w:top w:w="57" w:type="dxa"/>
              <w:bottom w:w="57" w:type="dxa"/>
            </w:tcMar>
          </w:tcPr>
          <w:p w14:paraId="166401CC" w14:textId="77777777" w:rsidR="00D35726" w:rsidRDefault="00D35726" w:rsidP="009F0C3A">
            <w:pPr>
              <w:tabs>
                <w:tab w:val="center" w:pos="3152"/>
              </w:tabs>
              <w:rPr>
                <w:rFonts w:cs="Arial"/>
                <w:sz w:val="16"/>
                <w:szCs w:val="16"/>
                <w:lang w:val="en-US"/>
              </w:rPr>
            </w:pPr>
            <w:r w:rsidRPr="008B2CF3">
              <w:rPr>
                <w:rFonts w:cs="Arial"/>
                <w:szCs w:val="19"/>
                <w:lang w:val="en-US"/>
              </w:rPr>
              <w:t xml:space="preserve">Treatment of adults with moderately to severely active Crohn´s disease who have had an inadequate response </w:t>
            </w:r>
            <w:proofErr w:type="gramStart"/>
            <w:r w:rsidRPr="008B2CF3">
              <w:rPr>
                <w:rFonts w:cs="Arial"/>
                <w:szCs w:val="19"/>
                <w:lang w:val="en-US"/>
              </w:rPr>
              <w:t>with,</w:t>
            </w:r>
            <w:proofErr w:type="gramEnd"/>
            <w:r w:rsidRPr="008B2CF3">
              <w:rPr>
                <w:rFonts w:cs="Arial"/>
                <w:szCs w:val="19"/>
                <w:lang w:val="en-US"/>
              </w:rPr>
              <w:t xml:space="preserve"> lost response to, or were intolerant to either conventional therapy or a biologic treatment</w:t>
            </w:r>
            <w:r>
              <w:rPr>
                <w:rFonts w:cs="Arial"/>
                <w:szCs w:val="19"/>
                <w:lang w:val="en-US"/>
              </w:rPr>
              <w:t xml:space="preserve"> </w:t>
            </w:r>
            <w:r w:rsidRPr="00E9086E">
              <w:rPr>
                <w:rFonts w:cs="Arial"/>
                <w:sz w:val="16"/>
                <w:szCs w:val="16"/>
                <w:lang w:val="en-US"/>
              </w:rPr>
              <w:t xml:space="preserve">[EU] </w:t>
            </w:r>
          </w:p>
          <w:p w14:paraId="15A5AC7B" w14:textId="77777777" w:rsidR="00D35726" w:rsidRPr="00A643FF" w:rsidRDefault="00D35726" w:rsidP="009F0C3A">
            <w:pPr>
              <w:tabs>
                <w:tab w:val="center" w:pos="3152"/>
              </w:tabs>
              <w:rPr>
                <w:rFonts w:cs="Arial"/>
                <w:szCs w:val="19"/>
                <w:lang w:val="en-US"/>
              </w:rPr>
            </w:pPr>
            <w:r w:rsidRPr="00E9086E">
              <w:rPr>
                <w:rFonts w:cs="Arial"/>
                <w:sz w:val="16"/>
                <w:szCs w:val="16"/>
                <w:lang w:val="en-US"/>
              </w:rPr>
              <w:t>[new indication and new 200mg prefilled pen and syringe formulations]</w:t>
            </w:r>
          </w:p>
        </w:tc>
      </w:tr>
      <w:tr w:rsidR="00D35726" w:rsidRPr="00A075A3" w14:paraId="09A771DF" w14:textId="77777777" w:rsidTr="009F0C3A">
        <w:tc>
          <w:tcPr>
            <w:tcW w:w="1293" w:type="pct"/>
            <w:gridSpan w:val="2"/>
            <w:shd w:val="clear" w:color="auto" w:fill="auto"/>
            <w:tcMar>
              <w:top w:w="57" w:type="dxa"/>
              <w:bottom w:w="57" w:type="dxa"/>
            </w:tcMar>
          </w:tcPr>
          <w:p w14:paraId="36228C37" w14:textId="77777777" w:rsidR="00D35726" w:rsidRPr="00272180" w:rsidRDefault="00D35726" w:rsidP="009F0C3A">
            <w:pPr>
              <w:rPr>
                <w:rFonts w:cs="Arial"/>
                <w:szCs w:val="19"/>
              </w:rPr>
            </w:pPr>
            <w:proofErr w:type="spellStart"/>
            <w:r w:rsidRPr="00B51732">
              <w:rPr>
                <w:rFonts w:cs="Arial"/>
                <w:szCs w:val="19"/>
              </w:rPr>
              <w:t>Nemolizumab</w:t>
            </w:r>
            <w:proofErr w:type="spellEnd"/>
            <w:r>
              <w:rPr>
                <w:rFonts w:cs="Arial"/>
                <w:szCs w:val="19"/>
              </w:rPr>
              <w:t xml:space="preserve"> (</w:t>
            </w:r>
            <w:proofErr w:type="spellStart"/>
            <w:r>
              <w:rPr>
                <w:rFonts w:cs="Arial"/>
                <w:i/>
                <w:iCs/>
                <w:szCs w:val="19"/>
              </w:rPr>
              <w:t>Nemluvio</w:t>
            </w:r>
            <w:proofErr w:type="spellEnd"/>
            <w:r>
              <w:rPr>
                <w:rFonts w:cs="Arial"/>
                <w:szCs w:val="19"/>
              </w:rPr>
              <w:t>)</w:t>
            </w:r>
          </w:p>
        </w:tc>
        <w:tc>
          <w:tcPr>
            <w:tcW w:w="3707" w:type="pct"/>
            <w:shd w:val="clear" w:color="auto" w:fill="auto"/>
            <w:tcMar>
              <w:top w:w="57" w:type="dxa"/>
              <w:bottom w:w="57" w:type="dxa"/>
            </w:tcMar>
          </w:tcPr>
          <w:p w14:paraId="6669F34B" w14:textId="77777777" w:rsidR="00D35726" w:rsidRDefault="00D35726" w:rsidP="009F0C3A">
            <w:pPr>
              <w:tabs>
                <w:tab w:val="center" w:pos="3152"/>
              </w:tabs>
              <w:rPr>
                <w:rFonts w:cs="Arial"/>
                <w:szCs w:val="19"/>
                <w:lang w:val="en-US"/>
              </w:rPr>
            </w:pPr>
            <w:r w:rsidRPr="00915295">
              <w:rPr>
                <w:rFonts w:cs="Arial"/>
                <w:szCs w:val="19"/>
                <w:lang w:val="en-US"/>
              </w:rPr>
              <w:t>Treatment of adults with moderate-to-severe prurigo nodularis who are candidates for systemic therapy</w:t>
            </w:r>
            <w:r>
              <w:rPr>
                <w:rFonts w:cs="Arial"/>
                <w:szCs w:val="19"/>
                <w:lang w:val="en-US"/>
              </w:rPr>
              <w:t xml:space="preserve"> </w:t>
            </w:r>
            <w:r w:rsidRPr="007D7D60">
              <w:rPr>
                <w:rFonts w:cs="Arial"/>
                <w:sz w:val="16"/>
                <w:szCs w:val="16"/>
                <w:lang w:val="en-US"/>
              </w:rPr>
              <w:t>[EU]</w:t>
            </w:r>
          </w:p>
        </w:tc>
      </w:tr>
      <w:tr w:rsidR="00D35726" w14:paraId="42C7F7A3" w14:textId="77777777" w:rsidTr="009F0C3A">
        <w:tc>
          <w:tcPr>
            <w:tcW w:w="1293" w:type="pct"/>
            <w:gridSpan w:val="2"/>
            <w:shd w:val="clear" w:color="auto" w:fill="auto"/>
            <w:tcMar>
              <w:top w:w="57" w:type="dxa"/>
              <w:bottom w:w="57" w:type="dxa"/>
            </w:tcMar>
          </w:tcPr>
          <w:p w14:paraId="77C82185" w14:textId="77777777" w:rsidR="00D35726" w:rsidRPr="00D37A47" w:rsidRDefault="00D35726" w:rsidP="009F0C3A">
            <w:pPr>
              <w:rPr>
                <w:rFonts w:cs="Arial"/>
                <w:szCs w:val="19"/>
              </w:rPr>
            </w:pPr>
            <w:proofErr w:type="spellStart"/>
            <w:r w:rsidRPr="00B51732">
              <w:rPr>
                <w:rFonts w:cs="Arial"/>
                <w:szCs w:val="19"/>
              </w:rPr>
              <w:t>Nemolizumab</w:t>
            </w:r>
            <w:proofErr w:type="spellEnd"/>
            <w:r>
              <w:rPr>
                <w:rFonts w:cs="Arial"/>
                <w:szCs w:val="19"/>
              </w:rPr>
              <w:t xml:space="preserve"> (</w:t>
            </w:r>
            <w:proofErr w:type="spellStart"/>
            <w:r>
              <w:rPr>
                <w:rFonts w:cs="Arial"/>
                <w:i/>
                <w:iCs/>
                <w:szCs w:val="19"/>
              </w:rPr>
              <w:t>Nemluvio</w:t>
            </w:r>
            <w:proofErr w:type="spellEnd"/>
            <w:r>
              <w:rPr>
                <w:rFonts w:cs="Arial"/>
                <w:szCs w:val="19"/>
              </w:rPr>
              <w:t>)</w:t>
            </w:r>
          </w:p>
        </w:tc>
        <w:tc>
          <w:tcPr>
            <w:tcW w:w="3707" w:type="pct"/>
            <w:shd w:val="clear" w:color="auto" w:fill="auto"/>
            <w:tcMar>
              <w:top w:w="57" w:type="dxa"/>
              <w:bottom w:w="57" w:type="dxa"/>
            </w:tcMar>
          </w:tcPr>
          <w:p w14:paraId="53BADD48" w14:textId="77777777" w:rsidR="00D35726" w:rsidRDefault="00D35726" w:rsidP="009F0C3A">
            <w:pPr>
              <w:tabs>
                <w:tab w:val="center" w:pos="3152"/>
              </w:tabs>
              <w:rPr>
                <w:rFonts w:cs="Arial"/>
                <w:szCs w:val="19"/>
                <w:lang w:val="en-US"/>
              </w:rPr>
            </w:pPr>
            <w:r w:rsidRPr="00D4578F">
              <w:rPr>
                <w:rFonts w:cs="Arial"/>
                <w:szCs w:val="19"/>
                <w:lang w:val="en-US"/>
              </w:rPr>
              <w:t xml:space="preserve">Treatment of moderate-to-severe atopic dermatitis in patients aged </w:t>
            </w:r>
            <w:r>
              <w:rPr>
                <w:rFonts w:cs="Arial"/>
                <w:szCs w:val="19"/>
                <w:lang w:val="en-US"/>
              </w:rPr>
              <w:t>≥</w:t>
            </w:r>
            <w:r w:rsidRPr="00D4578F">
              <w:rPr>
                <w:rFonts w:cs="Arial"/>
                <w:szCs w:val="19"/>
                <w:lang w:val="en-US"/>
              </w:rPr>
              <w:t>12 years who are candidates for systemic therapy</w:t>
            </w:r>
            <w:r>
              <w:rPr>
                <w:rFonts w:cs="Arial"/>
                <w:szCs w:val="19"/>
                <w:lang w:val="en-US"/>
              </w:rPr>
              <w:t xml:space="preserve"> </w:t>
            </w:r>
            <w:r w:rsidRPr="007D7D60">
              <w:rPr>
                <w:rFonts w:cs="Arial"/>
                <w:sz w:val="16"/>
                <w:szCs w:val="16"/>
                <w:lang w:val="en-US"/>
              </w:rPr>
              <w:t>[EU]</w:t>
            </w:r>
          </w:p>
        </w:tc>
      </w:tr>
      <w:tr w:rsidR="00D35726" w:rsidRPr="00A075A3" w14:paraId="4A7EDA47" w14:textId="77777777" w:rsidTr="009F0C3A">
        <w:tc>
          <w:tcPr>
            <w:tcW w:w="1293" w:type="pct"/>
            <w:gridSpan w:val="2"/>
            <w:shd w:val="clear" w:color="auto" w:fill="auto"/>
            <w:tcMar>
              <w:top w:w="57" w:type="dxa"/>
              <w:bottom w:w="57" w:type="dxa"/>
            </w:tcMar>
          </w:tcPr>
          <w:p w14:paraId="0C73F1F3" w14:textId="77777777" w:rsidR="00D35726" w:rsidRPr="00FC27B6" w:rsidRDefault="00D35726" w:rsidP="009F0C3A">
            <w:pPr>
              <w:rPr>
                <w:rFonts w:cs="Arial"/>
                <w:szCs w:val="19"/>
              </w:rPr>
            </w:pPr>
            <w:r>
              <w:rPr>
                <w:rFonts w:cs="Arial"/>
                <w:szCs w:val="19"/>
              </w:rPr>
              <w:t>Nintedanib (</w:t>
            </w:r>
            <w:r>
              <w:rPr>
                <w:rFonts w:cs="Arial"/>
                <w:i/>
                <w:iCs/>
                <w:szCs w:val="19"/>
              </w:rPr>
              <w:t>Ofev</w:t>
            </w:r>
            <w:r>
              <w:rPr>
                <w:rFonts w:cs="Arial"/>
                <w:szCs w:val="19"/>
              </w:rPr>
              <w:t>)</w:t>
            </w:r>
          </w:p>
        </w:tc>
        <w:tc>
          <w:tcPr>
            <w:tcW w:w="3707" w:type="pct"/>
            <w:shd w:val="clear" w:color="auto" w:fill="auto"/>
            <w:tcMar>
              <w:top w:w="57" w:type="dxa"/>
              <w:bottom w:w="57" w:type="dxa"/>
            </w:tcMar>
          </w:tcPr>
          <w:p w14:paraId="5715A090" w14:textId="77777777" w:rsidR="00D35726" w:rsidRDefault="00D35726" w:rsidP="009F0C3A">
            <w:pPr>
              <w:tabs>
                <w:tab w:val="num" w:pos="720"/>
                <w:tab w:val="center" w:pos="3152"/>
              </w:tabs>
              <w:rPr>
                <w:rFonts w:cs="Arial"/>
                <w:sz w:val="16"/>
                <w:szCs w:val="16"/>
                <w:lang w:val="en-US"/>
              </w:rPr>
            </w:pPr>
            <w:r>
              <w:rPr>
                <w:rFonts w:cs="Arial"/>
                <w:szCs w:val="19"/>
                <w:lang w:val="en-US"/>
              </w:rPr>
              <w:t xml:space="preserve">Use </w:t>
            </w:r>
            <w:r w:rsidRPr="00461033">
              <w:rPr>
                <w:rFonts w:cs="Arial"/>
                <w:szCs w:val="19"/>
                <w:lang w:val="en-US"/>
              </w:rPr>
              <w:t xml:space="preserve">in children and adolescents </w:t>
            </w:r>
            <w:r>
              <w:rPr>
                <w:rFonts w:cs="Arial"/>
                <w:szCs w:val="19"/>
                <w:lang w:val="en-US"/>
              </w:rPr>
              <w:t>aged</w:t>
            </w:r>
            <w:r w:rsidRPr="00461033">
              <w:rPr>
                <w:rFonts w:cs="Arial"/>
                <w:szCs w:val="19"/>
                <w:lang w:val="en-US"/>
              </w:rPr>
              <w:t xml:space="preserve"> 6 to 17 years old for the treatment of clinically significant, progressive fibrosing interstitial lung diseases</w:t>
            </w:r>
            <w:r>
              <w:rPr>
                <w:rFonts w:cs="Arial"/>
                <w:szCs w:val="19"/>
                <w:lang w:val="en-US"/>
              </w:rPr>
              <w:t xml:space="preserve"> </w:t>
            </w:r>
            <w:r w:rsidRPr="001D739B">
              <w:rPr>
                <w:rFonts w:cs="Arial"/>
                <w:sz w:val="16"/>
                <w:szCs w:val="16"/>
                <w:lang w:val="en-US"/>
              </w:rPr>
              <w:t>[EU</w:t>
            </w:r>
            <w:r>
              <w:rPr>
                <w:rFonts w:cs="Arial"/>
                <w:sz w:val="16"/>
                <w:szCs w:val="16"/>
                <w:lang w:val="en-US"/>
              </w:rPr>
              <w:t>]</w:t>
            </w:r>
            <w:r w:rsidRPr="001D739B">
              <w:rPr>
                <w:rFonts w:cs="Arial"/>
                <w:sz w:val="16"/>
                <w:szCs w:val="16"/>
                <w:lang w:val="en-US"/>
              </w:rPr>
              <w:t xml:space="preserve"> </w:t>
            </w:r>
          </w:p>
          <w:p w14:paraId="73BD915F" w14:textId="77777777" w:rsidR="00D35726" w:rsidRPr="00D83C78" w:rsidRDefault="00D35726" w:rsidP="009F0C3A">
            <w:pPr>
              <w:tabs>
                <w:tab w:val="num" w:pos="720"/>
                <w:tab w:val="center" w:pos="3152"/>
              </w:tabs>
              <w:rPr>
                <w:rFonts w:cs="Arial"/>
                <w:szCs w:val="19"/>
                <w:lang w:val="en-US"/>
              </w:rPr>
            </w:pPr>
            <w:r w:rsidRPr="001D739B">
              <w:rPr>
                <w:rFonts w:cs="Arial"/>
                <w:sz w:val="16"/>
                <w:szCs w:val="16"/>
                <w:lang w:val="en-US"/>
              </w:rPr>
              <w:t>[new indication</w:t>
            </w:r>
            <w:r>
              <w:rPr>
                <w:rFonts w:cs="Arial"/>
                <w:sz w:val="16"/>
                <w:szCs w:val="16"/>
                <w:lang w:val="en-US"/>
              </w:rPr>
              <w:t xml:space="preserve"> and new 25mg capsule formulation</w:t>
            </w:r>
            <w:r w:rsidRPr="001D739B">
              <w:rPr>
                <w:rFonts w:cs="Arial"/>
                <w:sz w:val="16"/>
                <w:szCs w:val="16"/>
                <w:lang w:val="en-US"/>
              </w:rPr>
              <w:t>]</w:t>
            </w:r>
          </w:p>
        </w:tc>
      </w:tr>
      <w:tr w:rsidR="00D35726" w:rsidRPr="00A075A3" w14:paraId="6DF1A44B" w14:textId="77777777" w:rsidTr="009F0C3A">
        <w:tc>
          <w:tcPr>
            <w:tcW w:w="1293" w:type="pct"/>
            <w:gridSpan w:val="2"/>
            <w:shd w:val="clear" w:color="auto" w:fill="auto"/>
            <w:tcMar>
              <w:top w:w="57" w:type="dxa"/>
              <w:bottom w:w="57" w:type="dxa"/>
            </w:tcMar>
          </w:tcPr>
          <w:p w14:paraId="7F88BDDD" w14:textId="77777777" w:rsidR="00D35726" w:rsidRPr="00ED328D" w:rsidRDefault="00D35726" w:rsidP="009F0C3A">
            <w:pPr>
              <w:rPr>
                <w:rFonts w:cs="Arial"/>
                <w:szCs w:val="19"/>
              </w:rPr>
            </w:pPr>
            <w:r>
              <w:rPr>
                <w:rFonts w:cs="Arial"/>
                <w:szCs w:val="19"/>
              </w:rPr>
              <w:t>Nintedanib (</w:t>
            </w:r>
            <w:r>
              <w:rPr>
                <w:rFonts w:cs="Arial"/>
                <w:i/>
                <w:iCs/>
                <w:szCs w:val="19"/>
              </w:rPr>
              <w:t>Ofev</w:t>
            </w:r>
            <w:r>
              <w:rPr>
                <w:rFonts w:cs="Arial"/>
                <w:szCs w:val="19"/>
              </w:rPr>
              <w:t>)</w:t>
            </w:r>
          </w:p>
        </w:tc>
        <w:tc>
          <w:tcPr>
            <w:tcW w:w="3707" w:type="pct"/>
            <w:shd w:val="clear" w:color="auto" w:fill="auto"/>
            <w:tcMar>
              <w:top w:w="57" w:type="dxa"/>
              <w:bottom w:w="57" w:type="dxa"/>
            </w:tcMar>
          </w:tcPr>
          <w:p w14:paraId="3BE8D2F4" w14:textId="77777777" w:rsidR="00D35726" w:rsidRPr="00D83C78" w:rsidRDefault="00D35726" w:rsidP="009F0C3A">
            <w:pPr>
              <w:tabs>
                <w:tab w:val="num" w:pos="720"/>
                <w:tab w:val="center" w:pos="3152"/>
              </w:tabs>
              <w:rPr>
                <w:rFonts w:cs="Arial"/>
                <w:szCs w:val="19"/>
                <w:lang w:val="en-US"/>
              </w:rPr>
            </w:pPr>
            <w:r>
              <w:rPr>
                <w:rFonts w:cs="Arial"/>
                <w:szCs w:val="19"/>
                <w:lang w:val="en-US"/>
              </w:rPr>
              <w:t xml:space="preserve">Use </w:t>
            </w:r>
            <w:r w:rsidRPr="009826A9">
              <w:rPr>
                <w:rFonts w:cs="Arial"/>
                <w:szCs w:val="19"/>
                <w:lang w:val="en-US"/>
              </w:rPr>
              <w:t xml:space="preserve">in adults, adolescents and children aged </w:t>
            </w:r>
            <w:r>
              <w:rPr>
                <w:rFonts w:cs="Arial"/>
                <w:szCs w:val="19"/>
                <w:lang w:val="en-US"/>
              </w:rPr>
              <w:t>≥</w:t>
            </w:r>
            <w:r w:rsidRPr="009826A9">
              <w:rPr>
                <w:rFonts w:cs="Arial"/>
                <w:szCs w:val="19"/>
                <w:lang w:val="en-US"/>
              </w:rPr>
              <w:t>6 years for the treatment of systemic sclerosis associated interstitial lung disease</w:t>
            </w:r>
            <w:r>
              <w:rPr>
                <w:rFonts w:cs="Arial"/>
                <w:szCs w:val="19"/>
                <w:lang w:val="en-US"/>
              </w:rPr>
              <w:t xml:space="preserve"> </w:t>
            </w:r>
            <w:r w:rsidRPr="00CD7EB8">
              <w:rPr>
                <w:rFonts w:cs="Arial"/>
                <w:sz w:val="16"/>
                <w:szCs w:val="16"/>
                <w:lang w:val="en-US"/>
              </w:rPr>
              <w:t>[EU] [licence change from use only in adults]</w:t>
            </w:r>
          </w:p>
        </w:tc>
      </w:tr>
      <w:tr w:rsidR="00D35726" w:rsidRPr="00A075A3" w14:paraId="0DE8EDF3" w14:textId="77777777" w:rsidTr="009F0C3A">
        <w:tc>
          <w:tcPr>
            <w:tcW w:w="1293" w:type="pct"/>
            <w:gridSpan w:val="2"/>
            <w:shd w:val="clear" w:color="auto" w:fill="auto"/>
            <w:tcMar>
              <w:top w:w="57" w:type="dxa"/>
              <w:bottom w:w="57" w:type="dxa"/>
            </w:tcMar>
          </w:tcPr>
          <w:p w14:paraId="6A38C04A" w14:textId="77777777" w:rsidR="00D35726" w:rsidRPr="002352DC" w:rsidRDefault="00D35726" w:rsidP="009F0C3A">
            <w:pPr>
              <w:rPr>
                <w:rFonts w:cs="Arial"/>
                <w:szCs w:val="19"/>
              </w:rPr>
            </w:pPr>
            <w:proofErr w:type="spellStart"/>
            <w:r>
              <w:rPr>
                <w:rFonts w:cs="Arial"/>
                <w:szCs w:val="19"/>
              </w:rPr>
              <w:t>Rilpivirine</w:t>
            </w:r>
            <w:proofErr w:type="spellEnd"/>
            <w:r>
              <w:rPr>
                <w:rFonts w:cs="Arial"/>
                <w:szCs w:val="19"/>
              </w:rPr>
              <w:t xml:space="preserve"> (</w:t>
            </w:r>
            <w:proofErr w:type="spellStart"/>
            <w:r>
              <w:rPr>
                <w:rFonts w:cs="Arial"/>
                <w:i/>
                <w:iCs/>
                <w:szCs w:val="19"/>
              </w:rPr>
              <w:t>Rekambys</w:t>
            </w:r>
            <w:proofErr w:type="spellEnd"/>
            <w:r>
              <w:rPr>
                <w:rFonts w:cs="Arial"/>
                <w:szCs w:val="19"/>
              </w:rPr>
              <w:t>)</w:t>
            </w:r>
          </w:p>
        </w:tc>
        <w:tc>
          <w:tcPr>
            <w:tcW w:w="3707" w:type="pct"/>
            <w:shd w:val="clear" w:color="auto" w:fill="auto"/>
            <w:tcMar>
              <w:top w:w="57" w:type="dxa"/>
              <w:bottom w:w="57" w:type="dxa"/>
            </w:tcMar>
          </w:tcPr>
          <w:p w14:paraId="1E35B838" w14:textId="47AFA0F2" w:rsidR="00D35726" w:rsidRPr="00D83C78" w:rsidRDefault="00D35726" w:rsidP="009F0C3A">
            <w:pPr>
              <w:tabs>
                <w:tab w:val="num" w:pos="720"/>
                <w:tab w:val="center" w:pos="3152"/>
              </w:tabs>
              <w:rPr>
                <w:rFonts w:cs="Arial"/>
                <w:szCs w:val="19"/>
                <w:lang w:val="en-US"/>
              </w:rPr>
            </w:pPr>
            <w:r>
              <w:rPr>
                <w:rFonts w:cs="Arial"/>
                <w:szCs w:val="19"/>
                <w:lang w:val="en-US"/>
              </w:rPr>
              <w:t xml:space="preserve">Use </w:t>
            </w:r>
            <w:r w:rsidRPr="00FF51DB">
              <w:rPr>
                <w:rFonts w:cs="Arial"/>
                <w:szCs w:val="19"/>
                <w:lang w:val="en-US"/>
              </w:rPr>
              <w:t>in combination with cabotegravir injection, for the treatment of human immunodeficiency virus type 1 (HIV</w:t>
            </w:r>
            <w:r w:rsidRPr="00FF51DB">
              <w:rPr>
                <w:rFonts w:ascii="Cambria Math" w:hAnsi="Cambria Math" w:cs="Cambria Math"/>
                <w:szCs w:val="19"/>
                <w:lang w:val="en-US"/>
              </w:rPr>
              <w:t>‑</w:t>
            </w:r>
            <w:r w:rsidRPr="00FF51DB">
              <w:rPr>
                <w:rFonts w:cs="Arial"/>
                <w:szCs w:val="19"/>
                <w:lang w:val="en-US"/>
              </w:rPr>
              <w:t>1) infection in adults and adolescents (</w:t>
            </w:r>
            <w:r>
              <w:rPr>
                <w:rFonts w:cs="Arial"/>
                <w:szCs w:val="19"/>
                <w:lang w:val="en-US"/>
              </w:rPr>
              <w:t>aged ≥</w:t>
            </w:r>
            <w:r w:rsidRPr="00FF51DB">
              <w:rPr>
                <w:rFonts w:cs="Arial"/>
                <w:szCs w:val="19"/>
                <w:lang w:val="en-US"/>
              </w:rPr>
              <w:t xml:space="preserve">12 years </w:t>
            </w:r>
            <w:r>
              <w:rPr>
                <w:rFonts w:cs="Arial"/>
                <w:szCs w:val="19"/>
                <w:lang w:val="en-US"/>
              </w:rPr>
              <w:t>and</w:t>
            </w:r>
            <w:r w:rsidRPr="00FF51DB">
              <w:rPr>
                <w:rFonts w:cs="Arial"/>
                <w:szCs w:val="19"/>
                <w:lang w:val="en-US"/>
              </w:rPr>
              <w:t xml:space="preserve"> weighing </w:t>
            </w:r>
            <w:r>
              <w:rPr>
                <w:rFonts w:cs="Arial"/>
                <w:szCs w:val="19"/>
                <w:lang w:val="en-US"/>
              </w:rPr>
              <w:t>≥</w:t>
            </w:r>
            <w:r w:rsidRPr="00FF51DB">
              <w:rPr>
                <w:rFonts w:cs="Arial"/>
                <w:szCs w:val="19"/>
                <w:lang w:val="en-US"/>
              </w:rPr>
              <w:t>35 kg) who are virologically suppressed (HIV-1 RNA &lt;50 copies/mL) on a stable antiretroviral regimen without present or past evidence of viral resistance to, and no prior virological failure with, agents of the non-nucleoside reverse transcriptase inhibitor and integrase inhibitor class</w:t>
            </w:r>
            <w:r>
              <w:rPr>
                <w:rFonts w:cs="Arial"/>
                <w:szCs w:val="19"/>
                <w:lang w:val="en-US"/>
              </w:rPr>
              <w:t xml:space="preserve"> </w:t>
            </w:r>
            <w:r w:rsidRPr="00BB03FE">
              <w:rPr>
                <w:rFonts w:cs="Arial"/>
                <w:sz w:val="16"/>
                <w:szCs w:val="16"/>
                <w:lang w:val="en-US"/>
              </w:rPr>
              <w:t>[EU] [</w:t>
            </w:r>
            <w:r>
              <w:rPr>
                <w:rFonts w:cs="Arial"/>
                <w:sz w:val="16"/>
                <w:szCs w:val="16"/>
                <w:lang w:val="en-US"/>
              </w:rPr>
              <w:t>l</w:t>
            </w:r>
            <w:r w:rsidRPr="00BB03FE">
              <w:rPr>
                <w:rFonts w:cs="Arial"/>
                <w:sz w:val="16"/>
                <w:szCs w:val="16"/>
                <w:lang w:val="en-US"/>
              </w:rPr>
              <w:t>icence change from use only in adults]</w:t>
            </w:r>
          </w:p>
        </w:tc>
      </w:tr>
      <w:tr w:rsidR="00D35726" w:rsidRPr="000F19E1" w14:paraId="70F6F460" w14:textId="77777777" w:rsidTr="009F0C3A">
        <w:tc>
          <w:tcPr>
            <w:tcW w:w="1293" w:type="pct"/>
            <w:gridSpan w:val="2"/>
            <w:shd w:val="clear" w:color="auto" w:fill="auto"/>
            <w:tcMar>
              <w:top w:w="0" w:type="dxa"/>
              <w:bottom w:w="0" w:type="dxa"/>
            </w:tcMar>
          </w:tcPr>
          <w:p w14:paraId="55C7782A" w14:textId="77777777" w:rsidR="00D35726" w:rsidRPr="000F19E1" w:rsidRDefault="00D35726" w:rsidP="009F0C3A">
            <w:pPr>
              <w:rPr>
                <w:rFonts w:cs="Arial"/>
                <w:bCs/>
                <w:sz w:val="8"/>
                <w:szCs w:val="8"/>
              </w:rPr>
            </w:pPr>
          </w:p>
        </w:tc>
        <w:tc>
          <w:tcPr>
            <w:tcW w:w="3707" w:type="pct"/>
            <w:shd w:val="clear" w:color="auto" w:fill="auto"/>
            <w:tcMar>
              <w:top w:w="0" w:type="dxa"/>
              <w:bottom w:w="0" w:type="dxa"/>
            </w:tcMar>
          </w:tcPr>
          <w:p w14:paraId="6059D2C0" w14:textId="77777777" w:rsidR="00D35726" w:rsidRPr="000F19E1" w:rsidRDefault="00D35726" w:rsidP="009F0C3A">
            <w:pPr>
              <w:tabs>
                <w:tab w:val="center" w:pos="3152"/>
              </w:tabs>
              <w:rPr>
                <w:rFonts w:cs="Arial"/>
                <w:sz w:val="8"/>
                <w:szCs w:val="8"/>
                <w:lang w:val="en-US"/>
              </w:rPr>
            </w:pPr>
          </w:p>
        </w:tc>
      </w:tr>
      <w:tr w:rsidR="00D35726" w:rsidRPr="000F19E1" w14:paraId="67E5A07D" w14:textId="77777777" w:rsidTr="009F0C3A">
        <w:tc>
          <w:tcPr>
            <w:tcW w:w="1152" w:type="pct"/>
            <w:shd w:val="clear" w:color="auto" w:fill="DAEEF3"/>
            <w:tcMar>
              <w:top w:w="0" w:type="dxa"/>
              <w:bottom w:w="0" w:type="dxa"/>
            </w:tcMar>
          </w:tcPr>
          <w:p w14:paraId="4D0A04E7" w14:textId="77777777" w:rsidR="00D35726" w:rsidRPr="000F19E1" w:rsidRDefault="00D35726" w:rsidP="009F0C3A">
            <w:pPr>
              <w:rPr>
                <w:rFonts w:cs="Arial"/>
                <w:bCs/>
                <w:sz w:val="8"/>
                <w:szCs w:val="8"/>
              </w:rPr>
            </w:pPr>
          </w:p>
        </w:tc>
        <w:tc>
          <w:tcPr>
            <w:tcW w:w="3848" w:type="pct"/>
            <w:gridSpan w:val="2"/>
            <w:shd w:val="clear" w:color="auto" w:fill="DAEEF3"/>
            <w:tcMar>
              <w:top w:w="0" w:type="dxa"/>
              <w:bottom w:w="0" w:type="dxa"/>
            </w:tcMar>
          </w:tcPr>
          <w:p w14:paraId="146AFFD7" w14:textId="77777777" w:rsidR="00D35726" w:rsidRPr="000F19E1" w:rsidRDefault="00D35726" w:rsidP="009F0C3A">
            <w:pPr>
              <w:tabs>
                <w:tab w:val="center" w:pos="3152"/>
              </w:tabs>
              <w:rPr>
                <w:rFonts w:cs="Arial"/>
                <w:sz w:val="8"/>
                <w:szCs w:val="8"/>
                <w:lang w:val="en-US"/>
              </w:rPr>
            </w:pPr>
          </w:p>
        </w:tc>
      </w:tr>
    </w:tbl>
    <w:p w14:paraId="35FF45AD" w14:textId="77777777" w:rsidR="00D35726" w:rsidRDefault="00D35726"/>
    <w:p w14:paraId="0E729E76" w14:textId="77777777" w:rsidR="00D35726" w:rsidRDefault="00D35726"/>
    <w:p w14:paraId="4F3FB60E" w14:textId="77777777" w:rsidR="00D35726" w:rsidRDefault="00D35726"/>
    <w:p w14:paraId="4DFAF0B4" w14:textId="77777777" w:rsidR="00167E9C" w:rsidRDefault="00167E9C"/>
    <w:tbl>
      <w:tblPr>
        <w:tblW w:w="5170" w:type="pct"/>
        <w:tblInd w:w="-176" w:type="dxa"/>
        <w:tblLayout w:type="fixed"/>
        <w:tblLook w:val="01E0" w:firstRow="1" w:lastRow="1" w:firstColumn="1" w:lastColumn="1" w:noHBand="0" w:noVBand="0"/>
      </w:tblPr>
      <w:tblGrid>
        <w:gridCol w:w="2430"/>
        <w:gridCol w:w="298"/>
        <w:gridCol w:w="7823"/>
      </w:tblGrid>
      <w:tr w:rsidR="00167E9C" w:rsidRPr="00862949" w14:paraId="20A2DC1D" w14:textId="77777777" w:rsidTr="009F0C3A">
        <w:tc>
          <w:tcPr>
            <w:tcW w:w="5000" w:type="pct"/>
            <w:gridSpan w:val="3"/>
            <w:shd w:val="clear" w:color="auto" w:fill="0070C0"/>
            <w:tcMar>
              <w:top w:w="85" w:type="dxa"/>
              <w:bottom w:w="85" w:type="dxa"/>
            </w:tcMar>
            <w:vAlign w:val="bottom"/>
          </w:tcPr>
          <w:p w14:paraId="66FA051B" w14:textId="77777777" w:rsidR="00167E9C" w:rsidRPr="00862949" w:rsidRDefault="00167E9C" w:rsidP="009F0C3A">
            <w:pPr>
              <w:rPr>
                <w:rFonts w:cs="Arial"/>
                <w:color w:val="FFFFFF"/>
                <w:sz w:val="15"/>
                <w:szCs w:val="15"/>
              </w:rPr>
            </w:pPr>
            <w:r w:rsidRPr="00862949">
              <w:rPr>
                <w:rFonts w:cs="Arial"/>
                <w:b/>
                <w:bCs/>
                <w:iCs/>
                <w:color w:val="FFFFFF"/>
                <w:sz w:val="28"/>
                <w:szCs w:val="28"/>
                <w:lang w:val="en-US"/>
              </w:rPr>
              <w:t xml:space="preserve">Regulatory changes in the </w:t>
            </w:r>
            <w:r>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167E9C" w:rsidRPr="000F19E1" w14:paraId="5BEB2239" w14:textId="77777777" w:rsidTr="009F0C3A">
        <w:tc>
          <w:tcPr>
            <w:tcW w:w="1152" w:type="pct"/>
            <w:shd w:val="clear" w:color="auto" w:fill="DAEEF3"/>
            <w:tcMar>
              <w:top w:w="0" w:type="dxa"/>
              <w:bottom w:w="0" w:type="dxa"/>
            </w:tcMar>
          </w:tcPr>
          <w:p w14:paraId="22E30F51" w14:textId="77777777" w:rsidR="00167E9C" w:rsidRPr="000F19E1" w:rsidRDefault="00167E9C" w:rsidP="009F0C3A">
            <w:pPr>
              <w:rPr>
                <w:rFonts w:cs="Arial"/>
                <w:bCs/>
                <w:sz w:val="8"/>
                <w:szCs w:val="8"/>
              </w:rPr>
            </w:pPr>
          </w:p>
        </w:tc>
        <w:tc>
          <w:tcPr>
            <w:tcW w:w="3848" w:type="pct"/>
            <w:gridSpan w:val="2"/>
            <w:shd w:val="clear" w:color="auto" w:fill="DAEEF3"/>
            <w:tcMar>
              <w:top w:w="0" w:type="dxa"/>
              <w:bottom w:w="0" w:type="dxa"/>
            </w:tcMar>
          </w:tcPr>
          <w:p w14:paraId="7BCF548A" w14:textId="77777777" w:rsidR="00167E9C" w:rsidRPr="000F19E1" w:rsidRDefault="00167E9C" w:rsidP="009F0C3A">
            <w:pPr>
              <w:tabs>
                <w:tab w:val="center" w:pos="3152"/>
              </w:tabs>
              <w:rPr>
                <w:rFonts w:cs="Arial"/>
                <w:sz w:val="8"/>
                <w:szCs w:val="8"/>
                <w:lang w:val="en-US"/>
              </w:rPr>
            </w:pPr>
          </w:p>
        </w:tc>
      </w:tr>
      <w:tr w:rsidR="00167E9C" w:rsidRPr="00433D3E" w14:paraId="44AFA1E8" w14:textId="77777777" w:rsidTr="009F0C3A">
        <w:tc>
          <w:tcPr>
            <w:tcW w:w="5000" w:type="pct"/>
            <w:gridSpan w:val="3"/>
            <w:shd w:val="clear" w:color="auto" w:fill="00B050"/>
            <w:tcMar>
              <w:top w:w="57" w:type="dxa"/>
              <w:bottom w:w="57" w:type="dxa"/>
            </w:tcMar>
          </w:tcPr>
          <w:p w14:paraId="668CDAB8" w14:textId="77777777" w:rsidR="00167E9C" w:rsidRPr="0021490D" w:rsidRDefault="00167E9C" w:rsidP="009F0C3A">
            <w:pPr>
              <w:rPr>
                <w:rFonts w:cs="Arial"/>
                <w:noProof/>
                <w:color w:val="FFFFFF"/>
                <w:sz w:val="16"/>
                <w:szCs w:val="16"/>
              </w:rPr>
            </w:pPr>
            <w:r>
              <w:rPr>
                <w:rFonts w:cs="Arial"/>
                <w:b/>
                <w:bCs/>
                <w:i/>
                <w:iCs/>
                <w:color w:val="FFFFFF"/>
                <w:sz w:val="22"/>
                <w:szCs w:val="20"/>
                <w:lang w:val="en-US"/>
              </w:rPr>
              <w:t xml:space="preserve">Recommended for approval in </w:t>
            </w:r>
            <w:r w:rsidRPr="00433D3E">
              <w:rPr>
                <w:rFonts w:cs="Arial"/>
                <w:b/>
                <w:bCs/>
                <w:i/>
                <w:iCs/>
                <w:color w:val="FFFFFF"/>
                <w:sz w:val="22"/>
                <w:szCs w:val="20"/>
                <w:lang w:val="en-US"/>
              </w:rPr>
              <w:t xml:space="preserve">the </w:t>
            </w:r>
            <w:r>
              <w:rPr>
                <w:rFonts w:cs="Arial"/>
                <w:b/>
                <w:bCs/>
                <w:i/>
                <w:iCs/>
                <w:color w:val="FFFFFF"/>
                <w:sz w:val="22"/>
                <w:szCs w:val="20"/>
                <w:lang w:val="en-US"/>
              </w:rPr>
              <w:t xml:space="preserve">UK or </w:t>
            </w:r>
            <w:r w:rsidRPr="00433D3E">
              <w:rPr>
                <w:rFonts w:cs="Arial"/>
                <w:b/>
                <w:bCs/>
                <w:i/>
                <w:iCs/>
                <w:color w:val="FFFFFF"/>
                <w:sz w:val="22"/>
                <w:szCs w:val="20"/>
                <w:lang w:val="en-US"/>
              </w:rPr>
              <w:t>EU</w:t>
            </w:r>
            <w:r>
              <w:rPr>
                <w:rFonts w:cs="Arial"/>
                <w:b/>
                <w:bCs/>
                <w:i/>
                <w:iCs/>
                <w:color w:val="FFFFFF"/>
                <w:sz w:val="22"/>
                <w:szCs w:val="20"/>
                <w:lang w:val="en-US"/>
              </w:rPr>
              <w:t xml:space="preserve"> </w:t>
            </w:r>
            <w:r w:rsidRPr="0021490D">
              <w:rPr>
                <w:rFonts w:cs="Arial"/>
                <w:b/>
                <w:bCs/>
                <w:color w:val="FFFFFF"/>
                <w:sz w:val="16"/>
                <w:szCs w:val="14"/>
                <w:lang w:val="en-US"/>
              </w:rPr>
              <w:t>(continued)</w:t>
            </w:r>
          </w:p>
        </w:tc>
      </w:tr>
      <w:tr w:rsidR="00167E9C" w:rsidRPr="00A075A3" w14:paraId="0EF17170" w14:textId="77777777" w:rsidTr="009F0C3A">
        <w:tc>
          <w:tcPr>
            <w:tcW w:w="1293" w:type="pct"/>
            <w:gridSpan w:val="2"/>
            <w:shd w:val="clear" w:color="auto" w:fill="auto"/>
            <w:tcMar>
              <w:top w:w="57" w:type="dxa"/>
              <w:bottom w:w="57" w:type="dxa"/>
            </w:tcMar>
          </w:tcPr>
          <w:p w14:paraId="20E30BB0" w14:textId="77777777" w:rsidR="00167E9C" w:rsidRDefault="00167E9C" w:rsidP="009F0C3A">
            <w:pPr>
              <w:rPr>
                <w:rFonts w:cs="Arial"/>
                <w:szCs w:val="19"/>
              </w:rPr>
            </w:pPr>
            <w:proofErr w:type="spellStart"/>
            <w:r w:rsidRPr="009322D6">
              <w:rPr>
                <w:rFonts w:cs="Arial"/>
                <w:szCs w:val="19"/>
              </w:rPr>
              <w:t>Seladelpar</w:t>
            </w:r>
            <w:proofErr w:type="spellEnd"/>
            <w:r>
              <w:rPr>
                <w:rFonts w:cs="Arial"/>
                <w:szCs w:val="19"/>
              </w:rPr>
              <w:t xml:space="preserve"> </w:t>
            </w:r>
          </w:p>
          <w:p w14:paraId="41442093" w14:textId="77777777" w:rsidR="00167E9C" w:rsidRPr="00785862" w:rsidRDefault="00167E9C" w:rsidP="009F0C3A">
            <w:pPr>
              <w:rPr>
                <w:rFonts w:cs="Arial"/>
                <w:szCs w:val="19"/>
              </w:rPr>
            </w:pPr>
            <w:r>
              <w:rPr>
                <w:rFonts w:cs="Arial"/>
                <w:szCs w:val="19"/>
              </w:rPr>
              <w:t>(</w:t>
            </w:r>
            <w:proofErr w:type="spellStart"/>
            <w:r w:rsidRPr="00E81313">
              <w:rPr>
                <w:rFonts w:cs="Arial"/>
                <w:i/>
                <w:iCs/>
                <w:szCs w:val="19"/>
              </w:rPr>
              <w:t>Seladelpar</w:t>
            </w:r>
            <w:proofErr w:type="spellEnd"/>
            <w:r w:rsidRPr="00E81313">
              <w:rPr>
                <w:rFonts w:cs="Arial"/>
                <w:i/>
                <w:iCs/>
                <w:szCs w:val="19"/>
              </w:rPr>
              <w:t xml:space="preserve"> Gilead</w:t>
            </w:r>
            <w:r>
              <w:rPr>
                <w:rFonts w:cs="Arial"/>
                <w:szCs w:val="19"/>
              </w:rPr>
              <w:t>)</w:t>
            </w:r>
          </w:p>
        </w:tc>
        <w:tc>
          <w:tcPr>
            <w:tcW w:w="3707" w:type="pct"/>
            <w:shd w:val="clear" w:color="auto" w:fill="auto"/>
            <w:tcMar>
              <w:top w:w="57" w:type="dxa"/>
              <w:bottom w:w="57" w:type="dxa"/>
            </w:tcMar>
          </w:tcPr>
          <w:p w14:paraId="6DA285BC" w14:textId="77777777" w:rsidR="00167E9C" w:rsidRDefault="00167E9C" w:rsidP="009F0C3A">
            <w:pPr>
              <w:tabs>
                <w:tab w:val="num" w:pos="720"/>
                <w:tab w:val="center" w:pos="3152"/>
              </w:tabs>
              <w:rPr>
                <w:rFonts w:cs="Arial"/>
                <w:szCs w:val="19"/>
                <w:lang w:val="en-US"/>
              </w:rPr>
            </w:pPr>
            <w:r w:rsidRPr="00D83C78">
              <w:rPr>
                <w:rFonts w:cs="Arial"/>
                <w:szCs w:val="19"/>
                <w:lang w:val="en-US"/>
              </w:rPr>
              <w:t>Treatment of primary biliary cholangitis in combination with ursodeoxycholic acid (UDCA) in adults who have an inadequate response to UDCA alone, or as monotherapy in those unable to tolerate UDCA</w:t>
            </w:r>
            <w:r>
              <w:rPr>
                <w:rFonts w:cs="Arial"/>
                <w:szCs w:val="19"/>
                <w:lang w:val="en-US"/>
              </w:rPr>
              <w:t xml:space="preserve"> </w:t>
            </w:r>
            <w:r w:rsidRPr="007D7D60">
              <w:rPr>
                <w:rFonts w:cs="Arial"/>
                <w:sz w:val="16"/>
                <w:szCs w:val="16"/>
                <w:lang w:val="en-US"/>
              </w:rPr>
              <w:t>[EU]</w:t>
            </w:r>
          </w:p>
        </w:tc>
      </w:tr>
      <w:tr w:rsidR="00167E9C" w:rsidRPr="00A075A3" w14:paraId="04FF123D" w14:textId="77777777" w:rsidTr="009F0C3A">
        <w:tc>
          <w:tcPr>
            <w:tcW w:w="1293" w:type="pct"/>
            <w:gridSpan w:val="2"/>
            <w:shd w:val="clear" w:color="auto" w:fill="auto"/>
            <w:tcMar>
              <w:top w:w="57" w:type="dxa"/>
              <w:bottom w:w="57" w:type="dxa"/>
            </w:tcMar>
          </w:tcPr>
          <w:p w14:paraId="5F999E24" w14:textId="77777777" w:rsidR="00167E9C" w:rsidRPr="00E411E8" w:rsidRDefault="00167E9C" w:rsidP="009F0C3A">
            <w:pPr>
              <w:rPr>
                <w:rFonts w:cs="Arial"/>
                <w:szCs w:val="19"/>
              </w:rPr>
            </w:pPr>
            <w:proofErr w:type="spellStart"/>
            <w:r w:rsidRPr="00447E88">
              <w:rPr>
                <w:rFonts w:cs="Arial"/>
                <w:szCs w:val="19"/>
              </w:rPr>
              <w:t>Sipavibart</w:t>
            </w:r>
            <w:proofErr w:type="spellEnd"/>
            <w:r>
              <w:rPr>
                <w:rFonts w:cs="Arial"/>
                <w:szCs w:val="19"/>
              </w:rPr>
              <w:t xml:space="preserve"> (</w:t>
            </w:r>
            <w:proofErr w:type="spellStart"/>
            <w:r>
              <w:rPr>
                <w:rFonts w:cs="Arial"/>
                <w:i/>
                <w:iCs/>
                <w:szCs w:val="19"/>
              </w:rPr>
              <w:t>Kavigale</w:t>
            </w:r>
            <w:proofErr w:type="spellEnd"/>
            <w:r>
              <w:rPr>
                <w:rFonts w:cs="Arial"/>
                <w:szCs w:val="19"/>
              </w:rPr>
              <w:t>)</w:t>
            </w:r>
          </w:p>
        </w:tc>
        <w:tc>
          <w:tcPr>
            <w:tcW w:w="3707" w:type="pct"/>
            <w:shd w:val="clear" w:color="auto" w:fill="auto"/>
            <w:tcMar>
              <w:top w:w="57" w:type="dxa"/>
              <w:bottom w:w="57" w:type="dxa"/>
            </w:tcMar>
          </w:tcPr>
          <w:p w14:paraId="2354BDB8" w14:textId="77777777" w:rsidR="00167E9C" w:rsidRDefault="00167E9C" w:rsidP="009F0C3A">
            <w:pPr>
              <w:tabs>
                <w:tab w:val="num" w:pos="720"/>
                <w:tab w:val="center" w:pos="3152"/>
              </w:tabs>
              <w:rPr>
                <w:rFonts w:cs="Arial"/>
                <w:szCs w:val="19"/>
                <w:lang w:val="en-US"/>
              </w:rPr>
            </w:pPr>
            <w:r w:rsidRPr="00AD1C12">
              <w:rPr>
                <w:rFonts w:cs="Arial"/>
                <w:szCs w:val="19"/>
                <w:lang w:val="en-US"/>
              </w:rPr>
              <w:t>Pre</w:t>
            </w:r>
            <w:r w:rsidRPr="00AD1C12">
              <w:rPr>
                <w:rFonts w:ascii="Cambria Math" w:hAnsi="Cambria Math" w:cs="Cambria Math"/>
                <w:szCs w:val="19"/>
                <w:lang w:val="en-US"/>
              </w:rPr>
              <w:t>‑</w:t>
            </w:r>
            <w:r w:rsidRPr="00AD1C12">
              <w:rPr>
                <w:rFonts w:cs="Arial"/>
                <w:szCs w:val="19"/>
                <w:lang w:val="en-US"/>
              </w:rPr>
              <w:t>exposure prophylaxis of COVID</w:t>
            </w:r>
            <w:r w:rsidRPr="00AD1C12">
              <w:rPr>
                <w:rFonts w:ascii="Cambria Math" w:hAnsi="Cambria Math" w:cs="Cambria Math"/>
                <w:szCs w:val="19"/>
                <w:lang w:val="en-US"/>
              </w:rPr>
              <w:t>‑</w:t>
            </w:r>
            <w:r w:rsidRPr="00AD1C12">
              <w:rPr>
                <w:rFonts w:cs="Arial"/>
                <w:szCs w:val="19"/>
                <w:lang w:val="en-US"/>
              </w:rPr>
              <w:t xml:space="preserve">19 in adults and adolescents </w:t>
            </w:r>
            <w:r>
              <w:rPr>
                <w:rFonts w:cs="Arial"/>
                <w:szCs w:val="19"/>
                <w:lang w:val="en-US"/>
              </w:rPr>
              <w:t>aged ≥</w:t>
            </w:r>
            <w:r w:rsidRPr="00AD1C12">
              <w:rPr>
                <w:rFonts w:cs="Arial"/>
                <w:szCs w:val="19"/>
                <w:lang w:val="en-US"/>
              </w:rPr>
              <w:t xml:space="preserve">12 years weighing </w:t>
            </w:r>
            <w:r>
              <w:rPr>
                <w:rFonts w:cs="Arial"/>
                <w:szCs w:val="19"/>
                <w:lang w:val="en-US"/>
              </w:rPr>
              <w:t>≥</w:t>
            </w:r>
            <w:r w:rsidRPr="00AD1C12">
              <w:rPr>
                <w:rFonts w:cs="Arial"/>
                <w:szCs w:val="19"/>
                <w:lang w:val="en-US"/>
              </w:rPr>
              <w:t>40kg and who are immunocompromised due to a medical condition or receipt of immunosuppressive treatments</w:t>
            </w:r>
            <w:r>
              <w:rPr>
                <w:rFonts w:cs="Arial"/>
                <w:szCs w:val="19"/>
                <w:lang w:val="en-US"/>
              </w:rPr>
              <w:t xml:space="preserve"> </w:t>
            </w:r>
            <w:r w:rsidRPr="007D7D60">
              <w:rPr>
                <w:rFonts w:cs="Arial"/>
                <w:sz w:val="16"/>
                <w:szCs w:val="16"/>
                <w:lang w:val="en-US"/>
              </w:rPr>
              <w:t>[EU]</w:t>
            </w:r>
          </w:p>
        </w:tc>
      </w:tr>
      <w:tr w:rsidR="00167E9C" w:rsidRPr="00A075A3" w14:paraId="339FF6B1" w14:textId="77777777" w:rsidTr="009F0C3A">
        <w:tc>
          <w:tcPr>
            <w:tcW w:w="1293" w:type="pct"/>
            <w:gridSpan w:val="2"/>
            <w:shd w:val="clear" w:color="auto" w:fill="auto"/>
            <w:tcMar>
              <w:top w:w="57" w:type="dxa"/>
              <w:bottom w:w="57" w:type="dxa"/>
            </w:tcMar>
          </w:tcPr>
          <w:p w14:paraId="486B7232" w14:textId="77777777" w:rsidR="00167E9C" w:rsidRPr="00447E88" w:rsidRDefault="00167E9C" w:rsidP="009F0C3A">
            <w:pPr>
              <w:rPr>
                <w:rFonts w:cs="Arial"/>
                <w:szCs w:val="19"/>
              </w:rPr>
            </w:pPr>
            <w:proofErr w:type="spellStart"/>
            <w:r w:rsidRPr="00610C38">
              <w:rPr>
                <w:rFonts w:cs="Arial"/>
                <w:szCs w:val="19"/>
              </w:rPr>
              <w:t>Sugammadex</w:t>
            </w:r>
            <w:proofErr w:type="spellEnd"/>
            <w:r w:rsidRPr="00610C38">
              <w:rPr>
                <w:rFonts w:cs="Arial"/>
                <w:szCs w:val="19"/>
              </w:rPr>
              <w:t xml:space="preserve"> (</w:t>
            </w:r>
            <w:proofErr w:type="spellStart"/>
            <w:r w:rsidRPr="00610C38">
              <w:rPr>
                <w:rFonts w:cs="Arial"/>
                <w:i/>
                <w:iCs/>
                <w:szCs w:val="19"/>
              </w:rPr>
              <w:t>Bridion</w:t>
            </w:r>
            <w:proofErr w:type="spellEnd"/>
            <w:r w:rsidRPr="00610C38">
              <w:rPr>
                <w:rFonts w:cs="Arial"/>
                <w:szCs w:val="19"/>
              </w:rPr>
              <w:t>)</w:t>
            </w:r>
          </w:p>
        </w:tc>
        <w:tc>
          <w:tcPr>
            <w:tcW w:w="3707" w:type="pct"/>
            <w:shd w:val="clear" w:color="auto" w:fill="auto"/>
            <w:tcMar>
              <w:top w:w="57" w:type="dxa"/>
              <w:bottom w:w="57" w:type="dxa"/>
            </w:tcMar>
          </w:tcPr>
          <w:p w14:paraId="5D08BF4E" w14:textId="77777777" w:rsidR="00167E9C" w:rsidRPr="00AD1C12" w:rsidRDefault="00167E9C" w:rsidP="009F0C3A">
            <w:pPr>
              <w:tabs>
                <w:tab w:val="num" w:pos="720"/>
                <w:tab w:val="center" w:pos="3152"/>
              </w:tabs>
              <w:rPr>
                <w:rFonts w:cs="Arial"/>
                <w:szCs w:val="19"/>
                <w:lang w:val="en-US"/>
              </w:rPr>
            </w:pPr>
            <w:r w:rsidRPr="005E0A98">
              <w:rPr>
                <w:rFonts w:cs="Arial"/>
                <w:szCs w:val="19"/>
                <w:lang w:val="en-US"/>
              </w:rPr>
              <w:t>Routine reversal of rocuronium induced blockade in paediatric patients from birth to 17 years</w:t>
            </w:r>
            <w:r>
              <w:rPr>
                <w:rFonts w:cs="Arial"/>
                <w:szCs w:val="19"/>
                <w:lang w:val="en-US"/>
              </w:rPr>
              <w:t xml:space="preserve"> </w:t>
            </w:r>
            <w:r w:rsidRPr="005E0A98">
              <w:rPr>
                <w:rFonts w:cs="Arial"/>
                <w:sz w:val="16"/>
                <w:szCs w:val="16"/>
                <w:lang w:val="en-US"/>
              </w:rPr>
              <w:t>[EU] [licence change from use in paediatric patients aged ≥2 years]</w:t>
            </w:r>
          </w:p>
        </w:tc>
      </w:tr>
      <w:tr w:rsidR="00167E9C" w:rsidRPr="00A075A3" w14:paraId="048ACF3C" w14:textId="77777777" w:rsidTr="009F0C3A">
        <w:tc>
          <w:tcPr>
            <w:tcW w:w="1293" w:type="pct"/>
            <w:gridSpan w:val="2"/>
            <w:shd w:val="clear" w:color="auto" w:fill="auto"/>
            <w:tcMar>
              <w:top w:w="57" w:type="dxa"/>
              <w:bottom w:w="57" w:type="dxa"/>
            </w:tcMar>
          </w:tcPr>
          <w:p w14:paraId="1AC7B899" w14:textId="77777777" w:rsidR="00167E9C" w:rsidRPr="00374C53" w:rsidRDefault="00167E9C" w:rsidP="009F0C3A">
            <w:pPr>
              <w:rPr>
                <w:rFonts w:cs="Arial"/>
                <w:szCs w:val="19"/>
              </w:rPr>
            </w:pPr>
            <w:r w:rsidRPr="00374C53">
              <w:rPr>
                <w:rFonts w:cs="Arial"/>
                <w:szCs w:val="19"/>
              </w:rPr>
              <w:t>Tocilizumab biosimilar (</w:t>
            </w:r>
            <w:proofErr w:type="spellStart"/>
            <w:r w:rsidRPr="003E479B">
              <w:rPr>
                <w:rFonts w:cs="Arial"/>
                <w:i/>
                <w:iCs/>
                <w:szCs w:val="19"/>
              </w:rPr>
              <w:t>Avtozma</w:t>
            </w:r>
            <w:proofErr w:type="spellEnd"/>
            <w:r w:rsidRPr="00374C53">
              <w:rPr>
                <w:rFonts w:cs="Arial"/>
                <w:szCs w:val="19"/>
              </w:rPr>
              <w:t>) </w:t>
            </w:r>
          </w:p>
        </w:tc>
        <w:tc>
          <w:tcPr>
            <w:tcW w:w="3707" w:type="pct"/>
            <w:shd w:val="clear" w:color="auto" w:fill="auto"/>
            <w:tcMar>
              <w:top w:w="57" w:type="dxa"/>
              <w:bottom w:w="57" w:type="dxa"/>
            </w:tcMar>
          </w:tcPr>
          <w:p w14:paraId="7B018651" w14:textId="4C9B7DFD" w:rsidR="00167E9C" w:rsidRPr="00AD1C12" w:rsidRDefault="00167E9C" w:rsidP="008A3B65">
            <w:pPr>
              <w:tabs>
                <w:tab w:val="num" w:pos="720"/>
                <w:tab w:val="center" w:pos="3152"/>
              </w:tabs>
              <w:rPr>
                <w:rFonts w:cs="Arial"/>
                <w:szCs w:val="19"/>
                <w:lang w:val="en-US"/>
              </w:rPr>
            </w:pPr>
            <w:r>
              <w:rPr>
                <w:rFonts w:cs="Arial"/>
                <w:szCs w:val="19"/>
                <w:lang w:val="en-US"/>
              </w:rPr>
              <w:t xml:space="preserve">Use as monotherapy or </w:t>
            </w:r>
            <w:r w:rsidRPr="00E872A4">
              <w:rPr>
                <w:rFonts w:cs="Arial"/>
                <w:szCs w:val="19"/>
                <w:lang w:val="en-US"/>
              </w:rPr>
              <w:t>in combination with methotrexate (MTX)</w:t>
            </w:r>
            <w:r>
              <w:rPr>
                <w:rFonts w:cs="Arial"/>
                <w:szCs w:val="19"/>
                <w:lang w:val="en-US"/>
              </w:rPr>
              <w:t xml:space="preserve"> </w:t>
            </w:r>
            <w:r w:rsidRPr="00E872A4">
              <w:rPr>
                <w:rFonts w:cs="Arial"/>
                <w:szCs w:val="19"/>
                <w:lang w:val="en-US"/>
              </w:rPr>
              <w:t>for</w:t>
            </w:r>
            <w:r>
              <w:rPr>
                <w:rFonts w:cs="Arial"/>
                <w:szCs w:val="19"/>
                <w:lang w:val="en-US"/>
              </w:rPr>
              <w:t xml:space="preserve"> </w:t>
            </w:r>
            <w:r w:rsidRPr="00E872A4">
              <w:rPr>
                <w:rFonts w:cs="Arial"/>
                <w:szCs w:val="19"/>
                <w:lang w:val="en-US"/>
              </w:rPr>
              <w:t xml:space="preserve">the treatment of severe, </w:t>
            </w:r>
            <w:proofErr w:type="gramStart"/>
            <w:r w:rsidRPr="00E872A4">
              <w:rPr>
                <w:rFonts w:cs="Arial"/>
                <w:szCs w:val="19"/>
                <w:lang w:val="en-US"/>
              </w:rPr>
              <w:t>active</w:t>
            </w:r>
            <w:proofErr w:type="gramEnd"/>
            <w:r w:rsidRPr="00E872A4">
              <w:rPr>
                <w:rFonts w:cs="Arial"/>
                <w:szCs w:val="19"/>
                <w:lang w:val="en-US"/>
              </w:rPr>
              <w:t xml:space="preserve"> and progressive rheumatoid arthritis (RA) in adults not previously treated with MTX</w:t>
            </w:r>
            <w:r>
              <w:rPr>
                <w:rFonts w:cs="Arial"/>
                <w:szCs w:val="19"/>
                <w:lang w:val="en-US"/>
              </w:rPr>
              <w:t>, and t</w:t>
            </w:r>
            <w:r w:rsidRPr="00E872A4">
              <w:rPr>
                <w:rFonts w:cs="Arial"/>
                <w:szCs w:val="19"/>
                <w:lang w:val="en-US"/>
              </w:rPr>
              <w:t>reatment of moderate to severe active RA in adults who have either responded inadequately to, or who were intolerant to, previous therapy with one or more disease-modifying anti-rheumatic drugs or tumour necrosis factor antagonists.</w:t>
            </w:r>
            <w:r>
              <w:rPr>
                <w:rFonts w:cs="Arial"/>
                <w:szCs w:val="19"/>
                <w:lang w:val="en-US"/>
              </w:rPr>
              <w:t xml:space="preserve"> Also for t</w:t>
            </w:r>
            <w:r w:rsidRPr="007C4497">
              <w:rPr>
                <w:rFonts w:cs="Arial"/>
                <w:szCs w:val="19"/>
                <w:lang w:val="en-US"/>
              </w:rPr>
              <w:t>reatment of coronavirus disease 2019 (COVID-19) in adults who are receiving systemic corticosteroids and require supplemental oxygen or mechanical ventilation</w:t>
            </w:r>
            <w:r>
              <w:rPr>
                <w:rFonts w:cs="Arial"/>
                <w:szCs w:val="19"/>
                <w:lang w:val="en-US"/>
              </w:rPr>
              <w:t xml:space="preserve">, use as monotherapy or in combination with MTX for </w:t>
            </w:r>
            <w:r w:rsidRPr="009625A5">
              <w:rPr>
                <w:rFonts w:cs="Arial"/>
                <w:szCs w:val="19"/>
                <w:lang w:val="en-US"/>
              </w:rPr>
              <w:t xml:space="preserve">treatment of active systemic juvenile idiopathic arthritis in patients </w:t>
            </w:r>
            <w:r>
              <w:rPr>
                <w:rFonts w:cs="Arial"/>
                <w:szCs w:val="19"/>
                <w:lang w:val="en-US"/>
              </w:rPr>
              <w:t xml:space="preserve">aged </w:t>
            </w:r>
            <w:r w:rsidRPr="001F73A1">
              <w:rPr>
                <w:rFonts w:cs="Arial"/>
                <w:b/>
                <w:bCs/>
                <w:szCs w:val="19"/>
                <w:lang w:val="en-US"/>
              </w:rPr>
              <w:t>≥2 years</w:t>
            </w:r>
            <w:r w:rsidRPr="009625A5">
              <w:rPr>
                <w:rFonts w:cs="Arial"/>
                <w:szCs w:val="19"/>
                <w:lang w:val="en-US"/>
              </w:rPr>
              <w:t xml:space="preserve"> who have responded inadequately to previous therapy with </w:t>
            </w:r>
            <w:r w:rsidR="008A3B65" w:rsidRPr="008A3B65">
              <w:rPr>
                <w:rFonts w:cs="Arial"/>
                <w:szCs w:val="19"/>
                <w:lang w:val="en-US"/>
              </w:rPr>
              <w:t>non-steroidal anti-inflammatory drugs</w:t>
            </w:r>
            <w:r w:rsidR="008A3B65">
              <w:rPr>
                <w:rFonts w:cs="Arial"/>
                <w:szCs w:val="19"/>
                <w:lang w:val="en-US"/>
              </w:rPr>
              <w:t xml:space="preserve"> </w:t>
            </w:r>
            <w:r w:rsidRPr="009625A5">
              <w:rPr>
                <w:rFonts w:cs="Arial"/>
                <w:szCs w:val="19"/>
                <w:lang w:val="en-US"/>
              </w:rPr>
              <w:t>and systemic corticosteroids</w:t>
            </w:r>
            <w:r>
              <w:rPr>
                <w:rFonts w:cs="Arial"/>
                <w:szCs w:val="19"/>
                <w:lang w:val="en-US"/>
              </w:rPr>
              <w:t xml:space="preserve">, use as monotherapy or </w:t>
            </w:r>
            <w:r w:rsidRPr="009625A5">
              <w:rPr>
                <w:rFonts w:cs="Arial"/>
                <w:szCs w:val="19"/>
                <w:lang w:val="en-US"/>
              </w:rPr>
              <w:t xml:space="preserve">in combination with MTX for the treatment of juvenile idiopathic polyarthritis (rheumatoid factor positive or negative and extended oligoarthritis) in patients </w:t>
            </w:r>
            <w:r>
              <w:rPr>
                <w:rFonts w:cs="Arial"/>
                <w:szCs w:val="19"/>
                <w:lang w:val="en-US"/>
              </w:rPr>
              <w:t xml:space="preserve">aged </w:t>
            </w:r>
            <w:r w:rsidRPr="00E54B20">
              <w:rPr>
                <w:rFonts w:cs="Arial"/>
                <w:b/>
                <w:bCs/>
                <w:szCs w:val="19"/>
                <w:lang w:val="en-US"/>
              </w:rPr>
              <w:t>≥2 years</w:t>
            </w:r>
            <w:r>
              <w:rPr>
                <w:rFonts w:cs="Arial"/>
                <w:szCs w:val="19"/>
                <w:lang w:val="en-US"/>
              </w:rPr>
              <w:t xml:space="preserve">, and </w:t>
            </w:r>
            <w:r w:rsidRPr="009625A5">
              <w:rPr>
                <w:rFonts w:cs="Arial"/>
                <w:szCs w:val="19"/>
                <w:lang w:val="en-US"/>
              </w:rPr>
              <w:t xml:space="preserve">treatment of chimeric antigen receptor T cell-induced severe or life-threatening cytokine release syndrome in adults and paediatric patients </w:t>
            </w:r>
            <w:r>
              <w:rPr>
                <w:rFonts w:cs="Arial"/>
                <w:szCs w:val="19"/>
                <w:lang w:val="en-US"/>
              </w:rPr>
              <w:t>aged ≥</w:t>
            </w:r>
            <w:r w:rsidRPr="009625A5">
              <w:rPr>
                <w:rFonts w:cs="Arial"/>
                <w:szCs w:val="19"/>
                <w:lang w:val="en-US"/>
              </w:rPr>
              <w:t xml:space="preserve">2 years </w:t>
            </w:r>
            <w:r w:rsidRPr="00116AB3">
              <w:rPr>
                <w:rFonts w:cs="Arial"/>
                <w:sz w:val="16"/>
                <w:szCs w:val="16"/>
                <w:lang w:val="en-US"/>
              </w:rPr>
              <w:t>[EU]</w:t>
            </w:r>
            <w:r>
              <w:rPr>
                <w:rFonts w:cs="Arial"/>
                <w:sz w:val="16"/>
                <w:szCs w:val="16"/>
                <w:lang w:val="en-US"/>
              </w:rPr>
              <w:t xml:space="preserve"> [concentrate for solution for infusion formulation]</w:t>
            </w:r>
          </w:p>
        </w:tc>
      </w:tr>
      <w:tr w:rsidR="00167E9C" w:rsidRPr="00A075A3" w14:paraId="39187F26" w14:textId="77777777" w:rsidTr="009F0C3A">
        <w:tc>
          <w:tcPr>
            <w:tcW w:w="1293" w:type="pct"/>
            <w:gridSpan w:val="2"/>
            <w:shd w:val="clear" w:color="auto" w:fill="auto"/>
            <w:tcMar>
              <w:top w:w="57" w:type="dxa"/>
              <w:bottom w:w="57" w:type="dxa"/>
            </w:tcMar>
          </w:tcPr>
          <w:p w14:paraId="5C3CE35F" w14:textId="77777777" w:rsidR="00167E9C" w:rsidRPr="00447E88" w:rsidRDefault="00167E9C" w:rsidP="009F0C3A">
            <w:pPr>
              <w:rPr>
                <w:rFonts w:cs="Arial"/>
                <w:szCs w:val="19"/>
              </w:rPr>
            </w:pPr>
            <w:r w:rsidRPr="00374C53">
              <w:rPr>
                <w:rFonts w:cs="Arial"/>
                <w:szCs w:val="19"/>
              </w:rPr>
              <w:t>Tocilizumab biosimilar (</w:t>
            </w:r>
            <w:proofErr w:type="spellStart"/>
            <w:r w:rsidRPr="003E479B">
              <w:rPr>
                <w:rFonts w:cs="Arial"/>
                <w:i/>
                <w:iCs/>
                <w:szCs w:val="19"/>
              </w:rPr>
              <w:t>Avtozma</w:t>
            </w:r>
            <w:proofErr w:type="spellEnd"/>
            <w:r w:rsidRPr="00374C53">
              <w:rPr>
                <w:rFonts w:cs="Arial"/>
                <w:szCs w:val="19"/>
              </w:rPr>
              <w:t>) </w:t>
            </w:r>
          </w:p>
        </w:tc>
        <w:tc>
          <w:tcPr>
            <w:tcW w:w="3707" w:type="pct"/>
            <w:shd w:val="clear" w:color="auto" w:fill="auto"/>
            <w:tcMar>
              <w:top w:w="57" w:type="dxa"/>
              <w:bottom w:w="57" w:type="dxa"/>
            </w:tcMar>
          </w:tcPr>
          <w:p w14:paraId="26EBA4A8" w14:textId="624C79FC" w:rsidR="00167E9C" w:rsidRPr="00AD1C12" w:rsidRDefault="00167E9C" w:rsidP="009F0C3A">
            <w:pPr>
              <w:tabs>
                <w:tab w:val="num" w:pos="720"/>
                <w:tab w:val="center" w:pos="3152"/>
              </w:tabs>
              <w:rPr>
                <w:rFonts w:cs="Arial"/>
                <w:szCs w:val="19"/>
                <w:lang w:val="en-US"/>
              </w:rPr>
            </w:pPr>
            <w:r>
              <w:rPr>
                <w:rFonts w:cs="Arial"/>
                <w:szCs w:val="19"/>
                <w:lang w:val="en-US"/>
              </w:rPr>
              <w:t xml:space="preserve">Use as monotherapy or </w:t>
            </w:r>
            <w:r w:rsidRPr="008D3121">
              <w:rPr>
                <w:rFonts w:cs="Arial"/>
                <w:szCs w:val="19"/>
                <w:lang w:val="en-US"/>
              </w:rPr>
              <w:t>in combination with methotrexate (MTX)</w:t>
            </w:r>
            <w:r>
              <w:rPr>
                <w:rFonts w:cs="Arial"/>
                <w:szCs w:val="19"/>
                <w:lang w:val="en-US"/>
              </w:rPr>
              <w:t xml:space="preserve"> </w:t>
            </w:r>
            <w:r w:rsidRPr="008D3121">
              <w:rPr>
                <w:rFonts w:cs="Arial"/>
                <w:szCs w:val="19"/>
                <w:lang w:val="en-US"/>
              </w:rPr>
              <w:t>for</w:t>
            </w:r>
            <w:r>
              <w:rPr>
                <w:rFonts w:cs="Arial"/>
                <w:szCs w:val="19"/>
                <w:lang w:val="en-US"/>
              </w:rPr>
              <w:t xml:space="preserve"> </w:t>
            </w:r>
            <w:r w:rsidRPr="008D3121">
              <w:rPr>
                <w:rFonts w:cs="Arial"/>
                <w:szCs w:val="19"/>
                <w:lang w:val="en-US"/>
              </w:rPr>
              <w:t xml:space="preserve">the treatment of severe, </w:t>
            </w:r>
            <w:proofErr w:type="gramStart"/>
            <w:r w:rsidRPr="008D3121">
              <w:rPr>
                <w:rFonts w:cs="Arial"/>
                <w:szCs w:val="19"/>
                <w:lang w:val="en-US"/>
              </w:rPr>
              <w:t>active</w:t>
            </w:r>
            <w:proofErr w:type="gramEnd"/>
            <w:r w:rsidRPr="008D3121">
              <w:rPr>
                <w:rFonts w:cs="Arial"/>
                <w:szCs w:val="19"/>
                <w:lang w:val="en-US"/>
              </w:rPr>
              <w:t xml:space="preserve"> and progressive rheumatoid arthritis (RA) in adults not previously treated with MTX</w:t>
            </w:r>
            <w:r>
              <w:rPr>
                <w:rFonts w:cs="Arial"/>
                <w:szCs w:val="19"/>
                <w:lang w:val="en-US"/>
              </w:rPr>
              <w:t>, and</w:t>
            </w:r>
            <w:r w:rsidRPr="008D3121">
              <w:rPr>
                <w:rFonts w:cs="Arial"/>
                <w:szCs w:val="19"/>
                <w:lang w:val="en-US"/>
              </w:rPr>
              <w:t xml:space="preserve"> treatment of moderate to severe active RA in adults who have either responded inadequately to, or who were intolerant to, previous therapy with one or more disease-modifying anti-rheumatic drugs or tumour necrosis factor antagonists. </w:t>
            </w:r>
            <w:r>
              <w:rPr>
                <w:rFonts w:cs="Arial"/>
                <w:szCs w:val="19"/>
                <w:lang w:val="en-US"/>
              </w:rPr>
              <w:t>Also</w:t>
            </w:r>
            <w:r w:rsidRPr="008D3121">
              <w:rPr>
                <w:rFonts w:cs="Arial"/>
                <w:szCs w:val="19"/>
                <w:lang w:val="en-US"/>
              </w:rPr>
              <w:t xml:space="preserve"> </w:t>
            </w:r>
            <w:r>
              <w:rPr>
                <w:rFonts w:cs="Arial"/>
                <w:szCs w:val="19"/>
                <w:lang w:val="en-US"/>
              </w:rPr>
              <w:t xml:space="preserve">use as monotherapy or in combination with MTX </w:t>
            </w:r>
            <w:r w:rsidRPr="008D3121">
              <w:rPr>
                <w:rFonts w:cs="Arial"/>
                <w:szCs w:val="19"/>
                <w:lang w:val="en-US"/>
              </w:rPr>
              <w:t xml:space="preserve">for treatment of active systemic juvenile idiopathic arthritis in patients </w:t>
            </w:r>
            <w:r>
              <w:rPr>
                <w:rFonts w:cs="Arial"/>
                <w:szCs w:val="19"/>
                <w:lang w:val="en-US"/>
              </w:rPr>
              <w:t xml:space="preserve">aged </w:t>
            </w:r>
            <w:r w:rsidRPr="001F73A1">
              <w:rPr>
                <w:rFonts w:cs="Arial"/>
                <w:b/>
                <w:bCs/>
                <w:szCs w:val="19"/>
                <w:lang w:val="en-US"/>
              </w:rPr>
              <w:t>≥1 year</w:t>
            </w:r>
            <w:r w:rsidRPr="008D3121">
              <w:rPr>
                <w:rFonts w:cs="Arial"/>
                <w:szCs w:val="19"/>
                <w:lang w:val="en-US"/>
              </w:rPr>
              <w:t xml:space="preserve"> who have responded inadequately to previous therapy with </w:t>
            </w:r>
            <w:r w:rsidR="008A3B65" w:rsidRPr="008A3B65">
              <w:rPr>
                <w:rFonts w:cs="Arial"/>
                <w:szCs w:val="19"/>
                <w:lang w:val="en-US"/>
              </w:rPr>
              <w:t>non-steroidal anti-inflammatory drugs</w:t>
            </w:r>
            <w:r w:rsidR="008A3B65">
              <w:rPr>
                <w:rFonts w:cs="Arial"/>
                <w:szCs w:val="19"/>
                <w:lang w:val="en-US"/>
              </w:rPr>
              <w:t xml:space="preserve"> </w:t>
            </w:r>
            <w:r w:rsidRPr="008D3121">
              <w:rPr>
                <w:rFonts w:cs="Arial"/>
                <w:szCs w:val="19"/>
                <w:lang w:val="en-US"/>
              </w:rPr>
              <w:t>and systemic corticosteroids</w:t>
            </w:r>
            <w:r>
              <w:rPr>
                <w:rFonts w:cs="Arial"/>
                <w:szCs w:val="19"/>
                <w:lang w:val="en-US"/>
              </w:rPr>
              <w:t xml:space="preserve">, use as monotherapy or </w:t>
            </w:r>
            <w:r w:rsidRPr="008D3121">
              <w:rPr>
                <w:rFonts w:cs="Arial"/>
                <w:szCs w:val="19"/>
                <w:lang w:val="en-US"/>
              </w:rPr>
              <w:t>in combination with</w:t>
            </w:r>
            <w:r>
              <w:rPr>
                <w:rFonts w:cs="Arial"/>
                <w:szCs w:val="19"/>
                <w:lang w:val="en-US"/>
              </w:rPr>
              <w:t xml:space="preserve"> </w:t>
            </w:r>
            <w:r w:rsidRPr="008D3121">
              <w:rPr>
                <w:rFonts w:cs="Arial"/>
                <w:szCs w:val="19"/>
                <w:lang w:val="en-US"/>
              </w:rPr>
              <w:t xml:space="preserve">MTX for the treatment of juvenile idiopathic polyarthritis (rheumatoid factor positive or negative and extended oligoarthritis) in patients </w:t>
            </w:r>
            <w:r>
              <w:rPr>
                <w:rFonts w:cs="Arial"/>
                <w:szCs w:val="19"/>
                <w:lang w:val="en-US"/>
              </w:rPr>
              <w:t xml:space="preserve">aged </w:t>
            </w:r>
            <w:r w:rsidRPr="00E54B20">
              <w:rPr>
                <w:rFonts w:cs="Arial"/>
                <w:b/>
                <w:bCs/>
                <w:szCs w:val="19"/>
                <w:lang w:val="en-US"/>
              </w:rPr>
              <w:t>≥2 years</w:t>
            </w:r>
            <w:r w:rsidRPr="008D3121">
              <w:rPr>
                <w:rFonts w:cs="Arial"/>
                <w:szCs w:val="19"/>
                <w:lang w:val="en-US"/>
              </w:rPr>
              <w:t xml:space="preserve"> who have responded inadequately to previous therapy with MTX</w:t>
            </w:r>
            <w:r>
              <w:rPr>
                <w:rFonts w:cs="Arial"/>
                <w:szCs w:val="19"/>
                <w:lang w:val="en-US"/>
              </w:rPr>
              <w:t xml:space="preserve">, and </w:t>
            </w:r>
            <w:r w:rsidRPr="008D3121">
              <w:rPr>
                <w:rFonts w:cs="Arial"/>
                <w:szCs w:val="19"/>
                <w:lang w:val="en-US"/>
              </w:rPr>
              <w:t xml:space="preserve">treatment of </w:t>
            </w:r>
            <w:r>
              <w:rPr>
                <w:rFonts w:cs="Arial"/>
                <w:szCs w:val="19"/>
                <w:lang w:val="en-US"/>
              </w:rPr>
              <w:t>g</w:t>
            </w:r>
            <w:r w:rsidRPr="008D3121">
              <w:rPr>
                <w:rFonts w:cs="Arial"/>
                <w:szCs w:val="19"/>
                <w:lang w:val="en-US"/>
              </w:rPr>
              <w:t xml:space="preserve">iant </w:t>
            </w:r>
            <w:r>
              <w:rPr>
                <w:rFonts w:cs="Arial"/>
                <w:szCs w:val="19"/>
                <w:lang w:val="en-US"/>
              </w:rPr>
              <w:t>c</w:t>
            </w:r>
            <w:r w:rsidRPr="008D3121">
              <w:rPr>
                <w:rFonts w:cs="Arial"/>
                <w:szCs w:val="19"/>
                <w:lang w:val="en-US"/>
              </w:rPr>
              <w:t xml:space="preserve">ell </w:t>
            </w:r>
            <w:r>
              <w:rPr>
                <w:rFonts w:cs="Arial"/>
                <w:szCs w:val="19"/>
                <w:lang w:val="en-US"/>
              </w:rPr>
              <w:t>a</w:t>
            </w:r>
            <w:r w:rsidRPr="008D3121">
              <w:rPr>
                <w:rFonts w:cs="Arial"/>
                <w:szCs w:val="19"/>
                <w:lang w:val="en-US"/>
              </w:rPr>
              <w:t>rteritis in adults</w:t>
            </w:r>
            <w:r>
              <w:rPr>
                <w:rFonts w:cs="Arial"/>
                <w:szCs w:val="19"/>
                <w:lang w:val="en-US"/>
              </w:rPr>
              <w:t xml:space="preserve"> </w:t>
            </w:r>
            <w:r w:rsidRPr="00116AB3">
              <w:rPr>
                <w:rFonts w:cs="Arial"/>
                <w:sz w:val="16"/>
                <w:szCs w:val="16"/>
                <w:lang w:val="en-US"/>
              </w:rPr>
              <w:t>[EU]</w:t>
            </w:r>
            <w:r>
              <w:rPr>
                <w:rFonts w:cs="Arial"/>
                <w:sz w:val="16"/>
                <w:szCs w:val="16"/>
                <w:lang w:val="en-US"/>
              </w:rPr>
              <w:t xml:space="preserve"> [prefilled syringe formulation]</w:t>
            </w:r>
          </w:p>
        </w:tc>
      </w:tr>
      <w:tr w:rsidR="00167E9C" w:rsidRPr="00A075A3" w14:paraId="02278F03" w14:textId="77777777" w:rsidTr="009F0C3A">
        <w:tc>
          <w:tcPr>
            <w:tcW w:w="1293" w:type="pct"/>
            <w:gridSpan w:val="2"/>
            <w:shd w:val="clear" w:color="auto" w:fill="auto"/>
            <w:tcMar>
              <w:top w:w="57" w:type="dxa"/>
              <w:bottom w:w="57" w:type="dxa"/>
            </w:tcMar>
          </w:tcPr>
          <w:p w14:paraId="271AA94D" w14:textId="77777777" w:rsidR="000E4E6D" w:rsidRDefault="00167E9C" w:rsidP="009F0C3A">
            <w:pPr>
              <w:rPr>
                <w:rFonts w:cs="Arial"/>
                <w:szCs w:val="19"/>
              </w:rPr>
            </w:pPr>
            <w:r w:rsidRPr="00374C53">
              <w:rPr>
                <w:rFonts w:cs="Arial"/>
                <w:szCs w:val="19"/>
              </w:rPr>
              <w:t xml:space="preserve">Tocilizumab biosimilar </w:t>
            </w:r>
          </w:p>
          <w:p w14:paraId="7BD29E88" w14:textId="79254D7D" w:rsidR="00167E9C" w:rsidRPr="00374C53" w:rsidRDefault="00167E9C" w:rsidP="009F0C3A">
            <w:pPr>
              <w:rPr>
                <w:rFonts w:cs="Arial"/>
                <w:szCs w:val="19"/>
              </w:rPr>
            </w:pPr>
            <w:r w:rsidRPr="00374C53">
              <w:rPr>
                <w:rFonts w:cs="Arial"/>
                <w:szCs w:val="19"/>
              </w:rPr>
              <w:t>(</w:t>
            </w:r>
            <w:proofErr w:type="spellStart"/>
            <w:r w:rsidRPr="003E479B">
              <w:rPr>
                <w:rFonts w:cs="Arial"/>
                <w:i/>
                <w:iCs/>
                <w:szCs w:val="19"/>
              </w:rPr>
              <w:t>Avtozma</w:t>
            </w:r>
            <w:proofErr w:type="spellEnd"/>
            <w:r w:rsidRPr="00374C53">
              <w:rPr>
                <w:rFonts w:cs="Arial"/>
                <w:szCs w:val="19"/>
              </w:rPr>
              <w:t>) </w:t>
            </w:r>
          </w:p>
        </w:tc>
        <w:tc>
          <w:tcPr>
            <w:tcW w:w="3707" w:type="pct"/>
            <w:shd w:val="clear" w:color="auto" w:fill="auto"/>
            <w:tcMar>
              <w:top w:w="57" w:type="dxa"/>
              <w:bottom w:w="57" w:type="dxa"/>
            </w:tcMar>
          </w:tcPr>
          <w:p w14:paraId="5A18BD6B" w14:textId="4C55D355" w:rsidR="00167E9C" w:rsidRDefault="00167E9C" w:rsidP="009F0C3A">
            <w:pPr>
              <w:tabs>
                <w:tab w:val="num" w:pos="720"/>
                <w:tab w:val="center" w:pos="3152"/>
              </w:tabs>
              <w:rPr>
                <w:rFonts w:cs="Arial"/>
                <w:szCs w:val="19"/>
                <w:lang w:val="en-US"/>
              </w:rPr>
            </w:pPr>
            <w:r>
              <w:rPr>
                <w:rFonts w:cs="Arial"/>
                <w:szCs w:val="19"/>
                <w:lang w:val="en-US"/>
              </w:rPr>
              <w:t xml:space="preserve">Use as monotherapy or </w:t>
            </w:r>
            <w:r w:rsidRPr="008D3121">
              <w:rPr>
                <w:rFonts w:cs="Arial"/>
                <w:szCs w:val="19"/>
                <w:lang w:val="en-US"/>
              </w:rPr>
              <w:t>in combination with methotrexate (MTX)</w:t>
            </w:r>
            <w:r>
              <w:rPr>
                <w:rFonts w:cs="Arial"/>
                <w:szCs w:val="19"/>
                <w:lang w:val="en-US"/>
              </w:rPr>
              <w:t xml:space="preserve"> </w:t>
            </w:r>
            <w:r w:rsidRPr="008D3121">
              <w:rPr>
                <w:rFonts w:cs="Arial"/>
                <w:szCs w:val="19"/>
                <w:lang w:val="en-US"/>
              </w:rPr>
              <w:t>for</w:t>
            </w:r>
            <w:r>
              <w:rPr>
                <w:rFonts w:cs="Arial"/>
                <w:szCs w:val="19"/>
                <w:lang w:val="en-US"/>
              </w:rPr>
              <w:t xml:space="preserve"> </w:t>
            </w:r>
            <w:r w:rsidRPr="008D3121">
              <w:rPr>
                <w:rFonts w:cs="Arial"/>
                <w:szCs w:val="19"/>
                <w:lang w:val="en-US"/>
              </w:rPr>
              <w:t xml:space="preserve">the treatment of severe, </w:t>
            </w:r>
            <w:proofErr w:type="gramStart"/>
            <w:r w:rsidRPr="008D3121">
              <w:rPr>
                <w:rFonts w:cs="Arial"/>
                <w:szCs w:val="19"/>
                <w:lang w:val="en-US"/>
              </w:rPr>
              <w:t>active</w:t>
            </w:r>
            <w:proofErr w:type="gramEnd"/>
            <w:r w:rsidRPr="008D3121">
              <w:rPr>
                <w:rFonts w:cs="Arial"/>
                <w:szCs w:val="19"/>
                <w:lang w:val="en-US"/>
              </w:rPr>
              <w:t xml:space="preserve"> and progressive rheumatoid arthritis (RA) in adults not previously treated with MTX</w:t>
            </w:r>
            <w:r>
              <w:rPr>
                <w:rFonts w:cs="Arial"/>
                <w:szCs w:val="19"/>
                <w:lang w:val="en-US"/>
              </w:rPr>
              <w:t>, and</w:t>
            </w:r>
            <w:r w:rsidRPr="008D3121">
              <w:rPr>
                <w:rFonts w:cs="Arial"/>
                <w:szCs w:val="19"/>
                <w:lang w:val="en-US"/>
              </w:rPr>
              <w:t xml:space="preserve"> treatment of moderate to severe active RA in adults who have either responded inadequately to, or who were intolerant to, previous therapy with one or more disease-modifying anti-rheumatic drugs or tumour necrosis factor antagonists. </w:t>
            </w:r>
            <w:r>
              <w:rPr>
                <w:rFonts w:cs="Arial"/>
                <w:szCs w:val="19"/>
                <w:lang w:val="en-US"/>
              </w:rPr>
              <w:t>Also</w:t>
            </w:r>
            <w:r w:rsidRPr="008D3121">
              <w:rPr>
                <w:rFonts w:cs="Arial"/>
                <w:szCs w:val="19"/>
                <w:lang w:val="en-US"/>
              </w:rPr>
              <w:t xml:space="preserve"> </w:t>
            </w:r>
            <w:r>
              <w:rPr>
                <w:rFonts w:cs="Arial"/>
                <w:szCs w:val="19"/>
                <w:lang w:val="en-US"/>
              </w:rPr>
              <w:t xml:space="preserve">use as monotherapy or in combination with MTX </w:t>
            </w:r>
            <w:r w:rsidRPr="008D3121">
              <w:rPr>
                <w:rFonts w:cs="Arial"/>
                <w:szCs w:val="19"/>
                <w:lang w:val="en-US"/>
              </w:rPr>
              <w:t xml:space="preserve">for treatment of active systemic juvenile idiopathic arthritis in patients </w:t>
            </w:r>
            <w:r>
              <w:rPr>
                <w:rFonts w:cs="Arial"/>
                <w:szCs w:val="19"/>
                <w:lang w:val="en-US"/>
              </w:rPr>
              <w:t xml:space="preserve">aged </w:t>
            </w:r>
            <w:r w:rsidRPr="001F73A1">
              <w:rPr>
                <w:rFonts w:cs="Arial"/>
                <w:b/>
                <w:bCs/>
                <w:szCs w:val="19"/>
                <w:lang w:val="en-US"/>
              </w:rPr>
              <w:t>≥12 years</w:t>
            </w:r>
            <w:r w:rsidRPr="008D3121">
              <w:rPr>
                <w:rFonts w:cs="Arial"/>
                <w:szCs w:val="19"/>
                <w:lang w:val="en-US"/>
              </w:rPr>
              <w:t xml:space="preserve"> who have responded inadequately to previous therapy with </w:t>
            </w:r>
            <w:r w:rsidR="008A3B65" w:rsidRPr="008A3B65">
              <w:rPr>
                <w:rFonts w:cs="Arial"/>
                <w:szCs w:val="19"/>
                <w:lang w:val="en-US"/>
              </w:rPr>
              <w:t>non-steroidal anti-inflammatory drugs</w:t>
            </w:r>
            <w:r w:rsidR="008A3B65">
              <w:rPr>
                <w:rFonts w:cs="Arial"/>
                <w:szCs w:val="19"/>
                <w:lang w:val="en-US"/>
              </w:rPr>
              <w:t xml:space="preserve"> </w:t>
            </w:r>
            <w:r w:rsidRPr="008D3121">
              <w:rPr>
                <w:rFonts w:cs="Arial"/>
                <w:szCs w:val="19"/>
                <w:lang w:val="en-US"/>
              </w:rPr>
              <w:t>and systemic corticosteroids</w:t>
            </w:r>
            <w:r>
              <w:rPr>
                <w:rFonts w:cs="Arial"/>
                <w:szCs w:val="19"/>
                <w:lang w:val="en-US"/>
              </w:rPr>
              <w:t xml:space="preserve">, use as monotherapy or </w:t>
            </w:r>
            <w:r w:rsidRPr="008D3121">
              <w:rPr>
                <w:rFonts w:cs="Arial"/>
                <w:szCs w:val="19"/>
                <w:lang w:val="en-US"/>
              </w:rPr>
              <w:t>in combination with</w:t>
            </w:r>
            <w:r>
              <w:rPr>
                <w:rFonts w:cs="Arial"/>
                <w:szCs w:val="19"/>
                <w:lang w:val="en-US"/>
              </w:rPr>
              <w:t xml:space="preserve"> </w:t>
            </w:r>
            <w:r w:rsidRPr="008D3121">
              <w:rPr>
                <w:rFonts w:cs="Arial"/>
                <w:szCs w:val="19"/>
                <w:lang w:val="en-US"/>
              </w:rPr>
              <w:t xml:space="preserve">MTX for the treatment of juvenile idiopathic polyarthritis (rheumatoid factor positive or negative and extended oligoarthritis) in patients </w:t>
            </w:r>
            <w:r>
              <w:rPr>
                <w:rFonts w:cs="Arial"/>
                <w:szCs w:val="19"/>
                <w:lang w:val="en-US"/>
              </w:rPr>
              <w:t xml:space="preserve">aged </w:t>
            </w:r>
            <w:r w:rsidRPr="00E54B20">
              <w:rPr>
                <w:rFonts w:cs="Arial"/>
                <w:b/>
                <w:bCs/>
                <w:szCs w:val="19"/>
                <w:lang w:val="en-US"/>
              </w:rPr>
              <w:t>≥12 years</w:t>
            </w:r>
            <w:r w:rsidRPr="008D3121">
              <w:rPr>
                <w:rFonts w:cs="Arial"/>
                <w:szCs w:val="19"/>
                <w:lang w:val="en-US"/>
              </w:rPr>
              <w:t xml:space="preserve"> who have responded inadequately to previous therapy with MTX</w:t>
            </w:r>
            <w:r>
              <w:rPr>
                <w:rFonts w:cs="Arial"/>
                <w:szCs w:val="19"/>
                <w:lang w:val="en-US"/>
              </w:rPr>
              <w:t xml:space="preserve">, and </w:t>
            </w:r>
            <w:r w:rsidRPr="008D3121">
              <w:rPr>
                <w:rFonts w:cs="Arial"/>
                <w:szCs w:val="19"/>
                <w:lang w:val="en-US"/>
              </w:rPr>
              <w:t xml:space="preserve">treatment of </w:t>
            </w:r>
            <w:r>
              <w:rPr>
                <w:rFonts w:cs="Arial"/>
                <w:szCs w:val="19"/>
                <w:lang w:val="en-US"/>
              </w:rPr>
              <w:t>g</w:t>
            </w:r>
            <w:r w:rsidRPr="008D3121">
              <w:rPr>
                <w:rFonts w:cs="Arial"/>
                <w:szCs w:val="19"/>
                <w:lang w:val="en-US"/>
              </w:rPr>
              <w:t xml:space="preserve">iant </w:t>
            </w:r>
            <w:r>
              <w:rPr>
                <w:rFonts w:cs="Arial"/>
                <w:szCs w:val="19"/>
                <w:lang w:val="en-US"/>
              </w:rPr>
              <w:t>c</w:t>
            </w:r>
            <w:r w:rsidRPr="008D3121">
              <w:rPr>
                <w:rFonts w:cs="Arial"/>
                <w:szCs w:val="19"/>
                <w:lang w:val="en-US"/>
              </w:rPr>
              <w:t xml:space="preserve">ell </w:t>
            </w:r>
            <w:r>
              <w:rPr>
                <w:rFonts w:cs="Arial"/>
                <w:szCs w:val="19"/>
                <w:lang w:val="en-US"/>
              </w:rPr>
              <w:t>a</w:t>
            </w:r>
            <w:r w:rsidRPr="008D3121">
              <w:rPr>
                <w:rFonts w:cs="Arial"/>
                <w:szCs w:val="19"/>
                <w:lang w:val="en-US"/>
              </w:rPr>
              <w:t>rteritis in adults</w:t>
            </w:r>
            <w:r>
              <w:rPr>
                <w:rFonts w:cs="Arial"/>
                <w:szCs w:val="19"/>
                <w:lang w:val="en-US"/>
              </w:rPr>
              <w:t xml:space="preserve"> </w:t>
            </w:r>
            <w:r w:rsidRPr="00116AB3">
              <w:rPr>
                <w:rFonts w:cs="Arial"/>
                <w:sz w:val="16"/>
                <w:szCs w:val="16"/>
                <w:lang w:val="en-US"/>
              </w:rPr>
              <w:t>[EU]</w:t>
            </w:r>
            <w:r>
              <w:rPr>
                <w:rFonts w:cs="Arial"/>
                <w:sz w:val="16"/>
                <w:szCs w:val="16"/>
                <w:lang w:val="en-US"/>
              </w:rPr>
              <w:t xml:space="preserve"> [prefilled pen formulation]</w:t>
            </w:r>
          </w:p>
        </w:tc>
      </w:tr>
      <w:tr w:rsidR="00167E9C" w:rsidRPr="00A075A3" w14:paraId="06390615" w14:textId="77777777" w:rsidTr="009F0C3A">
        <w:tc>
          <w:tcPr>
            <w:tcW w:w="1293" w:type="pct"/>
            <w:gridSpan w:val="2"/>
            <w:shd w:val="clear" w:color="auto" w:fill="auto"/>
            <w:tcMar>
              <w:top w:w="57" w:type="dxa"/>
              <w:bottom w:w="57" w:type="dxa"/>
            </w:tcMar>
          </w:tcPr>
          <w:p w14:paraId="42A61119" w14:textId="77777777" w:rsidR="00167E9C" w:rsidRDefault="00167E9C" w:rsidP="009F0C3A">
            <w:pPr>
              <w:rPr>
                <w:rFonts w:cs="Arial"/>
                <w:szCs w:val="19"/>
              </w:rPr>
            </w:pPr>
            <w:r w:rsidRPr="00F157C8">
              <w:rPr>
                <w:rFonts w:cs="Arial"/>
                <w:szCs w:val="19"/>
              </w:rPr>
              <w:t>Tiratricol (</w:t>
            </w:r>
            <w:proofErr w:type="spellStart"/>
            <w:r w:rsidRPr="00F157C8">
              <w:rPr>
                <w:rFonts w:cs="Arial"/>
                <w:i/>
                <w:iCs/>
                <w:szCs w:val="19"/>
              </w:rPr>
              <w:t>Emcitate</w:t>
            </w:r>
            <w:proofErr w:type="spellEnd"/>
            <w:r w:rsidRPr="00F157C8">
              <w:rPr>
                <w:rFonts w:cs="Arial"/>
                <w:szCs w:val="19"/>
              </w:rPr>
              <w:t>)</w:t>
            </w:r>
          </w:p>
        </w:tc>
        <w:tc>
          <w:tcPr>
            <w:tcW w:w="3707" w:type="pct"/>
            <w:shd w:val="clear" w:color="auto" w:fill="auto"/>
            <w:tcMar>
              <w:top w:w="57" w:type="dxa"/>
              <w:bottom w:w="57" w:type="dxa"/>
            </w:tcMar>
          </w:tcPr>
          <w:p w14:paraId="77EACFF6" w14:textId="77777777" w:rsidR="00167E9C" w:rsidRPr="00932120" w:rsidRDefault="00167E9C" w:rsidP="009F0C3A">
            <w:pPr>
              <w:tabs>
                <w:tab w:val="num" w:pos="720"/>
                <w:tab w:val="center" w:pos="3152"/>
              </w:tabs>
              <w:rPr>
                <w:rFonts w:cs="Arial"/>
                <w:szCs w:val="19"/>
                <w:lang w:val="en-US"/>
              </w:rPr>
            </w:pPr>
            <w:r w:rsidRPr="00A85586">
              <w:rPr>
                <w:rFonts w:cs="Arial"/>
                <w:szCs w:val="19"/>
                <w:lang w:val="en-US"/>
              </w:rPr>
              <w:t>Treatment of peripheral thyrotoxicosis in patients with monocarboxylate transporter 8 deficiency (Allan-Herndon-Dudley Syndrome) from birth</w:t>
            </w:r>
            <w:r>
              <w:rPr>
                <w:rFonts w:cs="Arial"/>
                <w:szCs w:val="19"/>
                <w:lang w:val="en-US"/>
              </w:rPr>
              <w:t xml:space="preserve"> </w:t>
            </w:r>
            <w:r w:rsidRPr="00A85586">
              <w:rPr>
                <w:rFonts w:cs="Arial"/>
                <w:sz w:val="16"/>
                <w:szCs w:val="16"/>
                <w:lang w:val="en-US"/>
              </w:rPr>
              <w:t>[EU]</w:t>
            </w:r>
          </w:p>
        </w:tc>
      </w:tr>
      <w:tr w:rsidR="00167E9C" w:rsidRPr="000F19E1" w14:paraId="3BC12F35" w14:textId="77777777" w:rsidTr="009F0C3A">
        <w:tc>
          <w:tcPr>
            <w:tcW w:w="1293" w:type="pct"/>
            <w:gridSpan w:val="2"/>
            <w:shd w:val="clear" w:color="auto" w:fill="auto"/>
            <w:tcMar>
              <w:top w:w="0" w:type="dxa"/>
              <w:bottom w:w="0" w:type="dxa"/>
            </w:tcMar>
          </w:tcPr>
          <w:p w14:paraId="123DC64E" w14:textId="77777777" w:rsidR="00167E9C" w:rsidRPr="000F19E1" w:rsidRDefault="00167E9C" w:rsidP="009F0C3A">
            <w:pPr>
              <w:rPr>
                <w:rFonts w:cs="Arial"/>
                <w:bCs/>
                <w:sz w:val="8"/>
                <w:szCs w:val="8"/>
              </w:rPr>
            </w:pPr>
          </w:p>
        </w:tc>
        <w:tc>
          <w:tcPr>
            <w:tcW w:w="3707" w:type="pct"/>
            <w:shd w:val="clear" w:color="auto" w:fill="auto"/>
            <w:tcMar>
              <w:top w:w="0" w:type="dxa"/>
              <w:bottom w:w="0" w:type="dxa"/>
            </w:tcMar>
          </w:tcPr>
          <w:p w14:paraId="66ED6178" w14:textId="77777777" w:rsidR="00167E9C" w:rsidRPr="000F19E1" w:rsidRDefault="00167E9C" w:rsidP="009F0C3A">
            <w:pPr>
              <w:tabs>
                <w:tab w:val="center" w:pos="3152"/>
              </w:tabs>
              <w:rPr>
                <w:rFonts w:cs="Arial"/>
                <w:sz w:val="8"/>
                <w:szCs w:val="8"/>
                <w:lang w:val="en-US"/>
              </w:rPr>
            </w:pPr>
          </w:p>
        </w:tc>
      </w:tr>
      <w:tr w:rsidR="00167E9C" w:rsidRPr="000F19E1" w14:paraId="2F4E9DB5" w14:textId="77777777" w:rsidTr="009F0C3A">
        <w:tc>
          <w:tcPr>
            <w:tcW w:w="1152" w:type="pct"/>
            <w:shd w:val="clear" w:color="auto" w:fill="DAEEF3"/>
            <w:tcMar>
              <w:top w:w="0" w:type="dxa"/>
              <w:bottom w:w="0" w:type="dxa"/>
            </w:tcMar>
          </w:tcPr>
          <w:p w14:paraId="7D3CCC55" w14:textId="77777777" w:rsidR="00167E9C" w:rsidRPr="000F19E1" w:rsidRDefault="00167E9C" w:rsidP="009F0C3A">
            <w:pPr>
              <w:rPr>
                <w:rFonts w:cs="Arial"/>
                <w:bCs/>
                <w:sz w:val="8"/>
                <w:szCs w:val="8"/>
              </w:rPr>
            </w:pPr>
          </w:p>
        </w:tc>
        <w:tc>
          <w:tcPr>
            <w:tcW w:w="3848" w:type="pct"/>
            <w:gridSpan w:val="2"/>
            <w:shd w:val="clear" w:color="auto" w:fill="DAEEF3"/>
            <w:tcMar>
              <w:top w:w="0" w:type="dxa"/>
              <w:bottom w:w="0" w:type="dxa"/>
            </w:tcMar>
          </w:tcPr>
          <w:p w14:paraId="2077CF0B" w14:textId="77777777" w:rsidR="00167E9C" w:rsidRPr="000F19E1" w:rsidRDefault="00167E9C" w:rsidP="009F0C3A">
            <w:pPr>
              <w:tabs>
                <w:tab w:val="center" w:pos="3152"/>
              </w:tabs>
              <w:rPr>
                <w:rFonts w:cs="Arial"/>
                <w:sz w:val="8"/>
                <w:szCs w:val="8"/>
                <w:lang w:val="en-US"/>
              </w:rPr>
            </w:pPr>
          </w:p>
        </w:tc>
      </w:tr>
    </w:tbl>
    <w:p w14:paraId="33FD80C1" w14:textId="77777777" w:rsidR="00167E9C" w:rsidRDefault="00167E9C"/>
    <w:p w14:paraId="42C1772C" w14:textId="77777777" w:rsidR="000E4E6D" w:rsidRDefault="000E4E6D"/>
    <w:p w14:paraId="21DE4496" w14:textId="77777777" w:rsidR="00167E9C" w:rsidRDefault="00167E9C"/>
    <w:p w14:paraId="07BECFA8" w14:textId="77777777" w:rsidR="000E4E6D" w:rsidRDefault="000E4E6D"/>
    <w:p w14:paraId="7D0DE527" w14:textId="77777777" w:rsidR="000E4E6D" w:rsidRDefault="000E4E6D"/>
    <w:p w14:paraId="0881E455" w14:textId="77777777" w:rsidR="000E4E6D" w:rsidRDefault="000E4E6D"/>
    <w:tbl>
      <w:tblPr>
        <w:tblW w:w="5170" w:type="pct"/>
        <w:tblInd w:w="-176" w:type="dxa"/>
        <w:tblLayout w:type="fixed"/>
        <w:tblLook w:val="01E0" w:firstRow="1" w:lastRow="1" w:firstColumn="1" w:lastColumn="1" w:noHBand="0" w:noVBand="0"/>
      </w:tblPr>
      <w:tblGrid>
        <w:gridCol w:w="2585"/>
        <w:gridCol w:w="7966"/>
      </w:tblGrid>
      <w:tr w:rsidR="009B4A35" w:rsidRPr="00862949" w14:paraId="01837CC1" w14:textId="77777777" w:rsidTr="009F0C3A">
        <w:tc>
          <w:tcPr>
            <w:tcW w:w="5000" w:type="pct"/>
            <w:gridSpan w:val="2"/>
            <w:shd w:val="clear" w:color="auto" w:fill="0070C0"/>
            <w:tcMar>
              <w:top w:w="85" w:type="dxa"/>
              <w:bottom w:w="85" w:type="dxa"/>
            </w:tcMar>
            <w:vAlign w:val="bottom"/>
          </w:tcPr>
          <w:p w14:paraId="28A949DD" w14:textId="77777777" w:rsidR="009B4A35" w:rsidRPr="00862949" w:rsidRDefault="009B4A35" w:rsidP="009F0C3A">
            <w:pPr>
              <w:rPr>
                <w:rFonts w:cs="Arial"/>
                <w:color w:val="FFFFFF"/>
                <w:sz w:val="15"/>
                <w:szCs w:val="15"/>
              </w:rPr>
            </w:pPr>
            <w:r w:rsidRPr="00862949">
              <w:rPr>
                <w:rFonts w:cs="Arial"/>
                <w:b/>
                <w:bCs/>
                <w:iCs/>
                <w:color w:val="FFFFFF"/>
                <w:sz w:val="28"/>
                <w:szCs w:val="28"/>
                <w:lang w:val="en-US"/>
              </w:rPr>
              <w:t xml:space="preserve">Regulatory changes in the </w:t>
            </w:r>
            <w:r>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E97FC3" w:rsidRPr="000F19E1" w14:paraId="286227B7" w14:textId="77777777" w:rsidTr="00E97FC3">
        <w:tc>
          <w:tcPr>
            <w:tcW w:w="1225" w:type="pct"/>
            <w:shd w:val="clear" w:color="auto" w:fill="DAEEF3"/>
            <w:tcMar>
              <w:top w:w="0" w:type="dxa"/>
              <w:bottom w:w="0" w:type="dxa"/>
            </w:tcMar>
          </w:tcPr>
          <w:p w14:paraId="2C55A6F2" w14:textId="77777777" w:rsidR="009B4A35" w:rsidRPr="000F19E1" w:rsidRDefault="009B4A35" w:rsidP="009F0C3A">
            <w:pPr>
              <w:rPr>
                <w:rFonts w:cs="Arial"/>
                <w:bCs/>
                <w:sz w:val="8"/>
                <w:szCs w:val="8"/>
              </w:rPr>
            </w:pPr>
          </w:p>
        </w:tc>
        <w:tc>
          <w:tcPr>
            <w:tcW w:w="3775" w:type="pct"/>
            <w:shd w:val="clear" w:color="auto" w:fill="DAEEF3"/>
            <w:tcMar>
              <w:top w:w="0" w:type="dxa"/>
              <w:bottom w:w="0" w:type="dxa"/>
            </w:tcMar>
          </w:tcPr>
          <w:p w14:paraId="6CF2598B" w14:textId="77777777" w:rsidR="009B4A35" w:rsidRPr="000F19E1" w:rsidRDefault="009B4A35" w:rsidP="009F0C3A">
            <w:pPr>
              <w:tabs>
                <w:tab w:val="center" w:pos="3152"/>
              </w:tabs>
              <w:rPr>
                <w:rFonts w:cs="Arial"/>
                <w:sz w:val="8"/>
                <w:szCs w:val="8"/>
                <w:lang w:val="en-US"/>
              </w:rPr>
            </w:pPr>
          </w:p>
        </w:tc>
      </w:tr>
      <w:tr w:rsidR="009B4A35" w:rsidRPr="00433D3E" w14:paraId="34F7CB1F" w14:textId="77777777" w:rsidTr="009F0C3A">
        <w:tc>
          <w:tcPr>
            <w:tcW w:w="5000" w:type="pct"/>
            <w:gridSpan w:val="2"/>
            <w:shd w:val="clear" w:color="auto" w:fill="00B050"/>
            <w:tcMar>
              <w:top w:w="57" w:type="dxa"/>
              <w:bottom w:w="57" w:type="dxa"/>
            </w:tcMar>
          </w:tcPr>
          <w:p w14:paraId="589A5D3D" w14:textId="77777777" w:rsidR="009B4A35" w:rsidRPr="0021490D" w:rsidRDefault="009B4A35" w:rsidP="009F0C3A">
            <w:pPr>
              <w:rPr>
                <w:rFonts w:cs="Arial"/>
                <w:noProof/>
                <w:color w:val="FFFFFF"/>
                <w:sz w:val="16"/>
                <w:szCs w:val="16"/>
              </w:rPr>
            </w:pPr>
            <w:r>
              <w:rPr>
                <w:rFonts w:cs="Arial"/>
                <w:b/>
                <w:bCs/>
                <w:i/>
                <w:iCs/>
                <w:color w:val="FFFFFF"/>
                <w:sz w:val="22"/>
                <w:szCs w:val="20"/>
                <w:lang w:val="en-US"/>
              </w:rPr>
              <w:t xml:space="preserve">Recommended for approval in </w:t>
            </w:r>
            <w:r w:rsidRPr="00433D3E">
              <w:rPr>
                <w:rFonts w:cs="Arial"/>
                <w:b/>
                <w:bCs/>
                <w:i/>
                <w:iCs/>
                <w:color w:val="FFFFFF"/>
                <w:sz w:val="22"/>
                <w:szCs w:val="20"/>
                <w:lang w:val="en-US"/>
              </w:rPr>
              <w:t xml:space="preserve">the </w:t>
            </w:r>
            <w:r>
              <w:rPr>
                <w:rFonts w:cs="Arial"/>
                <w:b/>
                <w:bCs/>
                <w:i/>
                <w:iCs/>
                <w:color w:val="FFFFFF"/>
                <w:sz w:val="22"/>
                <w:szCs w:val="20"/>
                <w:lang w:val="en-US"/>
              </w:rPr>
              <w:t xml:space="preserve">UK or </w:t>
            </w:r>
            <w:r w:rsidRPr="00433D3E">
              <w:rPr>
                <w:rFonts w:cs="Arial"/>
                <w:b/>
                <w:bCs/>
                <w:i/>
                <w:iCs/>
                <w:color w:val="FFFFFF"/>
                <w:sz w:val="22"/>
                <w:szCs w:val="20"/>
                <w:lang w:val="en-US"/>
              </w:rPr>
              <w:t>EU</w:t>
            </w:r>
            <w:r>
              <w:rPr>
                <w:rFonts w:cs="Arial"/>
                <w:b/>
                <w:bCs/>
                <w:i/>
                <w:iCs/>
                <w:color w:val="FFFFFF"/>
                <w:sz w:val="22"/>
                <w:szCs w:val="20"/>
                <w:lang w:val="en-US"/>
              </w:rPr>
              <w:t xml:space="preserve"> </w:t>
            </w:r>
            <w:r w:rsidRPr="0021490D">
              <w:rPr>
                <w:rFonts w:cs="Arial"/>
                <w:b/>
                <w:bCs/>
                <w:color w:val="FFFFFF"/>
                <w:sz w:val="16"/>
                <w:szCs w:val="14"/>
                <w:lang w:val="en-US"/>
              </w:rPr>
              <w:t>(continued)</w:t>
            </w:r>
          </w:p>
        </w:tc>
      </w:tr>
      <w:tr w:rsidR="009B4A35" w:rsidRPr="00A075A3" w14:paraId="2CE159C1" w14:textId="77777777" w:rsidTr="00E97FC3">
        <w:tc>
          <w:tcPr>
            <w:tcW w:w="1225" w:type="pct"/>
            <w:shd w:val="clear" w:color="auto" w:fill="auto"/>
            <w:tcMar>
              <w:top w:w="57" w:type="dxa"/>
              <w:bottom w:w="57" w:type="dxa"/>
            </w:tcMar>
          </w:tcPr>
          <w:p w14:paraId="21383590" w14:textId="77777777" w:rsidR="009B4A35" w:rsidRPr="0094374B" w:rsidRDefault="009B4A35" w:rsidP="009F0C3A">
            <w:pPr>
              <w:rPr>
                <w:rFonts w:cs="Arial"/>
                <w:szCs w:val="19"/>
              </w:rPr>
            </w:pPr>
            <w:r>
              <w:rPr>
                <w:rFonts w:cs="Arial"/>
                <w:szCs w:val="19"/>
              </w:rPr>
              <w:t>Ustekinumab biosimilar (</w:t>
            </w:r>
            <w:proofErr w:type="spellStart"/>
            <w:r>
              <w:rPr>
                <w:rFonts w:cs="Arial"/>
                <w:i/>
                <w:iCs/>
                <w:szCs w:val="19"/>
              </w:rPr>
              <w:t>Yesintek</w:t>
            </w:r>
            <w:proofErr w:type="spellEnd"/>
            <w:r>
              <w:rPr>
                <w:rFonts w:cs="Arial"/>
                <w:szCs w:val="19"/>
              </w:rPr>
              <w:t>)</w:t>
            </w:r>
          </w:p>
        </w:tc>
        <w:tc>
          <w:tcPr>
            <w:tcW w:w="3775" w:type="pct"/>
            <w:shd w:val="clear" w:color="auto" w:fill="auto"/>
            <w:tcMar>
              <w:top w:w="57" w:type="dxa"/>
              <w:bottom w:w="57" w:type="dxa"/>
            </w:tcMar>
          </w:tcPr>
          <w:p w14:paraId="046B8BDD" w14:textId="77777777" w:rsidR="009B4A35" w:rsidRDefault="009B4A35" w:rsidP="009F0C3A">
            <w:pPr>
              <w:tabs>
                <w:tab w:val="num" w:pos="720"/>
                <w:tab w:val="center" w:pos="3152"/>
              </w:tabs>
              <w:rPr>
                <w:rFonts w:cs="Arial"/>
                <w:szCs w:val="19"/>
                <w:lang w:val="en-US"/>
              </w:rPr>
            </w:pPr>
            <w:r w:rsidRPr="00932120">
              <w:rPr>
                <w:rFonts w:cs="Arial"/>
                <w:szCs w:val="19"/>
                <w:lang w:val="en-US"/>
              </w:rPr>
              <w:t>Treatment of moderate to severe plaque psoriasis in adults who failed to respond to, or who have a contraindication to, or are intolerant to other systemic therapies including ciclosporin, methotrexate (MTX) or PUVA (psoralen and ultraviolet A)</w:t>
            </w:r>
            <w:r>
              <w:rPr>
                <w:rFonts w:cs="Arial"/>
                <w:szCs w:val="19"/>
                <w:lang w:val="en-US"/>
              </w:rPr>
              <w:t>, treatment of</w:t>
            </w:r>
            <w:r w:rsidRPr="00932120">
              <w:rPr>
                <w:rFonts w:cs="Arial"/>
                <w:szCs w:val="19"/>
                <w:lang w:val="en-US"/>
              </w:rPr>
              <w:t xml:space="preserve"> moderate to severe plaque psoriasis in children and adolescent patients age</w:t>
            </w:r>
            <w:r>
              <w:rPr>
                <w:rFonts w:cs="Arial"/>
                <w:szCs w:val="19"/>
                <w:lang w:val="en-US"/>
              </w:rPr>
              <w:t>d</w:t>
            </w:r>
            <w:r w:rsidRPr="00932120">
              <w:rPr>
                <w:rFonts w:cs="Arial"/>
                <w:szCs w:val="19"/>
                <w:lang w:val="en-US"/>
              </w:rPr>
              <w:t xml:space="preserve"> </w:t>
            </w:r>
            <w:r>
              <w:rPr>
                <w:rFonts w:cs="Arial"/>
                <w:szCs w:val="19"/>
                <w:lang w:val="en-US"/>
              </w:rPr>
              <w:t>≥</w:t>
            </w:r>
            <w:r w:rsidRPr="00932120">
              <w:rPr>
                <w:rFonts w:cs="Arial"/>
                <w:szCs w:val="19"/>
                <w:lang w:val="en-US"/>
              </w:rPr>
              <w:t>6 years who are inadequately controlled by, or are intolerant to, other systemic therapies or phototherapies</w:t>
            </w:r>
            <w:r>
              <w:rPr>
                <w:rFonts w:cs="Arial"/>
                <w:szCs w:val="19"/>
                <w:lang w:val="en-US"/>
              </w:rPr>
              <w:t>,</w:t>
            </w:r>
            <w:r w:rsidRPr="00932120">
              <w:rPr>
                <w:rFonts w:cs="Arial"/>
                <w:szCs w:val="19"/>
                <w:lang w:val="en-US"/>
              </w:rPr>
              <w:t xml:space="preserve"> treatment of active psoriatic arthritis in adults (alone or in combination with MTX), when the response to previous non-biological disease-modifying anti-rheumatic drug therapy has been inadequate</w:t>
            </w:r>
            <w:r>
              <w:rPr>
                <w:rFonts w:cs="Arial"/>
                <w:szCs w:val="19"/>
                <w:lang w:val="en-US"/>
              </w:rPr>
              <w:t>,</w:t>
            </w:r>
            <w:r w:rsidRPr="00932120">
              <w:rPr>
                <w:rFonts w:cs="Arial"/>
                <w:szCs w:val="19"/>
                <w:lang w:val="en-US"/>
              </w:rPr>
              <w:t xml:space="preserve"> </w:t>
            </w:r>
            <w:r>
              <w:rPr>
                <w:rFonts w:cs="Arial"/>
                <w:szCs w:val="19"/>
                <w:lang w:val="en-US"/>
              </w:rPr>
              <w:t xml:space="preserve">and </w:t>
            </w:r>
            <w:r w:rsidRPr="00932120">
              <w:rPr>
                <w:rFonts w:cs="Arial"/>
                <w:szCs w:val="19"/>
                <w:lang w:val="en-US"/>
              </w:rPr>
              <w:t>treatment of adults with moderately to severely active Crohn’s disease who have had an inadequate response with, lost response to, or were intolerant to either conventional therapy or a TNFα antagonist or have medical contraindications to such therapies</w:t>
            </w:r>
            <w:r>
              <w:rPr>
                <w:rFonts w:cs="Arial"/>
                <w:szCs w:val="19"/>
                <w:lang w:val="en-US"/>
              </w:rPr>
              <w:t xml:space="preserve"> </w:t>
            </w:r>
            <w:r w:rsidRPr="00C018DD">
              <w:rPr>
                <w:rFonts w:cs="Arial"/>
                <w:sz w:val="16"/>
                <w:szCs w:val="16"/>
                <w:lang w:val="en-US"/>
              </w:rPr>
              <w:t>[EU]</w:t>
            </w:r>
          </w:p>
        </w:tc>
      </w:tr>
      <w:tr w:rsidR="009B4A35" w:rsidRPr="00A075A3" w14:paraId="7E2ABFBD" w14:textId="77777777" w:rsidTr="00E97FC3">
        <w:tc>
          <w:tcPr>
            <w:tcW w:w="1225" w:type="pct"/>
            <w:shd w:val="clear" w:color="auto" w:fill="auto"/>
            <w:tcMar>
              <w:top w:w="57" w:type="dxa"/>
              <w:bottom w:w="57" w:type="dxa"/>
            </w:tcMar>
          </w:tcPr>
          <w:p w14:paraId="5C3D0AFE" w14:textId="77777777" w:rsidR="009B4A35" w:rsidRPr="005A7E81" w:rsidRDefault="009B4A35" w:rsidP="009F0C3A">
            <w:pPr>
              <w:rPr>
                <w:rFonts w:cs="Arial"/>
                <w:szCs w:val="19"/>
              </w:rPr>
            </w:pPr>
            <w:proofErr w:type="spellStart"/>
            <w:r w:rsidRPr="005A7E81">
              <w:rPr>
                <w:rFonts w:cs="Arial"/>
                <w:szCs w:val="19"/>
              </w:rPr>
              <w:t>Zapomeran</w:t>
            </w:r>
            <w:proofErr w:type="spellEnd"/>
            <w:r>
              <w:rPr>
                <w:rFonts w:cs="Arial"/>
                <w:szCs w:val="19"/>
              </w:rPr>
              <w:t xml:space="preserve"> (</w:t>
            </w:r>
            <w:proofErr w:type="spellStart"/>
            <w:r>
              <w:rPr>
                <w:rFonts w:cs="Arial"/>
                <w:i/>
                <w:iCs/>
                <w:szCs w:val="19"/>
              </w:rPr>
              <w:t>Kostaive</w:t>
            </w:r>
            <w:proofErr w:type="spellEnd"/>
            <w:r>
              <w:rPr>
                <w:rFonts w:cs="Arial"/>
                <w:szCs w:val="19"/>
              </w:rPr>
              <w:t>)</w:t>
            </w:r>
          </w:p>
        </w:tc>
        <w:tc>
          <w:tcPr>
            <w:tcW w:w="3775" w:type="pct"/>
            <w:shd w:val="clear" w:color="auto" w:fill="auto"/>
            <w:tcMar>
              <w:top w:w="57" w:type="dxa"/>
              <w:bottom w:w="57" w:type="dxa"/>
            </w:tcMar>
          </w:tcPr>
          <w:p w14:paraId="2CDB8FDC" w14:textId="77777777" w:rsidR="009B4A35" w:rsidRDefault="009B4A35" w:rsidP="009F0C3A">
            <w:pPr>
              <w:tabs>
                <w:tab w:val="num" w:pos="720"/>
                <w:tab w:val="center" w:pos="3152"/>
              </w:tabs>
              <w:rPr>
                <w:rFonts w:cs="Arial"/>
                <w:szCs w:val="19"/>
                <w:lang w:val="en-US"/>
              </w:rPr>
            </w:pPr>
            <w:r>
              <w:rPr>
                <w:rFonts w:cs="Arial"/>
                <w:szCs w:val="19"/>
                <w:lang w:val="en-US"/>
              </w:rPr>
              <w:t>Activ</w:t>
            </w:r>
            <w:r w:rsidRPr="003D014E">
              <w:rPr>
                <w:rFonts w:cs="Arial"/>
                <w:szCs w:val="19"/>
                <w:lang w:val="en-US"/>
              </w:rPr>
              <w:t xml:space="preserve">e </w:t>
            </w:r>
            <w:proofErr w:type="spellStart"/>
            <w:r w:rsidRPr="003D014E">
              <w:rPr>
                <w:rFonts w:cs="Arial"/>
                <w:szCs w:val="19"/>
                <w:lang w:val="en-US"/>
              </w:rPr>
              <w:t>immunisation</w:t>
            </w:r>
            <w:proofErr w:type="spellEnd"/>
            <w:r w:rsidRPr="003D014E">
              <w:rPr>
                <w:rFonts w:cs="Arial"/>
                <w:szCs w:val="19"/>
                <w:lang w:val="en-US"/>
              </w:rPr>
              <w:t xml:space="preserve"> to prevent COVID-19 caused by SARS-CoV-2 in individuals </w:t>
            </w:r>
            <w:r>
              <w:rPr>
                <w:rFonts w:cs="Arial"/>
                <w:szCs w:val="19"/>
                <w:lang w:val="en-US"/>
              </w:rPr>
              <w:t>aged ≥</w:t>
            </w:r>
            <w:r w:rsidRPr="003D014E">
              <w:rPr>
                <w:rFonts w:cs="Arial"/>
                <w:szCs w:val="19"/>
                <w:lang w:val="en-US"/>
              </w:rPr>
              <w:t>18 years</w:t>
            </w:r>
            <w:r>
              <w:rPr>
                <w:rFonts w:cs="Arial"/>
                <w:szCs w:val="19"/>
                <w:lang w:val="en-US"/>
              </w:rPr>
              <w:t xml:space="preserve"> </w:t>
            </w:r>
            <w:r w:rsidRPr="007D7D60">
              <w:rPr>
                <w:rFonts w:cs="Arial"/>
                <w:sz w:val="16"/>
                <w:szCs w:val="16"/>
                <w:lang w:val="en-US"/>
              </w:rPr>
              <w:t>[EU]</w:t>
            </w:r>
          </w:p>
        </w:tc>
      </w:tr>
      <w:tr w:rsidR="009B4A35" w:rsidRPr="000F19E1" w14:paraId="2A7E4DB2" w14:textId="77777777" w:rsidTr="00E97FC3">
        <w:tc>
          <w:tcPr>
            <w:tcW w:w="1225" w:type="pct"/>
            <w:shd w:val="clear" w:color="auto" w:fill="auto"/>
            <w:tcMar>
              <w:top w:w="0" w:type="dxa"/>
              <w:bottom w:w="0" w:type="dxa"/>
            </w:tcMar>
          </w:tcPr>
          <w:p w14:paraId="490AA72D" w14:textId="77777777" w:rsidR="009B4A35" w:rsidRPr="000F19E1" w:rsidRDefault="009B4A35" w:rsidP="009F0C3A">
            <w:pPr>
              <w:rPr>
                <w:rFonts w:cs="Arial"/>
                <w:bCs/>
                <w:sz w:val="8"/>
                <w:szCs w:val="8"/>
              </w:rPr>
            </w:pPr>
          </w:p>
        </w:tc>
        <w:tc>
          <w:tcPr>
            <w:tcW w:w="3775" w:type="pct"/>
            <w:shd w:val="clear" w:color="auto" w:fill="auto"/>
            <w:tcMar>
              <w:top w:w="0" w:type="dxa"/>
              <w:bottom w:w="0" w:type="dxa"/>
            </w:tcMar>
          </w:tcPr>
          <w:p w14:paraId="38BC4A61" w14:textId="77777777" w:rsidR="009B4A35" w:rsidRPr="000F19E1" w:rsidRDefault="009B4A35" w:rsidP="009F0C3A">
            <w:pPr>
              <w:tabs>
                <w:tab w:val="center" w:pos="3152"/>
              </w:tabs>
              <w:rPr>
                <w:rFonts w:cs="Arial"/>
                <w:sz w:val="8"/>
                <w:szCs w:val="8"/>
                <w:lang w:val="en-US"/>
              </w:rPr>
            </w:pPr>
          </w:p>
        </w:tc>
      </w:tr>
      <w:tr w:rsidR="009B4A35" w:rsidRPr="000F19E1" w14:paraId="2B603C4F" w14:textId="77777777" w:rsidTr="00E97FC3">
        <w:tc>
          <w:tcPr>
            <w:tcW w:w="1225" w:type="pct"/>
            <w:shd w:val="clear" w:color="auto" w:fill="DAEEF3"/>
            <w:tcMar>
              <w:top w:w="0" w:type="dxa"/>
              <w:bottom w:w="0" w:type="dxa"/>
            </w:tcMar>
          </w:tcPr>
          <w:p w14:paraId="4A777311" w14:textId="77777777" w:rsidR="009B4A35" w:rsidRPr="000F19E1" w:rsidRDefault="009B4A35" w:rsidP="009F0C3A">
            <w:pPr>
              <w:rPr>
                <w:rFonts w:cs="Arial"/>
                <w:bCs/>
                <w:sz w:val="8"/>
                <w:szCs w:val="8"/>
              </w:rPr>
            </w:pPr>
          </w:p>
        </w:tc>
        <w:tc>
          <w:tcPr>
            <w:tcW w:w="3775" w:type="pct"/>
            <w:shd w:val="clear" w:color="auto" w:fill="DAEEF3"/>
            <w:tcMar>
              <w:top w:w="0" w:type="dxa"/>
              <w:bottom w:w="0" w:type="dxa"/>
            </w:tcMar>
          </w:tcPr>
          <w:p w14:paraId="63861F00" w14:textId="77777777" w:rsidR="009B4A35" w:rsidRPr="000F19E1" w:rsidRDefault="009B4A35" w:rsidP="009F0C3A">
            <w:pPr>
              <w:tabs>
                <w:tab w:val="center" w:pos="3152"/>
              </w:tabs>
              <w:rPr>
                <w:rFonts w:cs="Arial"/>
                <w:sz w:val="8"/>
                <w:szCs w:val="8"/>
                <w:lang w:val="en-US"/>
              </w:rPr>
            </w:pPr>
          </w:p>
        </w:tc>
      </w:tr>
      <w:tr w:rsidR="009B4A35" w:rsidRPr="00433D3E" w14:paraId="7C84A6C2" w14:textId="77777777" w:rsidTr="009F0C3A">
        <w:tc>
          <w:tcPr>
            <w:tcW w:w="5000" w:type="pct"/>
            <w:gridSpan w:val="2"/>
            <w:shd w:val="clear" w:color="auto" w:fill="00B050"/>
            <w:tcMar>
              <w:top w:w="57" w:type="dxa"/>
              <w:bottom w:w="57" w:type="dxa"/>
            </w:tcMar>
          </w:tcPr>
          <w:p w14:paraId="25F67F76" w14:textId="77777777" w:rsidR="009B4A35" w:rsidRPr="00433D3E" w:rsidRDefault="009B4A35" w:rsidP="009F0C3A">
            <w:pPr>
              <w:rPr>
                <w:rFonts w:cs="Arial"/>
                <w:noProof/>
                <w:color w:val="FFFFFF"/>
                <w:sz w:val="16"/>
                <w:szCs w:val="16"/>
              </w:rPr>
            </w:pPr>
            <w:r w:rsidRPr="00433D3E">
              <w:rPr>
                <w:rFonts w:cs="Arial"/>
                <w:b/>
                <w:bCs/>
                <w:i/>
                <w:iCs/>
                <w:color w:val="FFFFFF"/>
                <w:sz w:val="22"/>
                <w:szCs w:val="20"/>
                <w:lang w:val="en-US"/>
              </w:rPr>
              <w:t xml:space="preserve">Filed for approval in the </w:t>
            </w:r>
            <w:r>
              <w:rPr>
                <w:rFonts w:cs="Arial"/>
                <w:b/>
                <w:bCs/>
                <w:i/>
                <w:iCs/>
                <w:color w:val="FFFFFF"/>
                <w:sz w:val="22"/>
                <w:szCs w:val="20"/>
                <w:lang w:val="en-US"/>
              </w:rPr>
              <w:t xml:space="preserve">UK or </w:t>
            </w:r>
            <w:r w:rsidRPr="00433D3E">
              <w:rPr>
                <w:rFonts w:cs="Arial"/>
                <w:b/>
                <w:bCs/>
                <w:i/>
                <w:iCs/>
                <w:color w:val="FFFFFF"/>
                <w:sz w:val="22"/>
                <w:szCs w:val="20"/>
                <w:lang w:val="en-US"/>
              </w:rPr>
              <w:t>EU</w:t>
            </w:r>
          </w:p>
        </w:tc>
      </w:tr>
      <w:tr w:rsidR="00E97FC3" w:rsidRPr="00A075A3" w14:paraId="136C50C1" w14:textId="77777777" w:rsidTr="00E97FC3">
        <w:tc>
          <w:tcPr>
            <w:tcW w:w="1225" w:type="pct"/>
            <w:shd w:val="clear" w:color="auto" w:fill="auto"/>
            <w:tcMar>
              <w:top w:w="57" w:type="dxa"/>
              <w:bottom w:w="57" w:type="dxa"/>
            </w:tcMar>
          </w:tcPr>
          <w:p w14:paraId="07FE58F7" w14:textId="77777777" w:rsidR="009B4A35" w:rsidRPr="00C466BC" w:rsidRDefault="009B4A35" w:rsidP="009F0C3A">
            <w:pPr>
              <w:rPr>
                <w:rFonts w:cs="Arial"/>
                <w:szCs w:val="19"/>
              </w:rPr>
            </w:pPr>
            <w:proofErr w:type="spellStart"/>
            <w:r w:rsidRPr="004602A6">
              <w:rPr>
                <w:rFonts w:cs="Arial"/>
                <w:szCs w:val="19"/>
              </w:rPr>
              <w:t>Bifikafusp</w:t>
            </w:r>
            <w:proofErr w:type="spellEnd"/>
            <w:r w:rsidRPr="004602A6">
              <w:rPr>
                <w:rFonts w:cs="Arial"/>
                <w:szCs w:val="19"/>
              </w:rPr>
              <w:t xml:space="preserve"> alfa + </w:t>
            </w:r>
            <w:proofErr w:type="spellStart"/>
            <w:r w:rsidRPr="004602A6">
              <w:rPr>
                <w:rFonts w:cs="Arial"/>
                <w:szCs w:val="19"/>
              </w:rPr>
              <w:t>onfekafusp</w:t>
            </w:r>
            <w:proofErr w:type="spellEnd"/>
            <w:r w:rsidRPr="004602A6">
              <w:rPr>
                <w:rFonts w:cs="Arial"/>
                <w:szCs w:val="19"/>
              </w:rPr>
              <w:t xml:space="preserve"> alfa </w:t>
            </w:r>
            <w:r>
              <w:rPr>
                <w:rFonts w:cs="Arial"/>
                <w:szCs w:val="19"/>
              </w:rPr>
              <w:t>(</w:t>
            </w:r>
            <w:proofErr w:type="spellStart"/>
            <w:r>
              <w:rPr>
                <w:rFonts w:cs="Arial"/>
                <w:i/>
                <w:iCs/>
                <w:szCs w:val="19"/>
              </w:rPr>
              <w:t>Nidlegy</w:t>
            </w:r>
            <w:proofErr w:type="spellEnd"/>
            <w:r>
              <w:rPr>
                <w:rFonts w:cs="Arial"/>
                <w:szCs w:val="19"/>
              </w:rPr>
              <w:t>)</w:t>
            </w:r>
          </w:p>
        </w:tc>
        <w:tc>
          <w:tcPr>
            <w:tcW w:w="3775" w:type="pct"/>
            <w:shd w:val="clear" w:color="auto" w:fill="auto"/>
            <w:tcMar>
              <w:top w:w="57" w:type="dxa"/>
              <w:bottom w:w="57" w:type="dxa"/>
            </w:tcMar>
          </w:tcPr>
          <w:p w14:paraId="43A7B234" w14:textId="77777777" w:rsidR="009B4A35" w:rsidRPr="00A075A3" w:rsidRDefault="009B4A35" w:rsidP="009F0C3A">
            <w:pPr>
              <w:tabs>
                <w:tab w:val="center" w:pos="3152"/>
              </w:tabs>
              <w:rPr>
                <w:rFonts w:cs="Arial"/>
                <w:szCs w:val="19"/>
                <w:lang w:val="en-US"/>
              </w:rPr>
            </w:pPr>
            <w:r>
              <w:rPr>
                <w:rFonts w:cs="Arial"/>
                <w:szCs w:val="19"/>
                <w:lang w:val="en-US"/>
              </w:rPr>
              <w:t xml:space="preserve">Neoadjuvant </w:t>
            </w:r>
            <w:r w:rsidRPr="00B50CA8">
              <w:rPr>
                <w:rFonts w:cs="Arial"/>
                <w:szCs w:val="19"/>
                <w:lang w:val="en-US"/>
              </w:rPr>
              <w:t>treatment of locally advanced fully resectable melanoma</w:t>
            </w:r>
            <w:r>
              <w:rPr>
                <w:rFonts w:cs="Arial"/>
                <w:szCs w:val="19"/>
                <w:lang w:val="en-US"/>
              </w:rPr>
              <w:t xml:space="preserve"> in adults </w:t>
            </w:r>
            <w:r w:rsidRPr="00B50CA8">
              <w:rPr>
                <w:rFonts w:cs="Arial"/>
                <w:sz w:val="16"/>
                <w:szCs w:val="16"/>
                <w:lang w:val="en-US"/>
              </w:rPr>
              <w:t>[EU]</w:t>
            </w:r>
          </w:p>
        </w:tc>
      </w:tr>
      <w:tr w:rsidR="00E97FC3" w:rsidRPr="00A075A3" w14:paraId="55FA52BA" w14:textId="77777777" w:rsidTr="00E97FC3">
        <w:tc>
          <w:tcPr>
            <w:tcW w:w="1225" w:type="pct"/>
            <w:shd w:val="clear" w:color="auto" w:fill="auto"/>
            <w:tcMar>
              <w:top w:w="57" w:type="dxa"/>
              <w:bottom w:w="57" w:type="dxa"/>
            </w:tcMar>
          </w:tcPr>
          <w:p w14:paraId="3D62CA1D" w14:textId="77777777" w:rsidR="009B4A35" w:rsidRPr="00B535E1" w:rsidRDefault="009B4A35" w:rsidP="009F0C3A">
            <w:pPr>
              <w:rPr>
                <w:rFonts w:cs="Arial"/>
                <w:szCs w:val="19"/>
              </w:rPr>
            </w:pPr>
            <w:r w:rsidRPr="005D7702">
              <w:rPr>
                <w:rFonts w:cs="Arial"/>
                <w:szCs w:val="19"/>
              </w:rPr>
              <w:t>Blarcamesine</w:t>
            </w:r>
            <w:r>
              <w:rPr>
                <w:rFonts w:cs="Arial"/>
                <w:szCs w:val="19"/>
              </w:rPr>
              <w:t xml:space="preserve"> </w:t>
            </w:r>
          </w:p>
        </w:tc>
        <w:tc>
          <w:tcPr>
            <w:tcW w:w="3775" w:type="pct"/>
            <w:shd w:val="clear" w:color="auto" w:fill="auto"/>
            <w:tcMar>
              <w:top w:w="57" w:type="dxa"/>
              <w:bottom w:w="57" w:type="dxa"/>
            </w:tcMar>
          </w:tcPr>
          <w:p w14:paraId="11F097C0" w14:textId="77777777" w:rsidR="009B4A35" w:rsidRPr="00A075A3" w:rsidRDefault="009B4A35" w:rsidP="009F0C3A">
            <w:pPr>
              <w:tabs>
                <w:tab w:val="center" w:pos="3152"/>
              </w:tabs>
              <w:rPr>
                <w:rFonts w:cs="Arial"/>
                <w:szCs w:val="19"/>
                <w:lang w:val="en-US"/>
              </w:rPr>
            </w:pPr>
            <w:r>
              <w:rPr>
                <w:rFonts w:cs="Arial"/>
                <w:szCs w:val="19"/>
                <w:lang w:val="en-US"/>
              </w:rPr>
              <w:t xml:space="preserve">Treatment of Alzheimer’s disease </w:t>
            </w:r>
            <w:r w:rsidRPr="003D1D84">
              <w:rPr>
                <w:rFonts w:cs="Arial"/>
                <w:sz w:val="16"/>
                <w:szCs w:val="16"/>
                <w:lang w:val="en-US"/>
              </w:rPr>
              <w:t>[EU]</w:t>
            </w:r>
          </w:p>
        </w:tc>
      </w:tr>
      <w:tr w:rsidR="00E97FC3" w:rsidRPr="00A075A3" w14:paraId="77B5ECC0" w14:textId="77777777" w:rsidTr="00E97FC3">
        <w:tc>
          <w:tcPr>
            <w:tcW w:w="1225" w:type="pct"/>
            <w:shd w:val="clear" w:color="auto" w:fill="auto"/>
            <w:tcMar>
              <w:top w:w="57" w:type="dxa"/>
              <w:bottom w:w="57" w:type="dxa"/>
            </w:tcMar>
          </w:tcPr>
          <w:p w14:paraId="7F448953" w14:textId="77777777" w:rsidR="009B4A35" w:rsidRPr="002E5A66" w:rsidRDefault="009B4A35" w:rsidP="009F0C3A">
            <w:pPr>
              <w:rPr>
                <w:rFonts w:cs="Arial"/>
                <w:szCs w:val="19"/>
              </w:rPr>
            </w:pPr>
            <w:proofErr w:type="spellStart"/>
            <w:r w:rsidRPr="009649FF">
              <w:rPr>
                <w:rFonts w:cs="Arial"/>
                <w:szCs w:val="19"/>
              </w:rPr>
              <w:t>Darolutamide</w:t>
            </w:r>
            <w:proofErr w:type="spellEnd"/>
            <w:r w:rsidRPr="009649FF">
              <w:rPr>
                <w:rFonts w:cs="Arial"/>
                <w:szCs w:val="19"/>
              </w:rPr>
              <w:t xml:space="preserve"> (</w:t>
            </w:r>
            <w:proofErr w:type="spellStart"/>
            <w:r w:rsidRPr="009649FF">
              <w:rPr>
                <w:rFonts w:cs="Arial"/>
                <w:i/>
                <w:iCs/>
                <w:szCs w:val="19"/>
              </w:rPr>
              <w:t>Nubeqa</w:t>
            </w:r>
            <w:proofErr w:type="spellEnd"/>
            <w:r w:rsidRPr="009649FF">
              <w:rPr>
                <w:rFonts w:cs="Arial"/>
                <w:szCs w:val="19"/>
              </w:rPr>
              <w:t>)</w:t>
            </w:r>
          </w:p>
        </w:tc>
        <w:tc>
          <w:tcPr>
            <w:tcW w:w="3775" w:type="pct"/>
            <w:shd w:val="clear" w:color="auto" w:fill="auto"/>
            <w:tcMar>
              <w:top w:w="57" w:type="dxa"/>
              <w:bottom w:w="57" w:type="dxa"/>
            </w:tcMar>
          </w:tcPr>
          <w:p w14:paraId="03553A9B" w14:textId="77777777" w:rsidR="009B4A35" w:rsidRDefault="009B4A35" w:rsidP="009F0C3A">
            <w:pPr>
              <w:tabs>
                <w:tab w:val="center" w:pos="3152"/>
              </w:tabs>
              <w:rPr>
                <w:rFonts w:cs="Arial"/>
                <w:szCs w:val="19"/>
                <w:lang w:val="en-US"/>
              </w:rPr>
            </w:pPr>
            <w:r w:rsidRPr="002017E2">
              <w:rPr>
                <w:rFonts w:cs="Arial"/>
                <w:szCs w:val="19"/>
                <w:lang w:val="en-US"/>
              </w:rPr>
              <w:t xml:space="preserve">Use in combination with androgen deprivation therapy for the treatment of </w:t>
            </w:r>
            <w:r>
              <w:rPr>
                <w:rFonts w:cs="Arial"/>
                <w:szCs w:val="19"/>
                <w:lang w:val="en-US"/>
              </w:rPr>
              <w:t>adults</w:t>
            </w:r>
            <w:r w:rsidRPr="002017E2">
              <w:rPr>
                <w:rFonts w:cs="Arial"/>
                <w:szCs w:val="19"/>
                <w:lang w:val="en-US"/>
              </w:rPr>
              <w:t xml:space="preserve"> with metastatic hormone-sensitive prostate cancer</w:t>
            </w:r>
            <w:r>
              <w:rPr>
                <w:rFonts w:cs="Arial"/>
                <w:szCs w:val="19"/>
                <w:lang w:val="en-US"/>
              </w:rPr>
              <w:t xml:space="preserve"> </w:t>
            </w:r>
            <w:r w:rsidRPr="002017E2">
              <w:rPr>
                <w:rFonts w:cs="Arial"/>
                <w:sz w:val="16"/>
                <w:szCs w:val="16"/>
                <w:lang w:val="en-US"/>
              </w:rPr>
              <w:t>[EU] [new indication]</w:t>
            </w:r>
          </w:p>
        </w:tc>
      </w:tr>
      <w:tr w:rsidR="00E97FC3" w:rsidRPr="00A075A3" w14:paraId="6495B765" w14:textId="77777777" w:rsidTr="00E97FC3">
        <w:tc>
          <w:tcPr>
            <w:tcW w:w="1225" w:type="pct"/>
            <w:shd w:val="clear" w:color="auto" w:fill="auto"/>
            <w:tcMar>
              <w:top w:w="57" w:type="dxa"/>
              <w:bottom w:w="57" w:type="dxa"/>
            </w:tcMar>
          </w:tcPr>
          <w:p w14:paraId="1948748C" w14:textId="77777777" w:rsidR="009B4A35" w:rsidRDefault="009B4A35" w:rsidP="009F0C3A">
            <w:pPr>
              <w:rPr>
                <w:rFonts w:cs="Arial"/>
                <w:szCs w:val="19"/>
              </w:rPr>
            </w:pPr>
            <w:r w:rsidRPr="002E5A66">
              <w:rPr>
                <w:rFonts w:cs="Arial"/>
                <w:szCs w:val="19"/>
              </w:rPr>
              <w:t>Darunavir + cobicistat </w:t>
            </w:r>
          </w:p>
          <w:p w14:paraId="0BABCD8B" w14:textId="77777777" w:rsidR="009B4A35" w:rsidRPr="003552FF" w:rsidRDefault="009B4A35" w:rsidP="009F0C3A">
            <w:pPr>
              <w:rPr>
                <w:rFonts w:cs="Arial"/>
                <w:szCs w:val="19"/>
              </w:rPr>
            </w:pPr>
            <w:r>
              <w:rPr>
                <w:rFonts w:cs="Arial"/>
                <w:szCs w:val="19"/>
              </w:rPr>
              <w:t>(</w:t>
            </w:r>
            <w:proofErr w:type="spellStart"/>
            <w:r>
              <w:rPr>
                <w:rFonts w:cs="Arial"/>
                <w:i/>
                <w:iCs/>
                <w:szCs w:val="19"/>
              </w:rPr>
              <w:t>Rezolsta</w:t>
            </w:r>
            <w:proofErr w:type="spellEnd"/>
            <w:r>
              <w:rPr>
                <w:rFonts w:cs="Arial"/>
                <w:szCs w:val="19"/>
              </w:rPr>
              <w:t>)</w:t>
            </w:r>
          </w:p>
        </w:tc>
        <w:tc>
          <w:tcPr>
            <w:tcW w:w="3775" w:type="pct"/>
            <w:shd w:val="clear" w:color="auto" w:fill="auto"/>
            <w:tcMar>
              <w:top w:w="57" w:type="dxa"/>
              <w:bottom w:w="57" w:type="dxa"/>
            </w:tcMar>
          </w:tcPr>
          <w:p w14:paraId="58F90731" w14:textId="77777777" w:rsidR="009B4A35" w:rsidRPr="00A075A3" w:rsidRDefault="009B4A35" w:rsidP="009F0C3A">
            <w:pPr>
              <w:tabs>
                <w:tab w:val="center" w:pos="3152"/>
              </w:tabs>
              <w:rPr>
                <w:rFonts w:cs="Arial"/>
                <w:szCs w:val="19"/>
                <w:lang w:val="en-US"/>
              </w:rPr>
            </w:pPr>
            <w:r>
              <w:rPr>
                <w:rFonts w:cs="Arial"/>
                <w:szCs w:val="19"/>
                <w:lang w:val="en-US"/>
              </w:rPr>
              <w:t xml:space="preserve">Use </w:t>
            </w:r>
            <w:r w:rsidRPr="00471510">
              <w:rPr>
                <w:rFonts w:cs="Arial"/>
                <w:szCs w:val="19"/>
                <w:lang w:val="en-US"/>
              </w:rPr>
              <w:t>in combination with other antiretroviral medicinal products for the treatment of human immunodeficiency virus-1 infection</w:t>
            </w:r>
            <w:r>
              <w:rPr>
                <w:rFonts w:cs="Arial"/>
                <w:szCs w:val="19"/>
                <w:lang w:val="en-US"/>
              </w:rPr>
              <w:t xml:space="preserve"> in </w:t>
            </w:r>
            <w:r w:rsidRPr="00F656BF">
              <w:rPr>
                <w:rFonts w:cs="Arial"/>
                <w:szCs w:val="19"/>
                <w:lang w:val="en-US"/>
              </w:rPr>
              <w:t xml:space="preserve">paediatric patients aged </w:t>
            </w:r>
            <w:r>
              <w:rPr>
                <w:rFonts w:cs="Arial"/>
                <w:szCs w:val="19"/>
                <w:lang w:val="en-US"/>
              </w:rPr>
              <w:t>≥</w:t>
            </w:r>
            <w:r w:rsidRPr="00F656BF">
              <w:rPr>
                <w:rFonts w:cs="Arial"/>
                <w:szCs w:val="19"/>
                <w:lang w:val="en-US"/>
              </w:rPr>
              <w:t xml:space="preserve">6 years with body weight </w:t>
            </w:r>
            <w:r>
              <w:rPr>
                <w:rFonts w:cs="Arial"/>
                <w:szCs w:val="19"/>
                <w:lang w:val="en-US"/>
              </w:rPr>
              <w:t>≥</w:t>
            </w:r>
            <w:r w:rsidRPr="00F656BF">
              <w:rPr>
                <w:rFonts w:cs="Arial"/>
                <w:szCs w:val="19"/>
                <w:lang w:val="en-US"/>
              </w:rPr>
              <w:t>25kg</w:t>
            </w:r>
            <w:r>
              <w:rPr>
                <w:rFonts w:cs="Arial"/>
                <w:szCs w:val="19"/>
                <w:lang w:val="en-US"/>
              </w:rPr>
              <w:t xml:space="preserve"> </w:t>
            </w:r>
            <w:r w:rsidRPr="001F7365">
              <w:rPr>
                <w:rFonts w:cs="Arial"/>
                <w:sz w:val="16"/>
                <w:szCs w:val="16"/>
                <w:lang w:val="en-US"/>
              </w:rPr>
              <w:t xml:space="preserve">[EU] [licence extension from use only in </w:t>
            </w:r>
            <w:r>
              <w:rPr>
                <w:rFonts w:cs="Arial"/>
                <w:sz w:val="16"/>
                <w:szCs w:val="16"/>
                <w:lang w:val="en-US"/>
              </w:rPr>
              <w:t>adults and adolescents</w:t>
            </w:r>
            <w:r w:rsidRPr="001F7365">
              <w:rPr>
                <w:rFonts w:cs="Arial"/>
                <w:sz w:val="16"/>
                <w:szCs w:val="16"/>
                <w:lang w:val="en-US"/>
              </w:rPr>
              <w:t xml:space="preserve"> aged </w:t>
            </w:r>
            <w:r>
              <w:rPr>
                <w:rFonts w:cs="Arial"/>
                <w:sz w:val="16"/>
                <w:szCs w:val="16"/>
                <w:lang w:val="en-US"/>
              </w:rPr>
              <w:t>≥12 years, weighing ≥40kg</w:t>
            </w:r>
            <w:r w:rsidRPr="001F7365">
              <w:rPr>
                <w:rFonts w:cs="Arial"/>
                <w:sz w:val="16"/>
                <w:szCs w:val="16"/>
                <w:lang w:val="en-US"/>
              </w:rPr>
              <w:t xml:space="preserve"> and new 675mg/150mg tablet formulation]</w:t>
            </w:r>
          </w:p>
        </w:tc>
      </w:tr>
      <w:tr w:rsidR="00E97FC3" w:rsidRPr="00A075A3" w14:paraId="0CC81C9D" w14:textId="77777777" w:rsidTr="00E97FC3">
        <w:tc>
          <w:tcPr>
            <w:tcW w:w="1225" w:type="pct"/>
            <w:shd w:val="clear" w:color="auto" w:fill="auto"/>
            <w:tcMar>
              <w:top w:w="57" w:type="dxa"/>
              <w:bottom w:w="57" w:type="dxa"/>
            </w:tcMar>
          </w:tcPr>
          <w:p w14:paraId="5EA97A4D" w14:textId="77777777" w:rsidR="009B4A35" w:rsidRPr="00855269" w:rsidRDefault="009B4A35" w:rsidP="009F0C3A">
            <w:pPr>
              <w:rPr>
                <w:rFonts w:cs="Arial"/>
                <w:szCs w:val="19"/>
              </w:rPr>
            </w:pPr>
            <w:r w:rsidRPr="00A44EBD">
              <w:rPr>
                <w:rFonts w:cs="Arial"/>
                <w:szCs w:val="19"/>
              </w:rPr>
              <w:t xml:space="preserve">Denosumab biosimilar </w:t>
            </w:r>
            <w:r>
              <w:rPr>
                <w:rFonts w:cs="Arial"/>
                <w:szCs w:val="19"/>
              </w:rPr>
              <w:t xml:space="preserve">– </w:t>
            </w:r>
            <w:r w:rsidRPr="00A44EBD">
              <w:rPr>
                <w:rFonts w:cs="Arial"/>
                <w:szCs w:val="19"/>
              </w:rPr>
              <w:t>TVB-009P</w:t>
            </w:r>
          </w:p>
        </w:tc>
        <w:tc>
          <w:tcPr>
            <w:tcW w:w="3775" w:type="pct"/>
            <w:shd w:val="clear" w:color="auto" w:fill="auto"/>
            <w:tcMar>
              <w:top w:w="57" w:type="dxa"/>
              <w:bottom w:w="57" w:type="dxa"/>
            </w:tcMar>
          </w:tcPr>
          <w:p w14:paraId="26C5C94B" w14:textId="77777777" w:rsidR="009B4A35" w:rsidRDefault="009B4A35" w:rsidP="009F0C3A">
            <w:pPr>
              <w:tabs>
                <w:tab w:val="center" w:pos="3152"/>
              </w:tabs>
              <w:rPr>
                <w:rFonts w:cs="Arial"/>
                <w:szCs w:val="19"/>
                <w:lang w:val="en-US"/>
              </w:rPr>
            </w:pPr>
            <w:r w:rsidRPr="005A08EE">
              <w:rPr>
                <w:rFonts w:cs="Arial"/>
                <w:szCs w:val="19"/>
                <w:lang w:val="en-US"/>
              </w:rPr>
              <w:t xml:space="preserve">Postmenopausal osteoporosis </w:t>
            </w:r>
            <w:r w:rsidRPr="005A08EE">
              <w:rPr>
                <w:rFonts w:cs="Arial"/>
                <w:szCs w:val="19"/>
                <w:lang w:val="en-US"/>
              </w:rPr>
              <w:tab/>
              <w:t xml:space="preserve">and other </w:t>
            </w:r>
            <w:r w:rsidRPr="005A08EE">
              <w:rPr>
                <w:rFonts w:cs="Arial"/>
                <w:i/>
                <w:iCs/>
                <w:szCs w:val="19"/>
                <w:lang w:val="en-US"/>
              </w:rPr>
              <w:t>Prolia</w:t>
            </w:r>
            <w:r w:rsidRPr="005A08EE">
              <w:rPr>
                <w:rFonts w:cs="Arial"/>
                <w:szCs w:val="19"/>
                <w:lang w:val="en-US"/>
              </w:rPr>
              <w:t xml:space="preserve"> indications</w:t>
            </w:r>
            <w:r>
              <w:rPr>
                <w:rFonts w:cs="Arial"/>
                <w:szCs w:val="19"/>
                <w:lang w:val="en-US"/>
              </w:rPr>
              <w:t xml:space="preserve"> </w:t>
            </w:r>
            <w:r w:rsidRPr="005A08EE">
              <w:rPr>
                <w:rFonts w:cs="Arial"/>
                <w:sz w:val="16"/>
                <w:szCs w:val="16"/>
                <w:lang w:val="en-US"/>
              </w:rPr>
              <w:t>[EU]</w:t>
            </w:r>
          </w:p>
        </w:tc>
      </w:tr>
      <w:tr w:rsidR="00E97FC3" w:rsidRPr="00A075A3" w14:paraId="313F2973" w14:textId="77777777" w:rsidTr="00E97FC3">
        <w:tc>
          <w:tcPr>
            <w:tcW w:w="1225" w:type="pct"/>
            <w:shd w:val="clear" w:color="auto" w:fill="auto"/>
            <w:tcMar>
              <w:top w:w="57" w:type="dxa"/>
              <w:bottom w:w="57" w:type="dxa"/>
            </w:tcMar>
          </w:tcPr>
          <w:p w14:paraId="73FE68C2" w14:textId="77777777" w:rsidR="009B4A35" w:rsidRPr="004910AC" w:rsidRDefault="009B4A35" w:rsidP="009F0C3A">
            <w:pPr>
              <w:rPr>
                <w:rFonts w:cs="Arial"/>
                <w:szCs w:val="19"/>
              </w:rPr>
            </w:pPr>
            <w:proofErr w:type="spellStart"/>
            <w:r w:rsidRPr="00855269">
              <w:rPr>
                <w:rFonts w:cs="Arial"/>
                <w:szCs w:val="19"/>
              </w:rPr>
              <w:t>Dorocubicel</w:t>
            </w:r>
            <w:proofErr w:type="spellEnd"/>
            <w:r>
              <w:rPr>
                <w:rFonts w:cs="Arial"/>
                <w:szCs w:val="19"/>
              </w:rPr>
              <w:t xml:space="preserve"> </w:t>
            </w:r>
          </w:p>
        </w:tc>
        <w:tc>
          <w:tcPr>
            <w:tcW w:w="3775" w:type="pct"/>
            <w:shd w:val="clear" w:color="auto" w:fill="auto"/>
            <w:tcMar>
              <w:top w:w="57" w:type="dxa"/>
              <w:bottom w:w="57" w:type="dxa"/>
            </w:tcMar>
          </w:tcPr>
          <w:p w14:paraId="0205BD63" w14:textId="77777777" w:rsidR="009B4A35" w:rsidRPr="00460B68" w:rsidRDefault="009B4A35" w:rsidP="009F0C3A">
            <w:pPr>
              <w:tabs>
                <w:tab w:val="center" w:pos="3152"/>
              </w:tabs>
              <w:rPr>
                <w:rFonts w:cs="Arial"/>
                <w:szCs w:val="19"/>
                <w:lang w:val="en-US"/>
              </w:rPr>
            </w:pPr>
            <w:r>
              <w:rPr>
                <w:rFonts w:cs="Arial"/>
                <w:szCs w:val="19"/>
                <w:lang w:val="en-US"/>
              </w:rPr>
              <w:t>T</w:t>
            </w:r>
            <w:r w:rsidRPr="00454ADC">
              <w:rPr>
                <w:rFonts w:cs="Arial"/>
                <w:szCs w:val="19"/>
                <w:lang w:val="en-US"/>
              </w:rPr>
              <w:t xml:space="preserve">reatment of adults with </w:t>
            </w:r>
            <w:proofErr w:type="spellStart"/>
            <w:r w:rsidRPr="00454ADC">
              <w:rPr>
                <w:rFonts w:cs="Arial"/>
                <w:szCs w:val="19"/>
                <w:lang w:val="en-US"/>
              </w:rPr>
              <w:t>haematological</w:t>
            </w:r>
            <w:proofErr w:type="spellEnd"/>
            <w:r w:rsidRPr="00454ADC">
              <w:rPr>
                <w:rFonts w:cs="Arial"/>
                <w:szCs w:val="19"/>
                <w:lang w:val="en-US"/>
              </w:rPr>
              <w:t xml:space="preserve"> malignancies requiring an allogeneic haematopoietic stem cell transplantation who lack a readily available suitable donor</w:t>
            </w:r>
            <w:r>
              <w:rPr>
                <w:rFonts w:cs="Arial"/>
                <w:szCs w:val="19"/>
                <w:lang w:val="en-US"/>
              </w:rPr>
              <w:t xml:space="preserve"> </w:t>
            </w:r>
            <w:r w:rsidRPr="00454ADC">
              <w:rPr>
                <w:rFonts w:cs="Arial"/>
                <w:sz w:val="16"/>
                <w:szCs w:val="16"/>
                <w:lang w:val="en-US"/>
              </w:rPr>
              <w:t>[EU]</w:t>
            </w:r>
          </w:p>
        </w:tc>
      </w:tr>
      <w:tr w:rsidR="00E97FC3" w:rsidRPr="00A075A3" w14:paraId="02A15FC7" w14:textId="77777777" w:rsidTr="00E97FC3">
        <w:tc>
          <w:tcPr>
            <w:tcW w:w="1225" w:type="pct"/>
            <w:shd w:val="clear" w:color="auto" w:fill="auto"/>
            <w:tcMar>
              <w:top w:w="57" w:type="dxa"/>
              <w:bottom w:w="57" w:type="dxa"/>
            </w:tcMar>
          </w:tcPr>
          <w:p w14:paraId="5F25FA3E" w14:textId="77777777" w:rsidR="009B4A35" w:rsidRPr="00217E76" w:rsidRDefault="009B4A35" w:rsidP="009F0C3A">
            <w:pPr>
              <w:rPr>
                <w:rFonts w:cs="Arial"/>
                <w:szCs w:val="19"/>
              </w:rPr>
            </w:pPr>
            <w:r>
              <w:rPr>
                <w:rFonts w:cs="Arial"/>
                <w:szCs w:val="19"/>
              </w:rPr>
              <w:t>Durvalumab (</w:t>
            </w:r>
            <w:r>
              <w:rPr>
                <w:rFonts w:cs="Arial"/>
                <w:i/>
                <w:iCs/>
                <w:szCs w:val="19"/>
              </w:rPr>
              <w:t>Imfinzi</w:t>
            </w:r>
            <w:r>
              <w:rPr>
                <w:rFonts w:cs="Arial"/>
                <w:szCs w:val="19"/>
              </w:rPr>
              <w:t>)</w:t>
            </w:r>
          </w:p>
        </w:tc>
        <w:tc>
          <w:tcPr>
            <w:tcW w:w="3775" w:type="pct"/>
            <w:shd w:val="clear" w:color="auto" w:fill="auto"/>
            <w:tcMar>
              <w:top w:w="57" w:type="dxa"/>
              <w:bottom w:w="57" w:type="dxa"/>
            </w:tcMar>
          </w:tcPr>
          <w:p w14:paraId="4458A049" w14:textId="77777777" w:rsidR="00E97FC3" w:rsidRDefault="009B4A35" w:rsidP="009F0C3A">
            <w:pPr>
              <w:tabs>
                <w:tab w:val="center" w:pos="3152"/>
              </w:tabs>
              <w:rPr>
                <w:rFonts w:cs="Arial"/>
                <w:sz w:val="16"/>
                <w:szCs w:val="16"/>
                <w:lang w:val="en-US"/>
              </w:rPr>
            </w:pPr>
            <w:r w:rsidRPr="00A07ABC">
              <w:rPr>
                <w:rFonts w:cs="Arial"/>
                <w:szCs w:val="19"/>
                <w:lang w:val="en-US"/>
              </w:rPr>
              <w:t>Treatment of adults with limited-stage small cell lung cancer whose disease has not progressed following concurrent platinum-based chemotherapy and radiation therapy</w:t>
            </w:r>
            <w:r>
              <w:rPr>
                <w:rFonts w:cs="Arial"/>
                <w:szCs w:val="19"/>
                <w:lang w:val="en-US"/>
              </w:rPr>
              <w:t xml:space="preserve"> </w:t>
            </w:r>
            <w:r w:rsidRPr="00A07ABC">
              <w:rPr>
                <w:rFonts w:cs="Arial"/>
                <w:sz w:val="16"/>
                <w:szCs w:val="16"/>
                <w:lang w:val="en-US"/>
              </w:rPr>
              <w:t xml:space="preserve">[EU] </w:t>
            </w:r>
          </w:p>
          <w:p w14:paraId="4EFE08B8" w14:textId="3B0EDD9D" w:rsidR="009B4A35" w:rsidRPr="00460B68" w:rsidRDefault="009B4A35" w:rsidP="009F0C3A">
            <w:pPr>
              <w:tabs>
                <w:tab w:val="center" w:pos="3152"/>
              </w:tabs>
              <w:rPr>
                <w:rFonts w:cs="Arial"/>
                <w:szCs w:val="19"/>
                <w:lang w:val="en-US"/>
              </w:rPr>
            </w:pPr>
            <w:r w:rsidRPr="00A07ABC">
              <w:rPr>
                <w:rFonts w:cs="Arial"/>
                <w:sz w:val="16"/>
                <w:szCs w:val="16"/>
                <w:lang w:val="en-US"/>
              </w:rPr>
              <w:t>[new indication]</w:t>
            </w:r>
          </w:p>
        </w:tc>
      </w:tr>
      <w:tr w:rsidR="00E97FC3" w:rsidRPr="00A075A3" w14:paraId="55D81005" w14:textId="77777777" w:rsidTr="00E97FC3">
        <w:tc>
          <w:tcPr>
            <w:tcW w:w="1225" w:type="pct"/>
            <w:shd w:val="clear" w:color="auto" w:fill="auto"/>
            <w:tcMar>
              <w:top w:w="57" w:type="dxa"/>
              <w:bottom w:w="57" w:type="dxa"/>
            </w:tcMar>
          </w:tcPr>
          <w:p w14:paraId="03E3FC1C" w14:textId="77777777" w:rsidR="009B4A35" w:rsidRDefault="009B4A35" w:rsidP="009F0C3A">
            <w:pPr>
              <w:rPr>
                <w:rFonts w:cs="Arial"/>
                <w:szCs w:val="19"/>
              </w:rPr>
            </w:pPr>
            <w:proofErr w:type="spellStart"/>
            <w:r w:rsidRPr="00310BC1">
              <w:rPr>
                <w:rFonts w:cs="Arial"/>
                <w:szCs w:val="19"/>
              </w:rPr>
              <w:t>Elinzanetant</w:t>
            </w:r>
            <w:proofErr w:type="spellEnd"/>
            <w:r>
              <w:rPr>
                <w:rFonts w:cs="Arial"/>
                <w:szCs w:val="19"/>
              </w:rPr>
              <w:t xml:space="preserve"> </w:t>
            </w:r>
          </w:p>
        </w:tc>
        <w:tc>
          <w:tcPr>
            <w:tcW w:w="3775" w:type="pct"/>
            <w:shd w:val="clear" w:color="auto" w:fill="auto"/>
            <w:tcMar>
              <w:top w:w="57" w:type="dxa"/>
              <w:bottom w:w="57" w:type="dxa"/>
            </w:tcMar>
          </w:tcPr>
          <w:p w14:paraId="5C4B7518" w14:textId="6669DE3D" w:rsidR="009B4A35" w:rsidRPr="008907D1" w:rsidRDefault="009B4A35" w:rsidP="009F0C3A">
            <w:pPr>
              <w:tabs>
                <w:tab w:val="center" w:pos="3152"/>
              </w:tabs>
              <w:rPr>
                <w:rFonts w:cs="Arial"/>
                <w:szCs w:val="19"/>
                <w:lang w:val="en-US"/>
              </w:rPr>
            </w:pPr>
            <w:r w:rsidRPr="00BD2904">
              <w:rPr>
                <w:rFonts w:cs="Arial"/>
                <w:szCs w:val="19"/>
                <w:lang w:val="en-US"/>
              </w:rPr>
              <w:t xml:space="preserve">Treatment of </w:t>
            </w:r>
            <w:r>
              <w:rPr>
                <w:rFonts w:cs="Arial"/>
                <w:szCs w:val="19"/>
                <w:lang w:val="en-US"/>
              </w:rPr>
              <w:t>adult</w:t>
            </w:r>
            <w:r w:rsidR="00305EBD">
              <w:rPr>
                <w:rFonts w:cs="Arial"/>
                <w:szCs w:val="19"/>
                <w:lang w:val="en-US"/>
              </w:rPr>
              <w:t xml:space="preserve"> women</w:t>
            </w:r>
            <w:r>
              <w:rPr>
                <w:rFonts w:cs="Arial"/>
                <w:szCs w:val="19"/>
                <w:lang w:val="en-US"/>
              </w:rPr>
              <w:t xml:space="preserve"> with </w:t>
            </w:r>
            <w:r w:rsidRPr="00BD2904">
              <w:rPr>
                <w:rFonts w:cs="Arial"/>
                <w:szCs w:val="19"/>
                <w:lang w:val="en-US"/>
              </w:rPr>
              <w:t>moderate to severe vasomotor symptoms associated with menopause</w:t>
            </w:r>
            <w:r>
              <w:rPr>
                <w:rFonts w:cs="Arial"/>
                <w:szCs w:val="19"/>
                <w:lang w:val="en-US"/>
              </w:rPr>
              <w:t xml:space="preserve"> </w:t>
            </w:r>
            <w:r w:rsidRPr="00BD2904">
              <w:rPr>
                <w:rFonts w:cs="Arial"/>
                <w:sz w:val="16"/>
                <w:szCs w:val="16"/>
                <w:lang w:val="en-US"/>
              </w:rPr>
              <w:t>[EU]</w:t>
            </w:r>
          </w:p>
        </w:tc>
      </w:tr>
      <w:tr w:rsidR="00E97FC3" w:rsidRPr="00A075A3" w14:paraId="180CD0B6" w14:textId="77777777" w:rsidTr="00E97FC3">
        <w:tc>
          <w:tcPr>
            <w:tcW w:w="1225" w:type="pct"/>
            <w:shd w:val="clear" w:color="auto" w:fill="auto"/>
            <w:tcMar>
              <w:top w:w="57" w:type="dxa"/>
              <w:bottom w:w="57" w:type="dxa"/>
            </w:tcMar>
          </w:tcPr>
          <w:p w14:paraId="5CEB7977" w14:textId="77777777" w:rsidR="009B4A35" w:rsidRPr="006626C6" w:rsidRDefault="009B4A35" w:rsidP="009F0C3A">
            <w:pPr>
              <w:rPr>
                <w:rFonts w:cs="Arial"/>
                <w:szCs w:val="19"/>
              </w:rPr>
            </w:pPr>
            <w:r>
              <w:rPr>
                <w:rFonts w:cs="Arial"/>
                <w:szCs w:val="19"/>
              </w:rPr>
              <w:t>Glofitamab (</w:t>
            </w:r>
            <w:r>
              <w:rPr>
                <w:rFonts w:cs="Arial"/>
                <w:i/>
                <w:iCs/>
                <w:szCs w:val="19"/>
              </w:rPr>
              <w:t>Columvi</w:t>
            </w:r>
            <w:r>
              <w:rPr>
                <w:rFonts w:cs="Arial"/>
                <w:szCs w:val="19"/>
              </w:rPr>
              <w:t>)</w:t>
            </w:r>
          </w:p>
        </w:tc>
        <w:tc>
          <w:tcPr>
            <w:tcW w:w="3775" w:type="pct"/>
            <w:shd w:val="clear" w:color="auto" w:fill="auto"/>
            <w:tcMar>
              <w:top w:w="57" w:type="dxa"/>
              <w:bottom w:w="57" w:type="dxa"/>
            </w:tcMar>
          </w:tcPr>
          <w:p w14:paraId="509FA86A" w14:textId="77777777" w:rsidR="009B4A35" w:rsidRPr="008907D1" w:rsidRDefault="009B4A35" w:rsidP="009F0C3A">
            <w:pPr>
              <w:tabs>
                <w:tab w:val="center" w:pos="3152"/>
              </w:tabs>
              <w:rPr>
                <w:rFonts w:cs="Arial"/>
                <w:szCs w:val="19"/>
                <w:lang w:val="en-US"/>
              </w:rPr>
            </w:pPr>
            <w:r w:rsidRPr="00520ECF">
              <w:rPr>
                <w:rFonts w:cs="Arial"/>
                <w:szCs w:val="19"/>
                <w:lang w:val="en-US"/>
              </w:rPr>
              <w:t>Use in combination with gemcitabine and oxaliplatin to treat relapsed or refractory diffuse large B-cell lymphoma in patients who have received at least one prior line of therapy and who are not candidates for autologous stem cell transplant</w:t>
            </w:r>
            <w:r>
              <w:rPr>
                <w:rFonts w:cs="Arial"/>
                <w:szCs w:val="19"/>
                <w:lang w:val="en-US"/>
              </w:rPr>
              <w:t xml:space="preserve"> </w:t>
            </w:r>
            <w:r w:rsidRPr="00520ECF">
              <w:rPr>
                <w:rFonts w:cs="Arial"/>
                <w:sz w:val="16"/>
                <w:szCs w:val="16"/>
                <w:lang w:val="en-US"/>
              </w:rPr>
              <w:t>[EU] [new indication]</w:t>
            </w:r>
          </w:p>
        </w:tc>
      </w:tr>
      <w:tr w:rsidR="00E97FC3" w:rsidRPr="00A075A3" w14:paraId="695D4ACB" w14:textId="77777777" w:rsidTr="00E97FC3">
        <w:tc>
          <w:tcPr>
            <w:tcW w:w="1225" w:type="pct"/>
            <w:shd w:val="clear" w:color="auto" w:fill="auto"/>
            <w:tcMar>
              <w:top w:w="57" w:type="dxa"/>
              <w:bottom w:w="57" w:type="dxa"/>
            </w:tcMar>
          </w:tcPr>
          <w:p w14:paraId="3EAFA6AA" w14:textId="77777777" w:rsidR="009B4A35" w:rsidRPr="004910AC" w:rsidRDefault="009B4A35" w:rsidP="009F0C3A">
            <w:pPr>
              <w:rPr>
                <w:rFonts w:cs="Arial"/>
                <w:szCs w:val="19"/>
              </w:rPr>
            </w:pPr>
            <w:r>
              <w:rPr>
                <w:rFonts w:cs="Arial"/>
                <w:szCs w:val="19"/>
              </w:rPr>
              <w:t xml:space="preserve">Histamine </w:t>
            </w:r>
          </w:p>
        </w:tc>
        <w:tc>
          <w:tcPr>
            <w:tcW w:w="3775" w:type="pct"/>
            <w:shd w:val="clear" w:color="auto" w:fill="auto"/>
            <w:tcMar>
              <w:top w:w="57" w:type="dxa"/>
              <w:bottom w:w="57" w:type="dxa"/>
            </w:tcMar>
          </w:tcPr>
          <w:p w14:paraId="7399ABB6" w14:textId="77777777" w:rsidR="009B4A35" w:rsidRPr="00460B68" w:rsidRDefault="009B4A35" w:rsidP="009F0C3A">
            <w:pPr>
              <w:tabs>
                <w:tab w:val="center" w:pos="3152"/>
              </w:tabs>
              <w:rPr>
                <w:rFonts w:cs="Arial"/>
                <w:szCs w:val="19"/>
                <w:lang w:val="en-US"/>
              </w:rPr>
            </w:pPr>
            <w:r w:rsidRPr="008907D1">
              <w:rPr>
                <w:rFonts w:cs="Arial"/>
                <w:szCs w:val="19"/>
                <w:lang w:val="en-US"/>
              </w:rPr>
              <w:t xml:space="preserve">Maintenance therapy </w:t>
            </w:r>
            <w:r>
              <w:rPr>
                <w:rFonts w:cs="Arial"/>
                <w:szCs w:val="19"/>
                <w:lang w:val="en-US"/>
              </w:rPr>
              <w:t>of</w:t>
            </w:r>
            <w:r w:rsidRPr="008907D1">
              <w:rPr>
                <w:rFonts w:cs="Arial"/>
                <w:szCs w:val="19"/>
                <w:lang w:val="en-US"/>
              </w:rPr>
              <w:t xml:space="preserve"> adults with acute myeloid </w:t>
            </w:r>
            <w:proofErr w:type="spellStart"/>
            <w:r w:rsidRPr="008907D1">
              <w:rPr>
                <w:rFonts w:cs="Arial"/>
                <w:szCs w:val="19"/>
                <w:lang w:val="en-US"/>
              </w:rPr>
              <w:t>leukaemia</w:t>
            </w:r>
            <w:proofErr w:type="spellEnd"/>
            <w:r w:rsidRPr="008907D1">
              <w:rPr>
                <w:rFonts w:cs="Arial"/>
                <w:szCs w:val="19"/>
                <w:lang w:val="en-US"/>
              </w:rPr>
              <w:t xml:space="preserve"> in</w:t>
            </w:r>
            <w:r>
              <w:rPr>
                <w:rFonts w:cs="Arial"/>
                <w:szCs w:val="19"/>
                <w:lang w:val="en-US"/>
              </w:rPr>
              <w:t xml:space="preserve"> </w:t>
            </w:r>
            <w:r w:rsidRPr="008907D1">
              <w:rPr>
                <w:rFonts w:cs="Arial"/>
                <w:szCs w:val="19"/>
                <w:lang w:val="en-US"/>
              </w:rPr>
              <w:t>first remission concomitantly treated with interleukin-2</w:t>
            </w:r>
            <w:r>
              <w:rPr>
                <w:rFonts w:cs="Arial"/>
                <w:szCs w:val="19"/>
                <w:lang w:val="en-US"/>
              </w:rPr>
              <w:t xml:space="preserve"> </w:t>
            </w:r>
            <w:r w:rsidRPr="008907D1">
              <w:rPr>
                <w:rFonts w:cs="Arial"/>
                <w:sz w:val="16"/>
                <w:szCs w:val="16"/>
                <w:lang w:val="en-US"/>
              </w:rPr>
              <w:t>[UK]</w:t>
            </w:r>
          </w:p>
        </w:tc>
      </w:tr>
      <w:tr w:rsidR="00E97FC3" w:rsidRPr="00A075A3" w14:paraId="157DC851" w14:textId="77777777" w:rsidTr="00E97FC3">
        <w:tc>
          <w:tcPr>
            <w:tcW w:w="1225" w:type="pct"/>
            <w:shd w:val="clear" w:color="auto" w:fill="auto"/>
            <w:tcMar>
              <w:top w:w="57" w:type="dxa"/>
              <w:bottom w:w="57" w:type="dxa"/>
            </w:tcMar>
          </w:tcPr>
          <w:p w14:paraId="3B0B3A51" w14:textId="77777777" w:rsidR="009B4A35" w:rsidRPr="000A6206" w:rsidRDefault="009B4A35" w:rsidP="009F0C3A">
            <w:pPr>
              <w:rPr>
                <w:rFonts w:cs="Arial"/>
                <w:szCs w:val="19"/>
              </w:rPr>
            </w:pPr>
            <w:r w:rsidRPr="00A0653E">
              <w:rPr>
                <w:rFonts w:cs="Arial"/>
                <w:szCs w:val="19"/>
              </w:rPr>
              <w:t xml:space="preserve">Insulin </w:t>
            </w:r>
            <w:proofErr w:type="spellStart"/>
            <w:r w:rsidRPr="00A0653E">
              <w:rPr>
                <w:rFonts w:cs="Arial"/>
                <w:szCs w:val="19"/>
              </w:rPr>
              <w:t>icodec</w:t>
            </w:r>
            <w:proofErr w:type="spellEnd"/>
            <w:r w:rsidRPr="00A0653E">
              <w:rPr>
                <w:rFonts w:cs="Arial"/>
                <w:szCs w:val="19"/>
              </w:rPr>
              <w:t xml:space="preserve"> + </w:t>
            </w:r>
            <w:proofErr w:type="spellStart"/>
            <w:r w:rsidRPr="00A0653E">
              <w:rPr>
                <w:rFonts w:cs="Arial"/>
                <w:szCs w:val="19"/>
              </w:rPr>
              <w:t>semaglutide</w:t>
            </w:r>
            <w:proofErr w:type="spellEnd"/>
            <w:r w:rsidRPr="00A0653E">
              <w:rPr>
                <w:rFonts w:cs="Arial"/>
                <w:szCs w:val="19"/>
              </w:rPr>
              <w:t> </w:t>
            </w:r>
          </w:p>
        </w:tc>
        <w:tc>
          <w:tcPr>
            <w:tcW w:w="3775" w:type="pct"/>
            <w:shd w:val="clear" w:color="auto" w:fill="auto"/>
            <w:tcMar>
              <w:top w:w="57" w:type="dxa"/>
              <w:bottom w:w="57" w:type="dxa"/>
            </w:tcMar>
          </w:tcPr>
          <w:p w14:paraId="38C916D5" w14:textId="77777777" w:rsidR="009B4A35" w:rsidRPr="009A5172" w:rsidRDefault="009B4A35" w:rsidP="009F0C3A">
            <w:pPr>
              <w:tabs>
                <w:tab w:val="center" w:pos="3152"/>
              </w:tabs>
              <w:rPr>
                <w:rFonts w:cs="Arial"/>
                <w:szCs w:val="19"/>
                <w:lang w:val="en-US"/>
              </w:rPr>
            </w:pPr>
            <w:r w:rsidRPr="00716296">
              <w:rPr>
                <w:rFonts w:cs="Arial"/>
                <w:szCs w:val="19"/>
                <w:lang w:val="en-US"/>
              </w:rPr>
              <w:t>Type 2 diabetes mellitus in adults</w:t>
            </w:r>
            <w:r>
              <w:rPr>
                <w:rFonts w:cs="Arial"/>
                <w:szCs w:val="19"/>
                <w:lang w:val="en-US"/>
              </w:rPr>
              <w:t xml:space="preserve"> </w:t>
            </w:r>
            <w:r w:rsidRPr="00716296">
              <w:rPr>
                <w:rFonts w:cs="Arial"/>
                <w:sz w:val="16"/>
                <w:szCs w:val="16"/>
                <w:lang w:val="en-US"/>
              </w:rPr>
              <w:t>[EU]</w:t>
            </w:r>
          </w:p>
        </w:tc>
      </w:tr>
      <w:tr w:rsidR="00E97FC3" w:rsidRPr="00A075A3" w14:paraId="6993197B" w14:textId="77777777" w:rsidTr="00E97FC3">
        <w:tc>
          <w:tcPr>
            <w:tcW w:w="1225" w:type="pct"/>
            <w:shd w:val="clear" w:color="auto" w:fill="auto"/>
            <w:tcMar>
              <w:top w:w="57" w:type="dxa"/>
              <w:bottom w:w="57" w:type="dxa"/>
            </w:tcMar>
          </w:tcPr>
          <w:p w14:paraId="157A8439" w14:textId="77777777" w:rsidR="009B4A35" w:rsidRPr="002446F5" w:rsidRDefault="009B4A35" w:rsidP="009F0C3A">
            <w:pPr>
              <w:rPr>
                <w:rFonts w:cs="Arial"/>
                <w:szCs w:val="19"/>
              </w:rPr>
            </w:pPr>
            <w:proofErr w:type="spellStart"/>
            <w:r w:rsidRPr="000A6206">
              <w:rPr>
                <w:rFonts w:cs="Arial"/>
                <w:szCs w:val="19"/>
              </w:rPr>
              <w:t>Mitapivat</w:t>
            </w:r>
            <w:proofErr w:type="spellEnd"/>
            <w:r>
              <w:rPr>
                <w:rFonts w:cs="Arial"/>
                <w:szCs w:val="19"/>
              </w:rPr>
              <w:t xml:space="preserve"> </w:t>
            </w:r>
          </w:p>
        </w:tc>
        <w:tc>
          <w:tcPr>
            <w:tcW w:w="3775" w:type="pct"/>
            <w:shd w:val="clear" w:color="auto" w:fill="auto"/>
            <w:tcMar>
              <w:top w:w="57" w:type="dxa"/>
              <w:bottom w:w="57" w:type="dxa"/>
            </w:tcMar>
          </w:tcPr>
          <w:p w14:paraId="182F4C69" w14:textId="77777777" w:rsidR="009B4A35" w:rsidRPr="003F02CB" w:rsidRDefault="009B4A35" w:rsidP="009F0C3A">
            <w:pPr>
              <w:tabs>
                <w:tab w:val="center" w:pos="3152"/>
              </w:tabs>
              <w:rPr>
                <w:rFonts w:cs="Arial"/>
                <w:szCs w:val="19"/>
                <w:lang w:val="en-US"/>
              </w:rPr>
            </w:pPr>
            <w:r w:rsidRPr="009A5172">
              <w:rPr>
                <w:rFonts w:cs="Arial"/>
                <w:szCs w:val="19"/>
                <w:lang w:val="en-US"/>
              </w:rPr>
              <w:t>Treatment of adults with non-transfusion-dependent and transfusion-dependent alpha- or beta-thalassemia</w:t>
            </w:r>
            <w:r>
              <w:rPr>
                <w:rFonts w:cs="Arial"/>
                <w:szCs w:val="19"/>
                <w:lang w:val="en-US"/>
              </w:rPr>
              <w:t xml:space="preserve"> </w:t>
            </w:r>
            <w:r w:rsidRPr="003E2CE5">
              <w:rPr>
                <w:rFonts w:cs="Arial"/>
                <w:sz w:val="16"/>
                <w:szCs w:val="16"/>
                <w:lang w:val="en-US"/>
              </w:rPr>
              <w:t>[EU] [</w:t>
            </w:r>
            <w:r>
              <w:rPr>
                <w:rFonts w:cs="Arial"/>
                <w:sz w:val="16"/>
                <w:szCs w:val="16"/>
                <w:lang w:val="en-US"/>
              </w:rPr>
              <w:t>new indication</w:t>
            </w:r>
            <w:r w:rsidRPr="003E2CE5">
              <w:rPr>
                <w:rFonts w:cs="Arial"/>
                <w:sz w:val="16"/>
                <w:szCs w:val="16"/>
                <w:lang w:val="en-US"/>
              </w:rPr>
              <w:t>]</w:t>
            </w:r>
          </w:p>
        </w:tc>
      </w:tr>
      <w:tr w:rsidR="00E97FC3" w:rsidRPr="00A075A3" w14:paraId="3153A338" w14:textId="77777777" w:rsidTr="00E97FC3">
        <w:tc>
          <w:tcPr>
            <w:tcW w:w="1225" w:type="pct"/>
            <w:shd w:val="clear" w:color="auto" w:fill="auto"/>
            <w:tcMar>
              <w:top w:w="57" w:type="dxa"/>
              <w:bottom w:w="57" w:type="dxa"/>
            </w:tcMar>
          </w:tcPr>
          <w:p w14:paraId="4B456C82" w14:textId="77777777" w:rsidR="009B4A35" w:rsidRPr="005814ED" w:rsidRDefault="009B4A35" w:rsidP="009F0C3A">
            <w:pPr>
              <w:rPr>
                <w:rFonts w:cs="Arial"/>
                <w:szCs w:val="19"/>
              </w:rPr>
            </w:pPr>
            <w:proofErr w:type="spellStart"/>
            <w:r w:rsidRPr="008F6860">
              <w:rPr>
                <w:rFonts w:cs="Arial"/>
                <w:szCs w:val="19"/>
              </w:rPr>
              <w:t>Olezarsen</w:t>
            </w:r>
            <w:proofErr w:type="spellEnd"/>
            <w:r>
              <w:rPr>
                <w:rFonts w:cs="Arial"/>
                <w:szCs w:val="19"/>
              </w:rPr>
              <w:t xml:space="preserve"> (</w:t>
            </w:r>
            <w:proofErr w:type="spellStart"/>
            <w:r w:rsidRPr="00621C16">
              <w:rPr>
                <w:rFonts w:cs="Arial"/>
                <w:i/>
                <w:iCs/>
                <w:szCs w:val="19"/>
              </w:rPr>
              <w:t>Tryngolza</w:t>
            </w:r>
            <w:proofErr w:type="spellEnd"/>
            <w:r>
              <w:rPr>
                <w:rFonts w:cs="Arial"/>
                <w:szCs w:val="19"/>
              </w:rPr>
              <w:t>)</w:t>
            </w:r>
          </w:p>
        </w:tc>
        <w:tc>
          <w:tcPr>
            <w:tcW w:w="3775" w:type="pct"/>
            <w:shd w:val="clear" w:color="auto" w:fill="auto"/>
            <w:tcMar>
              <w:top w:w="57" w:type="dxa"/>
              <w:bottom w:w="57" w:type="dxa"/>
            </w:tcMar>
          </w:tcPr>
          <w:p w14:paraId="4160957D" w14:textId="77777777" w:rsidR="009B4A35" w:rsidRPr="00D3740F" w:rsidRDefault="009B4A35" w:rsidP="009F0C3A">
            <w:pPr>
              <w:tabs>
                <w:tab w:val="center" w:pos="3152"/>
              </w:tabs>
              <w:rPr>
                <w:rFonts w:cs="Arial"/>
                <w:szCs w:val="19"/>
                <w:lang w:val="en-US"/>
              </w:rPr>
            </w:pPr>
            <w:r>
              <w:rPr>
                <w:rFonts w:cs="Arial"/>
                <w:szCs w:val="19"/>
                <w:lang w:val="en-US"/>
              </w:rPr>
              <w:t xml:space="preserve">Use </w:t>
            </w:r>
            <w:r w:rsidRPr="00621C16">
              <w:rPr>
                <w:rFonts w:cs="Arial"/>
                <w:szCs w:val="19"/>
                <w:lang w:val="en-US"/>
              </w:rPr>
              <w:t>as an adjunct to diet to reduce triglycerides in adults with familial chylomicronemia syndrome</w:t>
            </w:r>
          </w:p>
        </w:tc>
      </w:tr>
      <w:tr w:rsidR="00E97FC3" w:rsidRPr="00A075A3" w14:paraId="686D0917" w14:textId="77777777" w:rsidTr="00E97FC3">
        <w:tc>
          <w:tcPr>
            <w:tcW w:w="1225" w:type="pct"/>
            <w:shd w:val="clear" w:color="auto" w:fill="auto"/>
            <w:tcMar>
              <w:top w:w="57" w:type="dxa"/>
              <w:bottom w:w="57" w:type="dxa"/>
            </w:tcMar>
          </w:tcPr>
          <w:p w14:paraId="70A967C5" w14:textId="77777777" w:rsidR="009B4A35" w:rsidRDefault="009B4A35" w:rsidP="009F0C3A">
            <w:pPr>
              <w:rPr>
                <w:rFonts w:cs="Arial"/>
                <w:szCs w:val="19"/>
              </w:rPr>
            </w:pPr>
            <w:r w:rsidRPr="005814ED">
              <w:rPr>
                <w:rFonts w:cs="Arial"/>
                <w:szCs w:val="19"/>
              </w:rPr>
              <w:t>Pegunigalsidase alfa </w:t>
            </w:r>
          </w:p>
          <w:p w14:paraId="2DFED4E6" w14:textId="77777777" w:rsidR="009B4A35" w:rsidRPr="009A529C" w:rsidRDefault="009B4A35" w:rsidP="009F0C3A">
            <w:pPr>
              <w:rPr>
                <w:rFonts w:cs="Arial"/>
                <w:szCs w:val="19"/>
              </w:rPr>
            </w:pPr>
            <w:r>
              <w:rPr>
                <w:rFonts w:cs="Arial"/>
                <w:szCs w:val="19"/>
              </w:rPr>
              <w:t>(</w:t>
            </w:r>
            <w:r w:rsidRPr="00E3430E">
              <w:rPr>
                <w:rFonts w:cs="Arial"/>
                <w:i/>
                <w:iCs/>
                <w:szCs w:val="19"/>
              </w:rPr>
              <w:t>Elfabrio</w:t>
            </w:r>
            <w:r>
              <w:rPr>
                <w:rFonts w:cs="Arial"/>
                <w:szCs w:val="19"/>
              </w:rPr>
              <w:t>)</w:t>
            </w:r>
          </w:p>
        </w:tc>
        <w:tc>
          <w:tcPr>
            <w:tcW w:w="3775" w:type="pct"/>
            <w:shd w:val="clear" w:color="auto" w:fill="auto"/>
            <w:tcMar>
              <w:top w:w="57" w:type="dxa"/>
              <w:bottom w:w="57" w:type="dxa"/>
            </w:tcMar>
          </w:tcPr>
          <w:p w14:paraId="243A376D" w14:textId="77777777" w:rsidR="009B4A35" w:rsidRPr="007D5383" w:rsidRDefault="009B4A35" w:rsidP="009F0C3A">
            <w:pPr>
              <w:tabs>
                <w:tab w:val="center" w:pos="3152"/>
              </w:tabs>
              <w:rPr>
                <w:rFonts w:cs="Arial"/>
                <w:szCs w:val="19"/>
                <w:lang w:val="en-US"/>
              </w:rPr>
            </w:pPr>
            <w:r w:rsidRPr="00D3740F">
              <w:rPr>
                <w:rFonts w:cs="Arial"/>
                <w:szCs w:val="19"/>
                <w:lang w:val="en-US"/>
              </w:rPr>
              <w:t>Long-term enzyme replacement therapy in adults with a confirmed diagnosis of Fabry disease (deficiency of alpha-galactosidase)</w:t>
            </w:r>
            <w:r>
              <w:rPr>
                <w:rFonts w:cs="Arial"/>
                <w:szCs w:val="19"/>
                <w:lang w:val="en-US"/>
              </w:rPr>
              <w:t xml:space="preserve"> </w:t>
            </w:r>
            <w:r w:rsidRPr="00D3740F">
              <w:rPr>
                <w:rFonts w:cs="Arial"/>
                <w:sz w:val="16"/>
                <w:szCs w:val="16"/>
                <w:lang w:val="en-US"/>
              </w:rPr>
              <w:t>[EU] [new 4-weekly dose regimen]</w:t>
            </w:r>
          </w:p>
        </w:tc>
      </w:tr>
      <w:tr w:rsidR="00E97FC3" w:rsidRPr="000F19E1" w14:paraId="0E0AB533" w14:textId="77777777" w:rsidTr="00E97FC3">
        <w:tc>
          <w:tcPr>
            <w:tcW w:w="1225" w:type="pct"/>
            <w:shd w:val="clear" w:color="auto" w:fill="auto"/>
            <w:tcMar>
              <w:top w:w="0" w:type="dxa"/>
              <w:bottom w:w="0" w:type="dxa"/>
            </w:tcMar>
          </w:tcPr>
          <w:p w14:paraId="137BAB5B" w14:textId="77777777" w:rsidR="009B4A35" w:rsidRPr="000F19E1" w:rsidRDefault="009B4A35" w:rsidP="009F0C3A">
            <w:pPr>
              <w:rPr>
                <w:rFonts w:cs="Arial"/>
                <w:bCs/>
                <w:sz w:val="8"/>
                <w:szCs w:val="8"/>
              </w:rPr>
            </w:pPr>
          </w:p>
        </w:tc>
        <w:tc>
          <w:tcPr>
            <w:tcW w:w="3775" w:type="pct"/>
            <w:shd w:val="clear" w:color="auto" w:fill="auto"/>
            <w:tcMar>
              <w:top w:w="0" w:type="dxa"/>
              <w:bottom w:w="0" w:type="dxa"/>
            </w:tcMar>
          </w:tcPr>
          <w:p w14:paraId="0A698B1E" w14:textId="77777777" w:rsidR="009B4A35" w:rsidRPr="000F19E1" w:rsidRDefault="009B4A35" w:rsidP="009F0C3A">
            <w:pPr>
              <w:tabs>
                <w:tab w:val="center" w:pos="3152"/>
              </w:tabs>
              <w:rPr>
                <w:rFonts w:cs="Arial"/>
                <w:sz w:val="8"/>
                <w:szCs w:val="8"/>
                <w:lang w:val="en-US"/>
              </w:rPr>
            </w:pPr>
          </w:p>
        </w:tc>
      </w:tr>
      <w:tr w:rsidR="009B4A35" w:rsidRPr="000F19E1" w14:paraId="5149ACD1" w14:textId="77777777" w:rsidTr="00E97FC3">
        <w:tc>
          <w:tcPr>
            <w:tcW w:w="1225" w:type="pct"/>
            <w:shd w:val="clear" w:color="auto" w:fill="DAEEF3"/>
            <w:tcMar>
              <w:top w:w="0" w:type="dxa"/>
              <w:bottom w:w="0" w:type="dxa"/>
            </w:tcMar>
          </w:tcPr>
          <w:p w14:paraId="4BD61AF3" w14:textId="77777777" w:rsidR="009B4A35" w:rsidRPr="000F19E1" w:rsidRDefault="009B4A35" w:rsidP="009F0C3A">
            <w:pPr>
              <w:rPr>
                <w:rFonts w:cs="Arial"/>
                <w:bCs/>
                <w:sz w:val="8"/>
                <w:szCs w:val="8"/>
              </w:rPr>
            </w:pPr>
          </w:p>
        </w:tc>
        <w:tc>
          <w:tcPr>
            <w:tcW w:w="3775" w:type="pct"/>
            <w:shd w:val="clear" w:color="auto" w:fill="DAEEF3"/>
            <w:tcMar>
              <w:top w:w="0" w:type="dxa"/>
              <w:bottom w:w="0" w:type="dxa"/>
            </w:tcMar>
          </w:tcPr>
          <w:p w14:paraId="6FD4C9AC" w14:textId="77777777" w:rsidR="009B4A35" w:rsidRPr="000F19E1" w:rsidRDefault="009B4A35" w:rsidP="009F0C3A">
            <w:pPr>
              <w:tabs>
                <w:tab w:val="center" w:pos="3152"/>
              </w:tabs>
              <w:rPr>
                <w:rFonts w:cs="Arial"/>
                <w:sz w:val="8"/>
                <w:szCs w:val="8"/>
                <w:lang w:val="en-US"/>
              </w:rPr>
            </w:pPr>
          </w:p>
        </w:tc>
      </w:tr>
    </w:tbl>
    <w:p w14:paraId="407F397E" w14:textId="77777777" w:rsidR="009B4A35" w:rsidRDefault="009B4A35"/>
    <w:p w14:paraId="43BC44D4" w14:textId="77777777" w:rsidR="009B4A35" w:rsidRDefault="009B4A35"/>
    <w:p w14:paraId="7E74D56B" w14:textId="77777777" w:rsidR="009B4A35" w:rsidRDefault="009B4A35"/>
    <w:tbl>
      <w:tblPr>
        <w:tblW w:w="5170" w:type="pct"/>
        <w:tblInd w:w="-176" w:type="dxa"/>
        <w:tblLayout w:type="fixed"/>
        <w:tblLook w:val="01E0" w:firstRow="1" w:lastRow="1" w:firstColumn="1" w:lastColumn="1" w:noHBand="0" w:noVBand="0"/>
      </w:tblPr>
      <w:tblGrid>
        <w:gridCol w:w="2443"/>
        <w:gridCol w:w="416"/>
        <w:gridCol w:w="7692"/>
      </w:tblGrid>
      <w:tr w:rsidR="000B2FBD" w:rsidRPr="00862949" w14:paraId="4C496CA1" w14:textId="77777777" w:rsidTr="009F0C3A">
        <w:tc>
          <w:tcPr>
            <w:tcW w:w="5000" w:type="pct"/>
            <w:gridSpan w:val="3"/>
            <w:shd w:val="clear" w:color="auto" w:fill="0070C0"/>
            <w:tcMar>
              <w:top w:w="85" w:type="dxa"/>
              <w:bottom w:w="85" w:type="dxa"/>
            </w:tcMar>
            <w:vAlign w:val="bottom"/>
          </w:tcPr>
          <w:p w14:paraId="66FB2864" w14:textId="77777777" w:rsidR="000B2FBD" w:rsidRPr="00862949" w:rsidRDefault="000B2FBD" w:rsidP="009F0C3A">
            <w:pPr>
              <w:rPr>
                <w:rFonts w:cs="Arial"/>
                <w:color w:val="FFFFFF"/>
                <w:sz w:val="15"/>
                <w:szCs w:val="15"/>
              </w:rPr>
            </w:pPr>
            <w:r w:rsidRPr="00862949">
              <w:rPr>
                <w:rFonts w:cs="Arial"/>
                <w:b/>
                <w:bCs/>
                <w:iCs/>
                <w:color w:val="FFFFFF"/>
                <w:sz w:val="28"/>
                <w:szCs w:val="28"/>
                <w:lang w:val="en-US"/>
              </w:rPr>
              <w:t xml:space="preserve">Regulatory changes in the </w:t>
            </w:r>
            <w:r>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0B2FBD" w:rsidRPr="000F19E1" w14:paraId="43272193" w14:textId="77777777" w:rsidTr="009F0C3A">
        <w:tc>
          <w:tcPr>
            <w:tcW w:w="1158" w:type="pct"/>
            <w:shd w:val="clear" w:color="auto" w:fill="DAEEF3"/>
            <w:tcMar>
              <w:top w:w="0" w:type="dxa"/>
              <w:bottom w:w="0" w:type="dxa"/>
            </w:tcMar>
          </w:tcPr>
          <w:p w14:paraId="37D93055" w14:textId="77777777" w:rsidR="000B2FBD" w:rsidRPr="000F19E1" w:rsidRDefault="000B2FBD" w:rsidP="009F0C3A">
            <w:pPr>
              <w:rPr>
                <w:rFonts w:cs="Arial"/>
                <w:bCs/>
                <w:sz w:val="8"/>
                <w:szCs w:val="8"/>
              </w:rPr>
            </w:pPr>
          </w:p>
        </w:tc>
        <w:tc>
          <w:tcPr>
            <w:tcW w:w="3842" w:type="pct"/>
            <w:gridSpan w:val="2"/>
            <w:shd w:val="clear" w:color="auto" w:fill="DAEEF3"/>
            <w:tcMar>
              <w:top w:w="0" w:type="dxa"/>
              <w:bottom w:w="0" w:type="dxa"/>
            </w:tcMar>
          </w:tcPr>
          <w:p w14:paraId="22201089" w14:textId="77777777" w:rsidR="000B2FBD" w:rsidRPr="000F19E1" w:rsidRDefault="000B2FBD" w:rsidP="009F0C3A">
            <w:pPr>
              <w:tabs>
                <w:tab w:val="center" w:pos="3152"/>
              </w:tabs>
              <w:rPr>
                <w:rFonts w:cs="Arial"/>
                <w:sz w:val="8"/>
                <w:szCs w:val="8"/>
                <w:lang w:val="en-US"/>
              </w:rPr>
            </w:pPr>
          </w:p>
        </w:tc>
      </w:tr>
      <w:tr w:rsidR="000B2FBD" w:rsidRPr="00433D3E" w14:paraId="5FC227C1" w14:textId="77777777" w:rsidTr="009F0C3A">
        <w:tc>
          <w:tcPr>
            <w:tcW w:w="5000" w:type="pct"/>
            <w:gridSpan w:val="3"/>
            <w:shd w:val="clear" w:color="auto" w:fill="00B050"/>
            <w:tcMar>
              <w:top w:w="57" w:type="dxa"/>
              <w:bottom w:w="57" w:type="dxa"/>
            </w:tcMar>
          </w:tcPr>
          <w:p w14:paraId="4F3FDB05" w14:textId="77777777" w:rsidR="000B2FBD" w:rsidRPr="00433D3E" w:rsidRDefault="000B2FBD" w:rsidP="009F0C3A">
            <w:pPr>
              <w:rPr>
                <w:rFonts w:cs="Arial"/>
                <w:noProof/>
                <w:color w:val="FFFFFF"/>
                <w:sz w:val="16"/>
                <w:szCs w:val="16"/>
              </w:rPr>
            </w:pPr>
            <w:r w:rsidRPr="00433D3E">
              <w:rPr>
                <w:rFonts w:cs="Arial"/>
                <w:b/>
                <w:bCs/>
                <w:i/>
                <w:iCs/>
                <w:color w:val="FFFFFF"/>
                <w:sz w:val="22"/>
                <w:szCs w:val="20"/>
                <w:lang w:val="en-US"/>
              </w:rPr>
              <w:t xml:space="preserve">Filed for approval in the </w:t>
            </w:r>
            <w:r>
              <w:rPr>
                <w:rFonts w:cs="Arial"/>
                <w:b/>
                <w:bCs/>
                <w:i/>
                <w:iCs/>
                <w:color w:val="FFFFFF"/>
                <w:sz w:val="22"/>
                <w:szCs w:val="20"/>
                <w:lang w:val="en-US"/>
              </w:rPr>
              <w:t xml:space="preserve">UK or </w:t>
            </w:r>
            <w:r w:rsidRPr="00433D3E">
              <w:rPr>
                <w:rFonts w:cs="Arial"/>
                <w:b/>
                <w:bCs/>
                <w:i/>
                <w:iCs/>
                <w:color w:val="FFFFFF"/>
                <w:sz w:val="22"/>
                <w:szCs w:val="20"/>
                <w:lang w:val="en-US"/>
              </w:rPr>
              <w:t>EU</w:t>
            </w:r>
            <w:r>
              <w:rPr>
                <w:rFonts w:cs="Arial"/>
                <w:b/>
                <w:bCs/>
                <w:i/>
                <w:iCs/>
                <w:color w:val="FFFFFF"/>
                <w:sz w:val="22"/>
                <w:szCs w:val="20"/>
                <w:lang w:val="en-US"/>
              </w:rPr>
              <w:t xml:space="preserve"> </w:t>
            </w:r>
            <w:r w:rsidRPr="009B4A35">
              <w:rPr>
                <w:rFonts w:cs="Arial"/>
                <w:b/>
                <w:bCs/>
                <w:color w:val="FFFFFF"/>
                <w:sz w:val="16"/>
                <w:szCs w:val="14"/>
                <w:lang w:val="en-US"/>
              </w:rPr>
              <w:t>(continued)</w:t>
            </w:r>
          </w:p>
        </w:tc>
      </w:tr>
      <w:tr w:rsidR="000B2FBD" w:rsidRPr="00A075A3" w14:paraId="1F9F8473" w14:textId="77777777" w:rsidTr="009F0C3A">
        <w:tc>
          <w:tcPr>
            <w:tcW w:w="1158" w:type="pct"/>
            <w:shd w:val="clear" w:color="auto" w:fill="auto"/>
            <w:tcMar>
              <w:top w:w="57" w:type="dxa"/>
              <w:bottom w:w="57" w:type="dxa"/>
            </w:tcMar>
          </w:tcPr>
          <w:p w14:paraId="367C0842" w14:textId="77777777" w:rsidR="000B2FBD" w:rsidRDefault="000B2FBD" w:rsidP="009F0C3A">
            <w:pPr>
              <w:rPr>
                <w:rFonts w:cs="Arial"/>
                <w:szCs w:val="19"/>
              </w:rPr>
            </w:pPr>
            <w:proofErr w:type="spellStart"/>
            <w:r w:rsidRPr="009A529C">
              <w:rPr>
                <w:rFonts w:cs="Arial"/>
                <w:szCs w:val="19"/>
              </w:rPr>
              <w:t>Rilzabrutinib</w:t>
            </w:r>
            <w:proofErr w:type="spellEnd"/>
            <w:r>
              <w:rPr>
                <w:rFonts w:cs="Arial"/>
                <w:szCs w:val="19"/>
              </w:rPr>
              <w:t xml:space="preserve"> </w:t>
            </w:r>
          </w:p>
        </w:tc>
        <w:tc>
          <w:tcPr>
            <w:tcW w:w="3842" w:type="pct"/>
            <w:gridSpan w:val="2"/>
            <w:shd w:val="clear" w:color="auto" w:fill="auto"/>
            <w:tcMar>
              <w:top w:w="57" w:type="dxa"/>
              <w:bottom w:w="57" w:type="dxa"/>
            </w:tcMar>
          </w:tcPr>
          <w:p w14:paraId="4F558A17" w14:textId="77777777" w:rsidR="000B2FBD" w:rsidRPr="00272180" w:rsidRDefault="000B2FBD" w:rsidP="009F0C3A">
            <w:pPr>
              <w:tabs>
                <w:tab w:val="center" w:pos="3152"/>
              </w:tabs>
              <w:rPr>
                <w:rFonts w:cs="Arial"/>
                <w:szCs w:val="19"/>
                <w:lang w:val="en-US"/>
              </w:rPr>
            </w:pPr>
            <w:r w:rsidRPr="007D5383">
              <w:rPr>
                <w:rFonts w:cs="Arial"/>
                <w:szCs w:val="19"/>
                <w:lang w:val="en-US"/>
              </w:rPr>
              <w:t>Treatment of persistent or chronic immune thrombocytopenia</w:t>
            </w:r>
            <w:r>
              <w:rPr>
                <w:rFonts w:cs="Arial"/>
                <w:szCs w:val="19"/>
                <w:lang w:val="en-US"/>
              </w:rPr>
              <w:t xml:space="preserve"> in adults and children aged ≥12 years </w:t>
            </w:r>
            <w:r w:rsidRPr="007D5383">
              <w:rPr>
                <w:rFonts w:cs="Arial"/>
                <w:sz w:val="16"/>
                <w:szCs w:val="16"/>
                <w:lang w:val="en-US"/>
              </w:rPr>
              <w:t>[EU]</w:t>
            </w:r>
          </w:p>
        </w:tc>
      </w:tr>
      <w:tr w:rsidR="000B2FBD" w:rsidRPr="00A075A3" w14:paraId="56AD402F" w14:textId="77777777" w:rsidTr="009F0C3A">
        <w:tc>
          <w:tcPr>
            <w:tcW w:w="1158" w:type="pct"/>
            <w:shd w:val="clear" w:color="auto" w:fill="auto"/>
            <w:tcMar>
              <w:top w:w="57" w:type="dxa"/>
              <w:bottom w:w="57" w:type="dxa"/>
            </w:tcMar>
          </w:tcPr>
          <w:p w14:paraId="45A8FF6D" w14:textId="77777777" w:rsidR="000B2FBD" w:rsidRDefault="000B2FBD" w:rsidP="009F0C3A">
            <w:pPr>
              <w:rPr>
                <w:rFonts w:cs="Arial"/>
                <w:szCs w:val="19"/>
              </w:rPr>
            </w:pPr>
            <w:r w:rsidRPr="00494E4C">
              <w:rPr>
                <w:rFonts w:cs="Arial"/>
                <w:szCs w:val="19"/>
              </w:rPr>
              <w:t xml:space="preserve">Trastuzumab </w:t>
            </w:r>
            <w:proofErr w:type="spellStart"/>
            <w:r w:rsidRPr="00494E4C">
              <w:rPr>
                <w:rFonts w:cs="Arial"/>
                <w:szCs w:val="19"/>
              </w:rPr>
              <w:t>deruxtecan</w:t>
            </w:r>
            <w:proofErr w:type="spellEnd"/>
          </w:p>
          <w:p w14:paraId="7F5BD5A8" w14:textId="77777777" w:rsidR="000B2FBD" w:rsidRPr="009A529C" w:rsidRDefault="000B2FBD" w:rsidP="009F0C3A">
            <w:pPr>
              <w:rPr>
                <w:rFonts w:cs="Arial"/>
                <w:szCs w:val="19"/>
              </w:rPr>
            </w:pPr>
            <w:r>
              <w:rPr>
                <w:rFonts w:cs="Arial"/>
                <w:szCs w:val="19"/>
              </w:rPr>
              <w:t>(</w:t>
            </w:r>
            <w:proofErr w:type="spellStart"/>
            <w:r>
              <w:rPr>
                <w:rFonts w:cs="Arial"/>
                <w:i/>
                <w:iCs/>
                <w:szCs w:val="19"/>
              </w:rPr>
              <w:t>Enhertu</w:t>
            </w:r>
            <w:proofErr w:type="spellEnd"/>
            <w:r>
              <w:rPr>
                <w:rFonts w:cs="Arial"/>
                <w:szCs w:val="19"/>
              </w:rPr>
              <w:t>)</w:t>
            </w:r>
          </w:p>
        </w:tc>
        <w:tc>
          <w:tcPr>
            <w:tcW w:w="3842" w:type="pct"/>
            <w:gridSpan w:val="2"/>
            <w:shd w:val="clear" w:color="auto" w:fill="auto"/>
            <w:tcMar>
              <w:top w:w="57" w:type="dxa"/>
              <w:bottom w:w="57" w:type="dxa"/>
            </w:tcMar>
          </w:tcPr>
          <w:p w14:paraId="01207ECD" w14:textId="519FFC71" w:rsidR="000B2FBD" w:rsidRPr="007D5383" w:rsidRDefault="000B2FBD" w:rsidP="009F0C3A">
            <w:pPr>
              <w:tabs>
                <w:tab w:val="center" w:pos="3152"/>
              </w:tabs>
              <w:rPr>
                <w:rFonts w:cs="Arial"/>
                <w:szCs w:val="19"/>
                <w:lang w:val="en-US"/>
              </w:rPr>
            </w:pPr>
            <w:r w:rsidRPr="000C2BC6">
              <w:rPr>
                <w:rFonts w:cs="Arial"/>
                <w:szCs w:val="19"/>
                <w:lang w:val="en-US"/>
              </w:rPr>
              <w:t xml:space="preserve">Unresectable or metastatic, HER2-low, HR-positive </w:t>
            </w:r>
            <w:r w:rsidR="004C1DAA">
              <w:rPr>
                <w:rFonts w:cs="Arial"/>
                <w:szCs w:val="19"/>
                <w:lang w:val="en-US"/>
              </w:rPr>
              <w:t xml:space="preserve">breast cancer </w:t>
            </w:r>
            <w:r w:rsidRPr="000C2BC6">
              <w:rPr>
                <w:rFonts w:cs="Arial"/>
                <w:szCs w:val="19"/>
                <w:lang w:val="en-US"/>
              </w:rPr>
              <w:t xml:space="preserve">in adults who have progressed on </w:t>
            </w:r>
            <w:r w:rsidR="00811EB2">
              <w:rPr>
                <w:rFonts w:cs="Arial"/>
                <w:szCs w:val="19"/>
                <w:lang w:val="en-US"/>
              </w:rPr>
              <w:t>≥</w:t>
            </w:r>
            <w:r w:rsidRPr="000C2BC6">
              <w:rPr>
                <w:rFonts w:cs="Arial"/>
                <w:szCs w:val="19"/>
                <w:lang w:val="en-US"/>
              </w:rPr>
              <w:t xml:space="preserve">2 endocrine therapies </w:t>
            </w:r>
            <w:r w:rsidRPr="000C2BC6">
              <w:rPr>
                <w:rFonts w:cs="Arial"/>
                <w:sz w:val="16"/>
                <w:szCs w:val="16"/>
                <w:lang w:val="en-US"/>
              </w:rPr>
              <w:t>[EU] [new indication]</w:t>
            </w:r>
          </w:p>
        </w:tc>
      </w:tr>
      <w:tr w:rsidR="000B2FBD" w:rsidRPr="000F19E1" w14:paraId="5A396015" w14:textId="77777777" w:rsidTr="009F0C3A">
        <w:tc>
          <w:tcPr>
            <w:tcW w:w="1158" w:type="pct"/>
            <w:shd w:val="clear" w:color="auto" w:fill="auto"/>
            <w:tcMar>
              <w:top w:w="0" w:type="dxa"/>
              <w:bottom w:w="0" w:type="dxa"/>
            </w:tcMar>
          </w:tcPr>
          <w:p w14:paraId="4F843061" w14:textId="77777777" w:rsidR="000B2FBD" w:rsidRPr="000F19E1" w:rsidRDefault="000B2FBD" w:rsidP="009F0C3A">
            <w:pPr>
              <w:rPr>
                <w:rFonts w:cs="Arial"/>
                <w:bCs/>
                <w:sz w:val="8"/>
                <w:szCs w:val="8"/>
              </w:rPr>
            </w:pPr>
          </w:p>
        </w:tc>
        <w:tc>
          <w:tcPr>
            <w:tcW w:w="3842" w:type="pct"/>
            <w:gridSpan w:val="2"/>
            <w:shd w:val="clear" w:color="auto" w:fill="auto"/>
            <w:tcMar>
              <w:top w:w="0" w:type="dxa"/>
              <w:bottom w:w="0" w:type="dxa"/>
            </w:tcMar>
          </w:tcPr>
          <w:p w14:paraId="1D40CE5C" w14:textId="77777777" w:rsidR="000B2FBD" w:rsidRPr="000F19E1" w:rsidRDefault="000B2FBD" w:rsidP="009F0C3A">
            <w:pPr>
              <w:tabs>
                <w:tab w:val="center" w:pos="3152"/>
              </w:tabs>
              <w:rPr>
                <w:rFonts w:cs="Arial"/>
                <w:sz w:val="8"/>
                <w:szCs w:val="8"/>
                <w:lang w:val="en-US"/>
              </w:rPr>
            </w:pPr>
          </w:p>
        </w:tc>
      </w:tr>
      <w:tr w:rsidR="000B2FBD" w:rsidRPr="000F19E1" w14:paraId="4218ADC8" w14:textId="77777777" w:rsidTr="009F0C3A">
        <w:tc>
          <w:tcPr>
            <w:tcW w:w="1158" w:type="pct"/>
            <w:shd w:val="clear" w:color="auto" w:fill="DAEEF3"/>
            <w:tcMar>
              <w:top w:w="0" w:type="dxa"/>
              <w:bottom w:w="0" w:type="dxa"/>
            </w:tcMar>
          </w:tcPr>
          <w:p w14:paraId="6627FC77" w14:textId="77777777" w:rsidR="000B2FBD" w:rsidRPr="000F19E1" w:rsidRDefault="000B2FBD" w:rsidP="009F0C3A">
            <w:pPr>
              <w:rPr>
                <w:rFonts w:cs="Arial"/>
                <w:bCs/>
                <w:sz w:val="8"/>
                <w:szCs w:val="8"/>
              </w:rPr>
            </w:pPr>
          </w:p>
        </w:tc>
        <w:tc>
          <w:tcPr>
            <w:tcW w:w="3842" w:type="pct"/>
            <w:gridSpan w:val="2"/>
            <w:shd w:val="clear" w:color="auto" w:fill="DAEEF3"/>
            <w:tcMar>
              <w:top w:w="0" w:type="dxa"/>
              <w:bottom w:w="0" w:type="dxa"/>
            </w:tcMar>
          </w:tcPr>
          <w:p w14:paraId="270D3E38" w14:textId="77777777" w:rsidR="000B2FBD" w:rsidRPr="000F19E1" w:rsidRDefault="000B2FBD" w:rsidP="009F0C3A">
            <w:pPr>
              <w:tabs>
                <w:tab w:val="center" w:pos="3152"/>
              </w:tabs>
              <w:rPr>
                <w:rFonts w:cs="Arial"/>
                <w:sz w:val="8"/>
                <w:szCs w:val="8"/>
                <w:lang w:val="en-US"/>
              </w:rPr>
            </w:pPr>
          </w:p>
        </w:tc>
      </w:tr>
      <w:tr w:rsidR="000B2FBD" w:rsidRPr="00126CCD" w14:paraId="01F09B79" w14:textId="77777777" w:rsidTr="009F0C3A">
        <w:tc>
          <w:tcPr>
            <w:tcW w:w="5000" w:type="pct"/>
            <w:gridSpan w:val="3"/>
            <w:shd w:val="clear" w:color="auto" w:fill="00B050"/>
            <w:tcMar>
              <w:top w:w="57" w:type="dxa"/>
              <w:bottom w:w="57" w:type="dxa"/>
            </w:tcMar>
          </w:tcPr>
          <w:p w14:paraId="47CF976A" w14:textId="77777777" w:rsidR="000B2FBD" w:rsidRPr="004642B4" w:rsidRDefault="000B2FBD" w:rsidP="009F0C3A">
            <w:pPr>
              <w:rPr>
                <w:rFonts w:cs="Arial"/>
                <w:noProof/>
                <w:color w:val="FFFFFF"/>
                <w:sz w:val="16"/>
                <w:szCs w:val="16"/>
              </w:rPr>
            </w:pPr>
            <w:r w:rsidRPr="004642B4">
              <w:rPr>
                <w:rFonts w:cs="Arial"/>
                <w:b/>
                <w:bCs/>
                <w:i/>
                <w:iCs/>
                <w:color w:val="FFFFFF"/>
                <w:sz w:val="22"/>
                <w:szCs w:val="20"/>
                <w:lang w:val="en-US"/>
              </w:rPr>
              <w:t xml:space="preserve">Other </w:t>
            </w:r>
            <w:r>
              <w:rPr>
                <w:rFonts w:cs="Arial"/>
                <w:b/>
                <w:bCs/>
                <w:i/>
                <w:iCs/>
                <w:color w:val="FFFFFF"/>
                <w:sz w:val="22"/>
                <w:szCs w:val="20"/>
                <w:lang w:val="en-US"/>
              </w:rPr>
              <w:t>UK/</w:t>
            </w:r>
            <w:r w:rsidRPr="004642B4">
              <w:rPr>
                <w:rFonts w:cs="Arial"/>
                <w:b/>
                <w:bCs/>
                <w:i/>
                <w:iCs/>
                <w:color w:val="FFFFFF"/>
                <w:sz w:val="22"/>
                <w:szCs w:val="20"/>
                <w:lang w:val="en-US"/>
              </w:rPr>
              <w:t>EU developments</w:t>
            </w:r>
          </w:p>
        </w:tc>
      </w:tr>
      <w:tr w:rsidR="000B2FBD" w14:paraId="75DE0A7B" w14:textId="77777777" w:rsidTr="009F0C3A">
        <w:tc>
          <w:tcPr>
            <w:tcW w:w="1158" w:type="pct"/>
            <w:shd w:val="clear" w:color="auto" w:fill="auto"/>
            <w:tcMar>
              <w:top w:w="57" w:type="dxa"/>
              <w:bottom w:w="57" w:type="dxa"/>
            </w:tcMar>
          </w:tcPr>
          <w:p w14:paraId="06891BE5" w14:textId="77777777" w:rsidR="000B2FBD" w:rsidRDefault="000B2FBD" w:rsidP="009F0C3A">
            <w:pPr>
              <w:rPr>
                <w:rFonts w:cs="Arial"/>
                <w:szCs w:val="19"/>
              </w:rPr>
            </w:pPr>
            <w:r>
              <w:rPr>
                <w:rFonts w:cs="Arial"/>
                <w:szCs w:val="19"/>
              </w:rPr>
              <w:t xml:space="preserve">Atropine </w:t>
            </w:r>
          </w:p>
        </w:tc>
        <w:tc>
          <w:tcPr>
            <w:tcW w:w="3842" w:type="pct"/>
            <w:gridSpan w:val="2"/>
            <w:shd w:val="clear" w:color="auto" w:fill="auto"/>
            <w:tcMar>
              <w:top w:w="57" w:type="dxa"/>
              <w:bottom w:w="57" w:type="dxa"/>
            </w:tcMar>
          </w:tcPr>
          <w:p w14:paraId="54FFD6BE" w14:textId="77777777" w:rsidR="000B2FBD" w:rsidRDefault="000B2FBD" w:rsidP="009F0C3A">
            <w:pPr>
              <w:tabs>
                <w:tab w:val="center" w:pos="3152"/>
              </w:tabs>
              <w:rPr>
                <w:rFonts w:cs="Arial"/>
                <w:szCs w:val="19"/>
                <w:lang w:val="en-US"/>
              </w:rPr>
            </w:pPr>
            <w:r w:rsidRPr="00D21336">
              <w:rPr>
                <w:rFonts w:cs="Arial"/>
                <w:szCs w:val="19"/>
                <w:lang w:val="en-US"/>
              </w:rPr>
              <w:t xml:space="preserve">Myopia in </w:t>
            </w:r>
            <w:r>
              <w:rPr>
                <w:rFonts w:cs="Arial"/>
                <w:szCs w:val="19"/>
                <w:lang w:val="en-US"/>
              </w:rPr>
              <w:t xml:space="preserve">adolescents and </w:t>
            </w:r>
            <w:r w:rsidRPr="00D21336">
              <w:rPr>
                <w:rFonts w:cs="Arial"/>
                <w:szCs w:val="19"/>
                <w:lang w:val="en-US"/>
              </w:rPr>
              <w:t xml:space="preserve">children aged ≥3 years </w:t>
            </w:r>
            <w:r>
              <w:rPr>
                <w:rFonts w:cs="Arial"/>
                <w:szCs w:val="19"/>
                <w:lang w:val="en-US"/>
              </w:rPr>
              <w:t>(Thea formulation) – UK development discontinued (company decision)</w:t>
            </w:r>
            <w:r w:rsidRPr="00D21336">
              <w:rPr>
                <w:rFonts w:cs="Arial"/>
                <w:szCs w:val="19"/>
                <w:lang w:val="en-US"/>
              </w:rPr>
              <w:t xml:space="preserve">  </w:t>
            </w:r>
          </w:p>
        </w:tc>
      </w:tr>
      <w:tr w:rsidR="000B2FBD" w14:paraId="50BF84D1" w14:textId="77777777" w:rsidTr="009F0C3A">
        <w:tc>
          <w:tcPr>
            <w:tcW w:w="1158" w:type="pct"/>
            <w:shd w:val="clear" w:color="auto" w:fill="auto"/>
            <w:tcMar>
              <w:top w:w="57" w:type="dxa"/>
              <w:bottom w:w="57" w:type="dxa"/>
            </w:tcMar>
          </w:tcPr>
          <w:p w14:paraId="62450EF0" w14:textId="77777777" w:rsidR="000B2FBD" w:rsidRDefault="000B2FBD" w:rsidP="009F0C3A">
            <w:pPr>
              <w:rPr>
                <w:rFonts w:cs="Arial"/>
                <w:szCs w:val="19"/>
              </w:rPr>
            </w:pPr>
            <w:r w:rsidRPr="00FB5325">
              <w:rPr>
                <w:rFonts w:cs="Arial"/>
                <w:szCs w:val="19"/>
              </w:rPr>
              <w:t>Baclofen + naltrexone + sorbitol </w:t>
            </w:r>
            <w:r>
              <w:rPr>
                <w:rFonts w:cs="Arial"/>
                <w:szCs w:val="19"/>
              </w:rPr>
              <w:t>(</w:t>
            </w:r>
            <w:proofErr w:type="spellStart"/>
            <w:r w:rsidRPr="008A5C14">
              <w:rPr>
                <w:rFonts w:cs="Arial"/>
                <w:i/>
                <w:iCs/>
                <w:szCs w:val="19"/>
              </w:rPr>
              <w:t>Syngility</w:t>
            </w:r>
            <w:proofErr w:type="spellEnd"/>
            <w:r>
              <w:rPr>
                <w:rFonts w:cs="Arial"/>
                <w:szCs w:val="19"/>
              </w:rPr>
              <w:t>)</w:t>
            </w:r>
          </w:p>
        </w:tc>
        <w:tc>
          <w:tcPr>
            <w:tcW w:w="3842" w:type="pct"/>
            <w:gridSpan w:val="2"/>
            <w:shd w:val="clear" w:color="auto" w:fill="auto"/>
            <w:tcMar>
              <w:top w:w="57" w:type="dxa"/>
              <w:bottom w:w="57" w:type="dxa"/>
            </w:tcMar>
          </w:tcPr>
          <w:p w14:paraId="0E5AE994" w14:textId="77777777" w:rsidR="000B2FBD" w:rsidRDefault="000B2FBD" w:rsidP="009F0C3A">
            <w:pPr>
              <w:tabs>
                <w:tab w:val="center" w:pos="3152"/>
              </w:tabs>
              <w:rPr>
                <w:rFonts w:cs="Arial"/>
                <w:szCs w:val="19"/>
                <w:lang w:val="en-US"/>
              </w:rPr>
            </w:pPr>
            <w:r>
              <w:rPr>
                <w:rFonts w:cs="Arial"/>
                <w:szCs w:val="19"/>
                <w:lang w:val="en-US"/>
              </w:rPr>
              <w:t xml:space="preserve">Mild-to-moderate type 1a </w:t>
            </w:r>
            <w:r w:rsidRPr="00497645">
              <w:rPr>
                <w:rFonts w:cs="Arial"/>
                <w:szCs w:val="19"/>
                <w:lang w:val="en-US"/>
              </w:rPr>
              <w:t>Charcot-Marie-Tooth disease</w:t>
            </w:r>
            <w:r>
              <w:rPr>
                <w:rFonts w:cs="Arial"/>
                <w:szCs w:val="19"/>
                <w:lang w:val="en-US"/>
              </w:rPr>
              <w:t xml:space="preserve"> </w:t>
            </w:r>
            <w:r w:rsidRPr="00497645">
              <w:rPr>
                <w:rFonts w:cs="Arial"/>
                <w:szCs w:val="19"/>
                <w:lang w:val="en-US"/>
              </w:rPr>
              <w:t xml:space="preserve">in people aged </w:t>
            </w:r>
            <w:r>
              <w:rPr>
                <w:rFonts w:cs="Arial"/>
                <w:szCs w:val="19"/>
                <w:lang w:val="en-US"/>
              </w:rPr>
              <w:t>≥</w:t>
            </w:r>
            <w:r w:rsidRPr="00497645">
              <w:rPr>
                <w:rFonts w:cs="Arial"/>
                <w:szCs w:val="19"/>
                <w:lang w:val="en-US"/>
              </w:rPr>
              <w:t xml:space="preserve">16 years </w:t>
            </w:r>
            <w:r>
              <w:rPr>
                <w:rFonts w:cs="Arial"/>
                <w:szCs w:val="19"/>
                <w:lang w:val="en-US"/>
              </w:rPr>
              <w:t>– development discontinued (lack of efficacy)</w:t>
            </w:r>
          </w:p>
        </w:tc>
      </w:tr>
      <w:tr w:rsidR="000B2FBD" w14:paraId="593B56F5" w14:textId="77777777" w:rsidTr="009F0C3A">
        <w:tc>
          <w:tcPr>
            <w:tcW w:w="1158" w:type="pct"/>
            <w:shd w:val="clear" w:color="auto" w:fill="auto"/>
            <w:tcMar>
              <w:top w:w="57" w:type="dxa"/>
              <w:bottom w:w="57" w:type="dxa"/>
            </w:tcMar>
          </w:tcPr>
          <w:p w14:paraId="5E572CA7" w14:textId="77777777" w:rsidR="000B2FBD" w:rsidRPr="004C42E6" w:rsidRDefault="000B2FBD" w:rsidP="009F0C3A">
            <w:pPr>
              <w:rPr>
                <w:rFonts w:cs="Arial"/>
                <w:szCs w:val="19"/>
              </w:rPr>
            </w:pPr>
            <w:proofErr w:type="spellStart"/>
            <w:r>
              <w:rPr>
                <w:rFonts w:cs="Arial"/>
                <w:szCs w:val="19"/>
              </w:rPr>
              <w:t>Benralizumab</w:t>
            </w:r>
            <w:proofErr w:type="spellEnd"/>
            <w:r>
              <w:rPr>
                <w:rFonts w:cs="Arial"/>
                <w:szCs w:val="19"/>
              </w:rPr>
              <w:t xml:space="preserve"> (</w:t>
            </w:r>
            <w:r>
              <w:rPr>
                <w:rFonts w:cs="Arial"/>
                <w:i/>
                <w:iCs/>
                <w:szCs w:val="19"/>
              </w:rPr>
              <w:t>Fasenra</w:t>
            </w:r>
            <w:r>
              <w:rPr>
                <w:rFonts w:cs="Arial"/>
                <w:szCs w:val="19"/>
              </w:rPr>
              <w:t>)</w:t>
            </w:r>
          </w:p>
        </w:tc>
        <w:tc>
          <w:tcPr>
            <w:tcW w:w="3842" w:type="pct"/>
            <w:gridSpan w:val="2"/>
            <w:shd w:val="clear" w:color="auto" w:fill="auto"/>
            <w:tcMar>
              <w:top w:w="57" w:type="dxa"/>
              <w:bottom w:w="57" w:type="dxa"/>
            </w:tcMar>
          </w:tcPr>
          <w:p w14:paraId="5158DDA1" w14:textId="77777777" w:rsidR="000B2FBD" w:rsidRPr="00932E60" w:rsidRDefault="000B2FBD" w:rsidP="009F0C3A">
            <w:pPr>
              <w:tabs>
                <w:tab w:val="center" w:pos="3152"/>
              </w:tabs>
              <w:rPr>
                <w:rFonts w:cs="Arial"/>
                <w:szCs w:val="19"/>
                <w:lang w:val="en-US"/>
              </w:rPr>
            </w:pPr>
            <w:r>
              <w:rPr>
                <w:rFonts w:cs="Arial"/>
                <w:szCs w:val="19"/>
                <w:lang w:val="en-US"/>
              </w:rPr>
              <w:t>S</w:t>
            </w:r>
            <w:r w:rsidRPr="009F3207">
              <w:rPr>
                <w:rFonts w:cs="Arial"/>
                <w:szCs w:val="19"/>
                <w:lang w:val="en-US"/>
              </w:rPr>
              <w:t>evere bilateral</w:t>
            </w:r>
            <w:r>
              <w:rPr>
                <w:rFonts w:cs="Arial"/>
                <w:szCs w:val="19"/>
                <w:lang w:val="en-US"/>
              </w:rPr>
              <w:t xml:space="preserve"> c</w:t>
            </w:r>
            <w:r w:rsidRPr="009F3207">
              <w:rPr>
                <w:rFonts w:cs="Arial"/>
                <w:szCs w:val="19"/>
                <w:lang w:val="en-US"/>
              </w:rPr>
              <w:t>hronic sinusitis with nasal polyps in adults who are symptomatic despite standard therapy</w:t>
            </w:r>
            <w:r>
              <w:rPr>
                <w:rFonts w:cs="Arial"/>
                <w:szCs w:val="19"/>
                <w:lang w:val="en-US"/>
              </w:rPr>
              <w:t xml:space="preserve"> – development discontinued (lack of efficacy)</w:t>
            </w:r>
          </w:p>
        </w:tc>
      </w:tr>
      <w:tr w:rsidR="000B2FBD" w14:paraId="2F45415E" w14:textId="77777777" w:rsidTr="009F0C3A">
        <w:tc>
          <w:tcPr>
            <w:tcW w:w="1158" w:type="pct"/>
            <w:shd w:val="clear" w:color="auto" w:fill="auto"/>
            <w:tcMar>
              <w:top w:w="57" w:type="dxa"/>
              <w:bottom w:w="57" w:type="dxa"/>
            </w:tcMar>
          </w:tcPr>
          <w:p w14:paraId="5483DD4E" w14:textId="77777777" w:rsidR="000B2FBD" w:rsidRPr="00045911" w:rsidRDefault="000B2FBD" w:rsidP="009F0C3A">
            <w:pPr>
              <w:rPr>
                <w:rFonts w:cs="Arial"/>
                <w:szCs w:val="19"/>
              </w:rPr>
            </w:pPr>
            <w:proofErr w:type="spellStart"/>
            <w:r>
              <w:rPr>
                <w:rFonts w:cs="Arial"/>
                <w:szCs w:val="19"/>
              </w:rPr>
              <w:t>Bucindolol</w:t>
            </w:r>
            <w:proofErr w:type="spellEnd"/>
            <w:r>
              <w:rPr>
                <w:rFonts w:cs="Arial"/>
                <w:szCs w:val="19"/>
              </w:rPr>
              <w:t xml:space="preserve"> (</w:t>
            </w:r>
            <w:proofErr w:type="spellStart"/>
            <w:r>
              <w:rPr>
                <w:rFonts w:cs="Arial"/>
                <w:i/>
                <w:iCs/>
                <w:szCs w:val="19"/>
              </w:rPr>
              <w:t>Gencaro</w:t>
            </w:r>
            <w:proofErr w:type="spellEnd"/>
            <w:r>
              <w:rPr>
                <w:rFonts w:cs="Arial"/>
                <w:szCs w:val="19"/>
              </w:rPr>
              <w:t>)</w:t>
            </w:r>
          </w:p>
        </w:tc>
        <w:tc>
          <w:tcPr>
            <w:tcW w:w="3842" w:type="pct"/>
            <w:gridSpan w:val="2"/>
            <w:shd w:val="clear" w:color="auto" w:fill="auto"/>
            <w:tcMar>
              <w:top w:w="57" w:type="dxa"/>
              <w:bottom w:w="57" w:type="dxa"/>
            </w:tcMar>
          </w:tcPr>
          <w:p w14:paraId="5431EB11" w14:textId="77777777" w:rsidR="00FB4575" w:rsidRDefault="000B2FBD" w:rsidP="009F0C3A">
            <w:pPr>
              <w:tabs>
                <w:tab w:val="center" w:pos="3152"/>
              </w:tabs>
              <w:rPr>
                <w:rFonts w:cs="Arial"/>
                <w:szCs w:val="19"/>
                <w:lang w:val="en-US"/>
              </w:rPr>
            </w:pPr>
            <w:r>
              <w:rPr>
                <w:rFonts w:cs="Arial"/>
                <w:szCs w:val="19"/>
                <w:lang w:val="en-US"/>
              </w:rPr>
              <w:t>P</w:t>
            </w:r>
            <w:r w:rsidRPr="00ED5A78">
              <w:rPr>
                <w:rFonts w:cs="Arial"/>
                <w:szCs w:val="19"/>
                <w:lang w:val="en-US"/>
              </w:rPr>
              <w:t>revention of recurrence</w:t>
            </w:r>
            <w:r>
              <w:rPr>
                <w:rFonts w:cs="Arial"/>
                <w:szCs w:val="19"/>
                <w:lang w:val="en-US"/>
              </w:rPr>
              <w:t xml:space="preserve"> of a</w:t>
            </w:r>
            <w:r w:rsidRPr="00ED5A78">
              <w:rPr>
                <w:rFonts w:cs="Arial"/>
                <w:szCs w:val="19"/>
                <w:lang w:val="en-US"/>
              </w:rPr>
              <w:t>trial fibrillation in adults with heart failure and/or left ventricular dysfunction and the ADRB1 Arg389Arg genotype</w:t>
            </w:r>
            <w:r>
              <w:rPr>
                <w:rFonts w:cs="Arial"/>
                <w:szCs w:val="19"/>
                <w:lang w:val="en-US"/>
              </w:rPr>
              <w:t xml:space="preserve"> – development </w:t>
            </w:r>
            <w:proofErr w:type="gramStart"/>
            <w:r>
              <w:rPr>
                <w:rFonts w:cs="Arial"/>
                <w:szCs w:val="19"/>
                <w:lang w:val="en-US"/>
              </w:rPr>
              <w:t>discontinued</w:t>
            </w:r>
            <w:proofErr w:type="gramEnd"/>
            <w:r>
              <w:rPr>
                <w:rFonts w:cs="Arial"/>
                <w:szCs w:val="19"/>
                <w:lang w:val="en-US"/>
              </w:rPr>
              <w:t xml:space="preserve"> </w:t>
            </w:r>
          </w:p>
          <w:p w14:paraId="61CDCD2E" w14:textId="3FB314CE" w:rsidR="000B2FBD" w:rsidRPr="003B2687" w:rsidRDefault="000B2FBD" w:rsidP="009F0C3A">
            <w:pPr>
              <w:tabs>
                <w:tab w:val="center" w:pos="3152"/>
              </w:tabs>
              <w:rPr>
                <w:rFonts w:cs="Arial"/>
                <w:szCs w:val="19"/>
                <w:lang w:val="en-US"/>
              </w:rPr>
            </w:pPr>
            <w:r>
              <w:rPr>
                <w:rFonts w:cs="Arial"/>
                <w:szCs w:val="19"/>
                <w:lang w:val="en-US"/>
              </w:rPr>
              <w:t>(company decision)</w:t>
            </w:r>
          </w:p>
        </w:tc>
      </w:tr>
      <w:tr w:rsidR="000B2FBD" w14:paraId="6B3183EA" w14:textId="77777777" w:rsidTr="009F0C3A">
        <w:tc>
          <w:tcPr>
            <w:tcW w:w="1158" w:type="pct"/>
            <w:shd w:val="clear" w:color="auto" w:fill="auto"/>
            <w:tcMar>
              <w:top w:w="57" w:type="dxa"/>
              <w:bottom w:w="57" w:type="dxa"/>
            </w:tcMar>
          </w:tcPr>
          <w:p w14:paraId="0EE97CF5" w14:textId="77777777" w:rsidR="000B2FBD" w:rsidRPr="00930D00" w:rsidRDefault="000B2FBD" w:rsidP="009F0C3A">
            <w:pPr>
              <w:rPr>
                <w:rFonts w:cs="Arial"/>
                <w:szCs w:val="19"/>
              </w:rPr>
            </w:pPr>
            <w:r w:rsidRPr="005E633F">
              <w:rPr>
                <w:rFonts w:cs="Arial"/>
                <w:szCs w:val="19"/>
              </w:rPr>
              <w:t>Capivasertib</w:t>
            </w:r>
            <w:r>
              <w:rPr>
                <w:rFonts w:cs="Arial"/>
                <w:szCs w:val="19"/>
              </w:rPr>
              <w:t xml:space="preserve"> (</w:t>
            </w:r>
            <w:r>
              <w:rPr>
                <w:rFonts w:cs="Arial"/>
                <w:i/>
                <w:iCs/>
                <w:szCs w:val="19"/>
              </w:rPr>
              <w:t>Truqap</w:t>
            </w:r>
            <w:r>
              <w:rPr>
                <w:rFonts w:cs="Arial"/>
                <w:szCs w:val="19"/>
              </w:rPr>
              <w:t>)</w:t>
            </w:r>
          </w:p>
        </w:tc>
        <w:tc>
          <w:tcPr>
            <w:tcW w:w="3842" w:type="pct"/>
            <w:gridSpan w:val="2"/>
            <w:shd w:val="clear" w:color="auto" w:fill="auto"/>
            <w:tcMar>
              <w:top w:w="57" w:type="dxa"/>
              <w:bottom w:w="57" w:type="dxa"/>
            </w:tcMar>
          </w:tcPr>
          <w:p w14:paraId="2E6B7342" w14:textId="77777777" w:rsidR="000B2FBD" w:rsidRPr="00932E60" w:rsidRDefault="000B2FBD" w:rsidP="009F0C3A">
            <w:pPr>
              <w:tabs>
                <w:tab w:val="center" w:pos="3152"/>
              </w:tabs>
              <w:rPr>
                <w:rFonts w:cs="Arial"/>
                <w:szCs w:val="19"/>
                <w:lang w:val="en-US"/>
              </w:rPr>
            </w:pPr>
            <w:r w:rsidRPr="003B2687">
              <w:rPr>
                <w:rFonts w:cs="Arial"/>
                <w:szCs w:val="19"/>
                <w:lang w:val="en-US"/>
              </w:rPr>
              <w:t>Advanced, triple negative</w:t>
            </w:r>
            <w:r>
              <w:rPr>
                <w:rFonts w:cs="Arial"/>
                <w:szCs w:val="19"/>
                <w:lang w:val="en-US"/>
              </w:rPr>
              <w:t xml:space="preserve"> breast cancer</w:t>
            </w:r>
            <w:r w:rsidRPr="003B2687">
              <w:rPr>
                <w:rFonts w:cs="Arial"/>
                <w:szCs w:val="19"/>
                <w:lang w:val="en-US"/>
              </w:rPr>
              <w:t xml:space="preserve"> in adults</w:t>
            </w:r>
            <w:r>
              <w:rPr>
                <w:rFonts w:cs="Arial"/>
                <w:szCs w:val="19"/>
                <w:lang w:val="en-US"/>
              </w:rPr>
              <w:t>,</w:t>
            </w:r>
            <w:r w:rsidRPr="003B2687">
              <w:rPr>
                <w:rFonts w:cs="Arial"/>
                <w:szCs w:val="19"/>
                <w:lang w:val="en-US"/>
              </w:rPr>
              <w:t xml:space="preserve"> first-line with paclitaxel</w:t>
            </w:r>
            <w:r>
              <w:rPr>
                <w:rFonts w:cs="Arial"/>
                <w:szCs w:val="19"/>
                <w:lang w:val="en-US"/>
              </w:rPr>
              <w:t xml:space="preserve"> – development discontinued (lack of efficacy)</w:t>
            </w:r>
          </w:p>
        </w:tc>
      </w:tr>
      <w:tr w:rsidR="000B2FBD" w14:paraId="3A9D18FE" w14:textId="77777777" w:rsidTr="009F0C3A">
        <w:tc>
          <w:tcPr>
            <w:tcW w:w="1158" w:type="pct"/>
            <w:shd w:val="clear" w:color="auto" w:fill="auto"/>
            <w:tcMar>
              <w:top w:w="57" w:type="dxa"/>
              <w:bottom w:w="57" w:type="dxa"/>
            </w:tcMar>
          </w:tcPr>
          <w:p w14:paraId="659E9926" w14:textId="77777777" w:rsidR="000B2FBD" w:rsidRPr="00EF0A7A" w:rsidRDefault="000B2FBD" w:rsidP="009F0C3A">
            <w:pPr>
              <w:rPr>
                <w:rFonts w:cs="Arial"/>
                <w:szCs w:val="19"/>
              </w:rPr>
            </w:pPr>
            <w:proofErr w:type="spellStart"/>
            <w:r w:rsidRPr="00EF0A7A">
              <w:rPr>
                <w:rFonts w:cs="Arial"/>
                <w:szCs w:val="19"/>
              </w:rPr>
              <w:t>Darvadstrocel</w:t>
            </w:r>
            <w:proofErr w:type="spellEnd"/>
            <w:r>
              <w:rPr>
                <w:rFonts w:cs="Arial"/>
                <w:szCs w:val="19"/>
              </w:rPr>
              <w:t xml:space="preserve"> (</w:t>
            </w:r>
            <w:proofErr w:type="spellStart"/>
            <w:r>
              <w:rPr>
                <w:rFonts w:cs="Arial"/>
                <w:i/>
                <w:iCs/>
                <w:szCs w:val="19"/>
              </w:rPr>
              <w:t>Alofisel</w:t>
            </w:r>
            <w:proofErr w:type="spellEnd"/>
            <w:r>
              <w:rPr>
                <w:rFonts w:cs="Arial"/>
                <w:szCs w:val="19"/>
              </w:rPr>
              <w:t>)</w:t>
            </w:r>
          </w:p>
        </w:tc>
        <w:tc>
          <w:tcPr>
            <w:tcW w:w="3842" w:type="pct"/>
            <w:gridSpan w:val="2"/>
            <w:shd w:val="clear" w:color="auto" w:fill="auto"/>
            <w:tcMar>
              <w:top w:w="57" w:type="dxa"/>
              <w:bottom w:w="57" w:type="dxa"/>
            </w:tcMar>
          </w:tcPr>
          <w:p w14:paraId="10662B70" w14:textId="77777777" w:rsidR="000B2FBD" w:rsidRPr="00C05FAF" w:rsidRDefault="000B2FBD" w:rsidP="009F0C3A">
            <w:pPr>
              <w:tabs>
                <w:tab w:val="center" w:pos="3152"/>
              </w:tabs>
              <w:rPr>
                <w:rFonts w:cs="Arial"/>
                <w:szCs w:val="19"/>
                <w:lang w:val="en-US"/>
              </w:rPr>
            </w:pPr>
            <w:r w:rsidRPr="00932E60">
              <w:rPr>
                <w:rFonts w:cs="Arial"/>
                <w:szCs w:val="19"/>
                <w:lang w:val="en-US"/>
              </w:rPr>
              <w:t>Treatment of complex perianal fistulas in adults with nonactive/mildly active luminal Crohn’s disease, when fistulas have shown an inadequate response to at least one conventional or biologic therapy</w:t>
            </w:r>
            <w:r>
              <w:rPr>
                <w:rFonts w:cs="Arial"/>
                <w:szCs w:val="19"/>
                <w:lang w:val="en-US"/>
              </w:rPr>
              <w:t xml:space="preserve"> – withdrawn from EU market</w:t>
            </w:r>
          </w:p>
        </w:tc>
      </w:tr>
      <w:tr w:rsidR="00811EB2" w14:paraId="19E5101E" w14:textId="77777777" w:rsidTr="009F0C3A">
        <w:tc>
          <w:tcPr>
            <w:tcW w:w="1158" w:type="pct"/>
            <w:shd w:val="clear" w:color="auto" w:fill="auto"/>
            <w:tcMar>
              <w:top w:w="57" w:type="dxa"/>
              <w:bottom w:w="57" w:type="dxa"/>
            </w:tcMar>
          </w:tcPr>
          <w:p w14:paraId="227495C8" w14:textId="5B2F01D7" w:rsidR="00811EB2" w:rsidRPr="00803E46" w:rsidRDefault="00811EB2" w:rsidP="00811EB2">
            <w:pPr>
              <w:rPr>
                <w:rFonts w:cs="Arial"/>
                <w:szCs w:val="19"/>
              </w:rPr>
            </w:pPr>
            <w:r>
              <w:rPr>
                <w:rFonts w:cs="Arial"/>
                <w:szCs w:val="19"/>
              </w:rPr>
              <w:t>Dexamethasone (</w:t>
            </w:r>
            <w:proofErr w:type="spellStart"/>
            <w:r>
              <w:rPr>
                <w:rFonts w:cs="Arial"/>
                <w:i/>
                <w:iCs/>
                <w:szCs w:val="19"/>
              </w:rPr>
              <w:t>DexaSite</w:t>
            </w:r>
            <w:proofErr w:type="spellEnd"/>
            <w:r>
              <w:rPr>
                <w:rFonts w:cs="Arial"/>
                <w:szCs w:val="19"/>
              </w:rPr>
              <w:t>)</w:t>
            </w:r>
          </w:p>
        </w:tc>
        <w:tc>
          <w:tcPr>
            <w:tcW w:w="3842" w:type="pct"/>
            <w:gridSpan w:val="2"/>
            <w:shd w:val="clear" w:color="auto" w:fill="auto"/>
            <w:tcMar>
              <w:top w:w="57" w:type="dxa"/>
              <w:bottom w:w="57" w:type="dxa"/>
            </w:tcMar>
          </w:tcPr>
          <w:p w14:paraId="35668606" w14:textId="77777777" w:rsidR="00811EB2" w:rsidRDefault="00811EB2" w:rsidP="00811EB2">
            <w:pPr>
              <w:tabs>
                <w:tab w:val="center" w:pos="3152"/>
              </w:tabs>
              <w:rPr>
                <w:rFonts w:cs="Arial"/>
                <w:szCs w:val="19"/>
                <w:lang w:val="en-US"/>
              </w:rPr>
            </w:pPr>
            <w:r w:rsidRPr="000B2577">
              <w:rPr>
                <w:rFonts w:cs="Arial"/>
                <w:szCs w:val="19"/>
                <w:lang w:val="en-US"/>
              </w:rPr>
              <w:t xml:space="preserve">Ocular inflammation and pain </w:t>
            </w:r>
            <w:r w:rsidRPr="000B2577">
              <w:rPr>
                <w:rFonts w:cs="Arial"/>
                <w:szCs w:val="19"/>
                <w:lang w:val="en-US"/>
              </w:rPr>
              <w:tab/>
              <w:t xml:space="preserve">post cataract surgery </w:t>
            </w:r>
            <w:r>
              <w:rPr>
                <w:rFonts w:cs="Arial"/>
                <w:szCs w:val="19"/>
                <w:lang w:val="en-US"/>
              </w:rPr>
              <w:t>–</w:t>
            </w:r>
            <w:r w:rsidRPr="000B2577">
              <w:rPr>
                <w:rFonts w:cs="Arial"/>
                <w:szCs w:val="19"/>
                <w:lang w:val="en-US"/>
              </w:rPr>
              <w:t xml:space="preserve"> </w:t>
            </w:r>
            <w:r>
              <w:rPr>
                <w:rFonts w:cs="Arial"/>
                <w:szCs w:val="19"/>
                <w:lang w:val="en-US"/>
              </w:rPr>
              <w:t xml:space="preserve">development </w:t>
            </w:r>
            <w:proofErr w:type="gramStart"/>
            <w:r>
              <w:rPr>
                <w:rFonts w:cs="Arial"/>
                <w:szCs w:val="19"/>
                <w:lang w:val="en-US"/>
              </w:rPr>
              <w:t>discontinued</w:t>
            </w:r>
            <w:proofErr w:type="gramEnd"/>
            <w:r>
              <w:rPr>
                <w:rFonts w:cs="Arial"/>
                <w:szCs w:val="19"/>
                <w:lang w:val="en-US"/>
              </w:rPr>
              <w:t xml:space="preserve"> </w:t>
            </w:r>
          </w:p>
          <w:p w14:paraId="6DA2CED1" w14:textId="393063C1" w:rsidR="00811EB2" w:rsidRPr="001524B9" w:rsidRDefault="00811EB2" w:rsidP="00811EB2">
            <w:pPr>
              <w:tabs>
                <w:tab w:val="center" w:pos="3152"/>
              </w:tabs>
              <w:rPr>
                <w:rFonts w:cs="Arial"/>
                <w:szCs w:val="19"/>
                <w:lang w:val="en-US"/>
              </w:rPr>
            </w:pPr>
            <w:r>
              <w:rPr>
                <w:rFonts w:cs="Arial"/>
                <w:szCs w:val="19"/>
                <w:lang w:val="en-US"/>
              </w:rPr>
              <w:t>(company decision)</w:t>
            </w:r>
          </w:p>
        </w:tc>
      </w:tr>
      <w:tr w:rsidR="00811EB2" w14:paraId="34707D8B" w14:textId="77777777" w:rsidTr="009F0C3A">
        <w:tc>
          <w:tcPr>
            <w:tcW w:w="1158" w:type="pct"/>
            <w:shd w:val="clear" w:color="auto" w:fill="auto"/>
            <w:tcMar>
              <w:top w:w="57" w:type="dxa"/>
              <w:bottom w:w="57" w:type="dxa"/>
            </w:tcMar>
          </w:tcPr>
          <w:p w14:paraId="37D48FAE" w14:textId="77777777" w:rsidR="00811EB2" w:rsidRPr="00803E46" w:rsidRDefault="00811EB2" w:rsidP="00811EB2">
            <w:pPr>
              <w:rPr>
                <w:rFonts w:cs="Arial"/>
                <w:szCs w:val="19"/>
              </w:rPr>
            </w:pPr>
            <w:r w:rsidRPr="00803E46">
              <w:rPr>
                <w:rFonts w:cs="Arial"/>
                <w:szCs w:val="19"/>
              </w:rPr>
              <w:t>Dexmedetomidine</w:t>
            </w:r>
            <w:r>
              <w:rPr>
                <w:rFonts w:cs="Arial"/>
                <w:szCs w:val="19"/>
              </w:rPr>
              <w:t xml:space="preserve"> (</w:t>
            </w:r>
            <w:proofErr w:type="spellStart"/>
            <w:r>
              <w:rPr>
                <w:rFonts w:cs="Arial"/>
                <w:i/>
                <w:iCs/>
                <w:szCs w:val="19"/>
              </w:rPr>
              <w:t>Igalmi</w:t>
            </w:r>
            <w:proofErr w:type="spellEnd"/>
            <w:r>
              <w:rPr>
                <w:rFonts w:cs="Arial"/>
                <w:szCs w:val="19"/>
              </w:rPr>
              <w:t>)</w:t>
            </w:r>
          </w:p>
        </w:tc>
        <w:tc>
          <w:tcPr>
            <w:tcW w:w="3842" w:type="pct"/>
            <w:gridSpan w:val="2"/>
            <w:shd w:val="clear" w:color="auto" w:fill="auto"/>
            <w:tcMar>
              <w:top w:w="57" w:type="dxa"/>
              <w:bottom w:w="57" w:type="dxa"/>
            </w:tcMar>
          </w:tcPr>
          <w:p w14:paraId="7098E405" w14:textId="77777777" w:rsidR="00811EB2" w:rsidRDefault="00811EB2" w:rsidP="00811EB2">
            <w:pPr>
              <w:tabs>
                <w:tab w:val="center" w:pos="3152"/>
              </w:tabs>
              <w:rPr>
                <w:rFonts w:cs="Arial"/>
                <w:szCs w:val="19"/>
                <w:lang w:val="en-US"/>
              </w:rPr>
            </w:pPr>
            <w:r w:rsidRPr="001524B9">
              <w:rPr>
                <w:rFonts w:cs="Arial"/>
                <w:szCs w:val="19"/>
                <w:lang w:val="en-US"/>
              </w:rPr>
              <w:t>Bipolar disorder</w:t>
            </w:r>
            <w:r>
              <w:rPr>
                <w:rFonts w:cs="Arial"/>
                <w:szCs w:val="19"/>
                <w:lang w:val="en-US"/>
              </w:rPr>
              <w:t>-</w:t>
            </w:r>
            <w:r w:rsidRPr="001524B9">
              <w:rPr>
                <w:rFonts w:cs="Arial"/>
                <w:szCs w:val="19"/>
                <w:lang w:val="en-US"/>
              </w:rPr>
              <w:t>associated agitation in adults</w:t>
            </w:r>
            <w:r>
              <w:rPr>
                <w:rFonts w:cs="Arial"/>
                <w:szCs w:val="19"/>
                <w:lang w:val="en-US"/>
              </w:rPr>
              <w:t xml:space="preserve"> – UK development discontinued </w:t>
            </w:r>
          </w:p>
        </w:tc>
      </w:tr>
      <w:tr w:rsidR="00811EB2" w14:paraId="1CFB74C3" w14:textId="77777777" w:rsidTr="009F0C3A">
        <w:tc>
          <w:tcPr>
            <w:tcW w:w="1158" w:type="pct"/>
            <w:shd w:val="clear" w:color="auto" w:fill="auto"/>
            <w:tcMar>
              <w:top w:w="57" w:type="dxa"/>
              <w:bottom w:w="57" w:type="dxa"/>
            </w:tcMar>
          </w:tcPr>
          <w:p w14:paraId="5A8CFC5C" w14:textId="77777777" w:rsidR="00811EB2" w:rsidRPr="00C84325" w:rsidRDefault="00811EB2" w:rsidP="00811EB2">
            <w:pPr>
              <w:rPr>
                <w:rFonts w:cs="Arial"/>
                <w:szCs w:val="19"/>
              </w:rPr>
            </w:pPr>
            <w:r w:rsidRPr="00803E46">
              <w:rPr>
                <w:rFonts w:cs="Arial"/>
                <w:szCs w:val="19"/>
              </w:rPr>
              <w:t>Dexmedetomidine</w:t>
            </w:r>
            <w:r>
              <w:rPr>
                <w:rFonts w:cs="Arial"/>
                <w:szCs w:val="19"/>
              </w:rPr>
              <w:t xml:space="preserve"> (</w:t>
            </w:r>
            <w:proofErr w:type="spellStart"/>
            <w:r>
              <w:rPr>
                <w:rFonts w:cs="Arial"/>
                <w:i/>
                <w:iCs/>
                <w:szCs w:val="19"/>
              </w:rPr>
              <w:t>Igalmi</w:t>
            </w:r>
            <w:proofErr w:type="spellEnd"/>
            <w:r>
              <w:rPr>
                <w:rFonts w:cs="Arial"/>
                <w:szCs w:val="19"/>
              </w:rPr>
              <w:t>)</w:t>
            </w:r>
          </w:p>
        </w:tc>
        <w:tc>
          <w:tcPr>
            <w:tcW w:w="3842" w:type="pct"/>
            <w:gridSpan w:val="2"/>
            <w:shd w:val="clear" w:color="auto" w:fill="auto"/>
            <w:tcMar>
              <w:top w:w="57" w:type="dxa"/>
              <w:bottom w:w="57" w:type="dxa"/>
            </w:tcMar>
          </w:tcPr>
          <w:p w14:paraId="6DBA3E78" w14:textId="77777777" w:rsidR="00811EB2" w:rsidRDefault="00811EB2" w:rsidP="00811EB2">
            <w:pPr>
              <w:tabs>
                <w:tab w:val="center" w:pos="3152"/>
              </w:tabs>
              <w:rPr>
                <w:rFonts w:cs="Arial"/>
                <w:szCs w:val="19"/>
                <w:lang w:val="en-US"/>
              </w:rPr>
            </w:pPr>
            <w:r>
              <w:rPr>
                <w:rFonts w:cs="Arial"/>
                <w:szCs w:val="19"/>
                <w:lang w:val="en-US"/>
              </w:rPr>
              <w:t>Schizophrenia-</w:t>
            </w:r>
            <w:r w:rsidRPr="001524B9">
              <w:rPr>
                <w:rFonts w:cs="Arial"/>
                <w:szCs w:val="19"/>
                <w:lang w:val="en-US"/>
              </w:rPr>
              <w:t>associated agitation in adults</w:t>
            </w:r>
            <w:r>
              <w:rPr>
                <w:rFonts w:cs="Arial"/>
                <w:szCs w:val="19"/>
                <w:lang w:val="en-US"/>
              </w:rPr>
              <w:t xml:space="preserve"> – UK development discontinued </w:t>
            </w:r>
          </w:p>
        </w:tc>
      </w:tr>
      <w:tr w:rsidR="00811EB2" w14:paraId="200A0B32" w14:textId="77777777" w:rsidTr="009F0C3A">
        <w:tc>
          <w:tcPr>
            <w:tcW w:w="1158" w:type="pct"/>
            <w:shd w:val="clear" w:color="auto" w:fill="auto"/>
            <w:tcMar>
              <w:top w:w="57" w:type="dxa"/>
              <w:bottom w:w="57" w:type="dxa"/>
            </w:tcMar>
          </w:tcPr>
          <w:p w14:paraId="75BB175B" w14:textId="77777777" w:rsidR="00811EB2" w:rsidRPr="00A444F7" w:rsidRDefault="00811EB2" w:rsidP="00811EB2">
            <w:pPr>
              <w:rPr>
                <w:rFonts w:cs="Arial"/>
                <w:szCs w:val="19"/>
              </w:rPr>
            </w:pPr>
            <w:proofErr w:type="spellStart"/>
            <w:r w:rsidRPr="00C84325">
              <w:rPr>
                <w:rFonts w:cs="Arial"/>
                <w:szCs w:val="19"/>
              </w:rPr>
              <w:t>Dirloctocogene</w:t>
            </w:r>
            <w:proofErr w:type="spellEnd"/>
            <w:r w:rsidRPr="00C84325">
              <w:rPr>
                <w:rFonts w:cs="Arial"/>
                <w:szCs w:val="19"/>
              </w:rPr>
              <w:t xml:space="preserve"> </w:t>
            </w:r>
            <w:proofErr w:type="spellStart"/>
            <w:r w:rsidRPr="00C84325">
              <w:rPr>
                <w:rFonts w:cs="Arial"/>
                <w:szCs w:val="19"/>
              </w:rPr>
              <w:t>samoparvovec</w:t>
            </w:r>
            <w:proofErr w:type="spellEnd"/>
          </w:p>
        </w:tc>
        <w:tc>
          <w:tcPr>
            <w:tcW w:w="3842" w:type="pct"/>
            <w:gridSpan w:val="2"/>
            <w:shd w:val="clear" w:color="auto" w:fill="auto"/>
            <w:tcMar>
              <w:top w:w="57" w:type="dxa"/>
              <w:bottom w:w="57" w:type="dxa"/>
            </w:tcMar>
          </w:tcPr>
          <w:p w14:paraId="2D7013C4" w14:textId="77777777" w:rsidR="00811EB2" w:rsidRDefault="00811EB2" w:rsidP="00811EB2">
            <w:pPr>
              <w:tabs>
                <w:tab w:val="center" w:pos="3152"/>
              </w:tabs>
              <w:rPr>
                <w:rFonts w:cs="Arial"/>
                <w:szCs w:val="19"/>
                <w:lang w:val="en-US"/>
              </w:rPr>
            </w:pPr>
            <w:r>
              <w:rPr>
                <w:rFonts w:cs="Arial"/>
                <w:szCs w:val="19"/>
                <w:lang w:val="en-US"/>
              </w:rPr>
              <w:t>S</w:t>
            </w:r>
            <w:r w:rsidRPr="00586EA1">
              <w:rPr>
                <w:rFonts w:cs="Arial"/>
                <w:szCs w:val="19"/>
                <w:lang w:val="en-US"/>
              </w:rPr>
              <w:t>evere or moderately-severe</w:t>
            </w:r>
            <w:r>
              <w:rPr>
                <w:rFonts w:cs="Arial"/>
                <w:szCs w:val="19"/>
                <w:lang w:val="en-US"/>
              </w:rPr>
              <w:t xml:space="preserve"> </w:t>
            </w:r>
            <w:proofErr w:type="spellStart"/>
            <w:r>
              <w:rPr>
                <w:rFonts w:cs="Arial"/>
                <w:szCs w:val="19"/>
                <w:lang w:val="en-US"/>
              </w:rPr>
              <w:t>h</w:t>
            </w:r>
            <w:r w:rsidRPr="00586EA1">
              <w:rPr>
                <w:rFonts w:cs="Arial"/>
                <w:szCs w:val="19"/>
                <w:lang w:val="en-US"/>
              </w:rPr>
              <w:t>aemophilia</w:t>
            </w:r>
            <w:proofErr w:type="spellEnd"/>
            <w:r w:rsidRPr="00586EA1">
              <w:rPr>
                <w:rFonts w:cs="Arial"/>
                <w:szCs w:val="19"/>
                <w:lang w:val="en-US"/>
              </w:rPr>
              <w:t xml:space="preserve"> A in adults</w:t>
            </w:r>
            <w:r>
              <w:rPr>
                <w:rFonts w:cs="Arial"/>
                <w:szCs w:val="19"/>
                <w:lang w:val="en-US"/>
              </w:rPr>
              <w:t xml:space="preserve"> – development </w:t>
            </w:r>
            <w:proofErr w:type="gramStart"/>
            <w:r>
              <w:rPr>
                <w:rFonts w:cs="Arial"/>
                <w:szCs w:val="19"/>
                <w:lang w:val="en-US"/>
              </w:rPr>
              <w:t>discontinued</w:t>
            </w:r>
            <w:proofErr w:type="gramEnd"/>
            <w:r>
              <w:rPr>
                <w:rFonts w:cs="Arial"/>
                <w:szCs w:val="19"/>
                <w:lang w:val="en-US"/>
              </w:rPr>
              <w:t xml:space="preserve"> </w:t>
            </w:r>
          </w:p>
          <w:p w14:paraId="257BF8F1" w14:textId="608D728A" w:rsidR="00811EB2" w:rsidRPr="00656CB2" w:rsidRDefault="00811EB2" w:rsidP="00811EB2">
            <w:pPr>
              <w:tabs>
                <w:tab w:val="center" w:pos="3152"/>
              </w:tabs>
              <w:rPr>
                <w:rFonts w:cs="Arial"/>
                <w:szCs w:val="19"/>
                <w:lang w:val="en-US"/>
              </w:rPr>
            </w:pPr>
            <w:r>
              <w:rPr>
                <w:rFonts w:cs="Arial"/>
                <w:szCs w:val="19"/>
                <w:lang w:val="en-US"/>
              </w:rPr>
              <w:t>(company decision)</w:t>
            </w:r>
          </w:p>
        </w:tc>
      </w:tr>
      <w:tr w:rsidR="00811EB2" w14:paraId="4E5BE2F5" w14:textId="77777777" w:rsidTr="009F0C3A">
        <w:tc>
          <w:tcPr>
            <w:tcW w:w="1158" w:type="pct"/>
            <w:shd w:val="clear" w:color="auto" w:fill="auto"/>
            <w:tcMar>
              <w:top w:w="57" w:type="dxa"/>
              <w:bottom w:w="57" w:type="dxa"/>
            </w:tcMar>
          </w:tcPr>
          <w:p w14:paraId="600CFEAC" w14:textId="75E5BED9" w:rsidR="00811EB2" w:rsidRPr="00CF0396" w:rsidRDefault="00811EB2" w:rsidP="00811EB2">
            <w:pPr>
              <w:rPr>
                <w:rFonts w:cs="Arial"/>
                <w:szCs w:val="19"/>
              </w:rPr>
            </w:pPr>
            <w:r>
              <w:rPr>
                <w:rFonts w:cs="Arial"/>
                <w:szCs w:val="19"/>
              </w:rPr>
              <w:t>Eculizumab (</w:t>
            </w:r>
            <w:r>
              <w:rPr>
                <w:rFonts w:cs="Arial"/>
                <w:i/>
                <w:iCs/>
                <w:szCs w:val="19"/>
              </w:rPr>
              <w:t>Soliris</w:t>
            </w:r>
            <w:r>
              <w:rPr>
                <w:rFonts w:cs="Arial"/>
                <w:szCs w:val="19"/>
              </w:rPr>
              <w:t>)</w:t>
            </w:r>
          </w:p>
        </w:tc>
        <w:tc>
          <w:tcPr>
            <w:tcW w:w="3842" w:type="pct"/>
            <w:gridSpan w:val="2"/>
            <w:shd w:val="clear" w:color="auto" w:fill="auto"/>
            <w:tcMar>
              <w:top w:w="57" w:type="dxa"/>
              <w:bottom w:w="57" w:type="dxa"/>
            </w:tcMar>
          </w:tcPr>
          <w:p w14:paraId="3BBCA03C" w14:textId="09D78831" w:rsidR="00811EB2" w:rsidRPr="00CC20A6" w:rsidRDefault="00811EB2" w:rsidP="00811EB2">
            <w:pPr>
              <w:tabs>
                <w:tab w:val="center" w:pos="3152"/>
              </w:tabs>
              <w:rPr>
                <w:rFonts w:cs="Arial"/>
                <w:szCs w:val="19"/>
                <w:lang w:val="en-US"/>
              </w:rPr>
            </w:pPr>
            <w:r>
              <w:rPr>
                <w:rFonts w:cs="Arial"/>
                <w:szCs w:val="19"/>
                <w:lang w:val="en-US"/>
              </w:rPr>
              <w:t>Relapsing n</w:t>
            </w:r>
            <w:r w:rsidRPr="00107B0A">
              <w:rPr>
                <w:rFonts w:cs="Arial"/>
                <w:szCs w:val="19"/>
                <w:lang w:val="en-US"/>
              </w:rPr>
              <w:t>euromyelitis optica spectrum disorder, anti-aquaporin-4</w:t>
            </w:r>
            <w:r>
              <w:rPr>
                <w:rFonts w:cs="Arial"/>
                <w:szCs w:val="19"/>
                <w:lang w:val="en-US"/>
              </w:rPr>
              <w:t xml:space="preserve"> </w:t>
            </w:r>
            <w:r w:rsidRPr="00107B0A">
              <w:rPr>
                <w:rFonts w:cs="Arial"/>
                <w:szCs w:val="19"/>
                <w:lang w:val="en-US"/>
              </w:rPr>
              <w:t>antibody-positive, in children aged 2 to 17 years</w:t>
            </w:r>
            <w:r>
              <w:rPr>
                <w:rFonts w:cs="Arial"/>
                <w:szCs w:val="19"/>
                <w:lang w:val="en-US"/>
              </w:rPr>
              <w:t xml:space="preserve"> – development discontinued (company decision)</w:t>
            </w:r>
          </w:p>
        </w:tc>
      </w:tr>
      <w:tr w:rsidR="00811EB2" w14:paraId="6882F1D1" w14:textId="77777777" w:rsidTr="009F0C3A">
        <w:tc>
          <w:tcPr>
            <w:tcW w:w="1158" w:type="pct"/>
            <w:shd w:val="clear" w:color="auto" w:fill="auto"/>
            <w:tcMar>
              <w:top w:w="57" w:type="dxa"/>
              <w:bottom w:w="57" w:type="dxa"/>
            </w:tcMar>
          </w:tcPr>
          <w:p w14:paraId="361E9D95" w14:textId="4B594BA9" w:rsidR="00811EB2" w:rsidRPr="007F73FE" w:rsidRDefault="00811EB2" w:rsidP="00811EB2">
            <w:pPr>
              <w:rPr>
                <w:rFonts w:cs="Arial"/>
                <w:szCs w:val="19"/>
              </w:rPr>
            </w:pPr>
            <w:proofErr w:type="spellStart"/>
            <w:r w:rsidRPr="00A444F7">
              <w:rPr>
                <w:rFonts w:cs="Arial"/>
                <w:szCs w:val="19"/>
              </w:rPr>
              <w:t>Enfortumab</w:t>
            </w:r>
            <w:proofErr w:type="spellEnd"/>
            <w:r w:rsidRPr="00A444F7">
              <w:rPr>
                <w:rFonts w:cs="Arial"/>
                <w:szCs w:val="19"/>
              </w:rPr>
              <w:t xml:space="preserve"> </w:t>
            </w:r>
            <w:proofErr w:type="spellStart"/>
            <w:r w:rsidRPr="00A444F7">
              <w:rPr>
                <w:rFonts w:cs="Arial"/>
                <w:szCs w:val="19"/>
              </w:rPr>
              <w:t>vedotin</w:t>
            </w:r>
            <w:proofErr w:type="spellEnd"/>
            <w:r>
              <w:rPr>
                <w:rFonts w:cs="Arial"/>
                <w:szCs w:val="19"/>
              </w:rPr>
              <w:t xml:space="preserve"> (</w:t>
            </w:r>
            <w:proofErr w:type="spellStart"/>
            <w:r>
              <w:rPr>
                <w:rFonts w:cs="Arial"/>
                <w:i/>
                <w:iCs/>
                <w:szCs w:val="19"/>
              </w:rPr>
              <w:t>Padcev</w:t>
            </w:r>
            <w:proofErr w:type="spellEnd"/>
            <w:r>
              <w:rPr>
                <w:rFonts w:cs="Arial"/>
                <w:szCs w:val="19"/>
              </w:rPr>
              <w:t>)</w:t>
            </w:r>
          </w:p>
        </w:tc>
        <w:tc>
          <w:tcPr>
            <w:tcW w:w="3842" w:type="pct"/>
            <w:gridSpan w:val="2"/>
            <w:shd w:val="clear" w:color="auto" w:fill="auto"/>
            <w:tcMar>
              <w:top w:w="57" w:type="dxa"/>
              <w:bottom w:w="57" w:type="dxa"/>
            </w:tcMar>
          </w:tcPr>
          <w:p w14:paraId="4F902908" w14:textId="2D98A5E9" w:rsidR="00811EB2" w:rsidRPr="00CC20A6" w:rsidRDefault="00811EB2" w:rsidP="00811EB2">
            <w:pPr>
              <w:tabs>
                <w:tab w:val="center" w:pos="3152"/>
              </w:tabs>
              <w:rPr>
                <w:rFonts w:cs="Arial"/>
                <w:szCs w:val="19"/>
                <w:lang w:val="en-US"/>
              </w:rPr>
            </w:pPr>
            <w:r w:rsidRPr="00656CB2">
              <w:rPr>
                <w:rFonts w:cs="Arial"/>
                <w:szCs w:val="19"/>
                <w:lang w:val="en-US"/>
              </w:rPr>
              <w:t xml:space="preserve">Use in combination with pembrolizumab for the first-line treatment of adults with unresectable or metastatic urothelial cancer who are </w:t>
            </w:r>
            <w:r>
              <w:rPr>
                <w:rFonts w:cs="Arial"/>
                <w:szCs w:val="19"/>
                <w:lang w:val="en-US"/>
              </w:rPr>
              <w:t xml:space="preserve">not </w:t>
            </w:r>
            <w:r w:rsidRPr="00656CB2">
              <w:rPr>
                <w:rFonts w:cs="Arial"/>
                <w:szCs w:val="19"/>
                <w:lang w:val="en-US"/>
              </w:rPr>
              <w:t>eligible for platinum-containing chemotherapy</w:t>
            </w:r>
            <w:r>
              <w:rPr>
                <w:rFonts w:cs="Arial"/>
                <w:szCs w:val="19"/>
                <w:lang w:val="en-US"/>
              </w:rPr>
              <w:t xml:space="preserve"> – not approved in UK and EU</w:t>
            </w:r>
          </w:p>
        </w:tc>
      </w:tr>
      <w:tr w:rsidR="00811EB2" w14:paraId="65527C89" w14:textId="77777777" w:rsidTr="009F0C3A">
        <w:tc>
          <w:tcPr>
            <w:tcW w:w="1158" w:type="pct"/>
            <w:shd w:val="clear" w:color="auto" w:fill="auto"/>
            <w:tcMar>
              <w:top w:w="57" w:type="dxa"/>
              <w:bottom w:w="57" w:type="dxa"/>
            </w:tcMar>
          </w:tcPr>
          <w:p w14:paraId="0283DDEF" w14:textId="77777777" w:rsidR="00811EB2" w:rsidRPr="003D2915" w:rsidRDefault="00811EB2" w:rsidP="00811EB2">
            <w:pPr>
              <w:rPr>
                <w:rFonts w:cs="Arial"/>
                <w:szCs w:val="19"/>
              </w:rPr>
            </w:pPr>
            <w:r>
              <w:rPr>
                <w:rFonts w:cs="Arial"/>
                <w:szCs w:val="19"/>
              </w:rPr>
              <w:t>EYS606</w:t>
            </w:r>
          </w:p>
        </w:tc>
        <w:tc>
          <w:tcPr>
            <w:tcW w:w="3842" w:type="pct"/>
            <w:gridSpan w:val="2"/>
            <w:shd w:val="clear" w:color="auto" w:fill="auto"/>
            <w:tcMar>
              <w:top w:w="57" w:type="dxa"/>
              <w:bottom w:w="57" w:type="dxa"/>
            </w:tcMar>
          </w:tcPr>
          <w:p w14:paraId="17E5C8BB" w14:textId="77777777" w:rsidR="00811EB2" w:rsidRPr="00C05FAF" w:rsidRDefault="00811EB2" w:rsidP="00811EB2">
            <w:pPr>
              <w:tabs>
                <w:tab w:val="center" w:pos="3152"/>
              </w:tabs>
              <w:rPr>
                <w:rFonts w:cs="Arial"/>
                <w:szCs w:val="19"/>
                <w:lang w:val="en-US"/>
              </w:rPr>
            </w:pPr>
            <w:r w:rsidRPr="00CC20A6">
              <w:rPr>
                <w:rFonts w:cs="Arial"/>
                <w:szCs w:val="19"/>
                <w:lang w:val="en-US"/>
              </w:rPr>
              <w:t>Chronic non-infectious</w:t>
            </w:r>
            <w:r>
              <w:rPr>
                <w:rFonts w:cs="Arial"/>
                <w:szCs w:val="19"/>
                <w:lang w:val="en-US"/>
              </w:rPr>
              <w:t xml:space="preserve"> uveitis</w:t>
            </w:r>
            <w:r w:rsidRPr="00CC20A6">
              <w:rPr>
                <w:rFonts w:cs="Arial"/>
                <w:szCs w:val="19"/>
                <w:lang w:val="en-US"/>
              </w:rPr>
              <w:t xml:space="preserve"> in adults </w:t>
            </w:r>
            <w:r>
              <w:rPr>
                <w:rFonts w:cs="Arial"/>
                <w:szCs w:val="19"/>
                <w:lang w:val="en-US"/>
              </w:rPr>
              <w:t>– development discontinued (company decision)</w:t>
            </w:r>
          </w:p>
        </w:tc>
      </w:tr>
      <w:tr w:rsidR="00811EB2" w14:paraId="4AC8907C" w14:textId="77777777" w:rsidTr="009F0C3A">
        <w:tc>
          <w:tcPr>
            <w:tcW w:w="1158" w:type="pct"/>
            <w:shd w:val="clear" w:color="auto" w:fill="auto"/>
            <w:tcMar>
              <w:top w:w="57" w:type="dxa"/>
              <w:bottom w:w="57" w:type="dxa"/>
            </w:tcMar>
          </w:tcPr>
          <w:p w14:paraId="28807301" w14:textId="77777777" w:rsidR="00811EB2" w:rsidRDefault="00811EB2" w:rsidP="00811EB2">
            <w:pPr>
              <w:rPr>
                <w:rFonts w:cs="Arial"/>
                <w:szCs w:val="19"/>
              </w:rPr>
            </w:pPr>
            <w:proofErr w:type="spellStart"/>
            <w:r w:rsidRPr="006D25B8">
              <w:rPr>
                <w:rFonts w:cs="Arial"/>
                <w:szCs w:val="19"/>
              </w:rPr>
              <w:t>Favezelimab</w:t>
            </w:r>
            <w:proofErr w:type="spellEnd"/>
            <w:r w:rsidRPr="006D25B8">
              <w:rPr>
                <w:rFonts w:cs="Arial"/>
                <w:szCs w:val="19"/>
              </w:rPr>
              <w:t xml:space="preserve"> + pembrolizumab</w:t>
            </w:r>
          </w:p>
        </w:tc>
        <w:tc>
          <w:tcPr>
            <w:tcW w:w="3842" w:type="pct"/>
            <w:gridSpan w:val="2"/>
            <w:shd w:val="clear" w:color="auto" w:fill="auto"/>
            <w:tcMar>
              <w:top w:w="57" w:type="dxa"/>
              <w:bottom w:w="57" w:type="dxa"/>
            </w:tcMar>
          </w:tcPr>
          <w:p w14:paraId="62C8C208" w14:textId="77777777" w:rsidR="00811EB2" w:rsidRDefault="00811EB2" w:rsidP="00811EB2">
            <w:pPr>
              <w:tabs>
                <w:tab w:val="center" w:pos="3152"/>
              </w:tabs>
              <w:rPr>
                <w:rFonts w:cs="Arial"/>
                <w:szCs w:val="19"/>
                <w:lang w:val="en-US"/>
              </w:rPr>
            </w:pPr>
            <w:r w:rsidRPr="00D53477">
              <w:rPr>
                <w:rFonts w:cs="Arial"/>
                <w:szCs w:val="19"/>
                <w:lang w:val="en-US"/>
              </w:rPr>
              <w:t>Metastatic, PD-L1-positive</w:t>
            </w:r>
            <w:r>
              <w:rPr>
                <w:rFonts w:cs="Arial"/>
                <w:szCs w:val="19"/>
                <w:lang w:val="en-US"/>
              </w:rPr>
              <w:t xml:space="preserve"> colorectal cancer</w:t>
            </w:r>
            <w:r w:rsidRPr="00D53477">
              <w:rPr>
                <w:rFonts w:cs="Arial"/>
                <w:szCs w:val="19"/>
                <w:lang w:val="en-US"/>
              </w:rPr>
              <w:t xml:space="preserve"> in previously treated adults</w:t>
            </w:r>
            <w:r>
              <w:rPr>
                <w:rFonts w:cs="Arial"/>
                <w:szCs w:val="19"/>
                <w:lang w:val="en-US"/>
              </w:rPr>
              <w:t xml:space="preserve"> – development discontinued (lack of efficacy)</w:t>
            </w:r>
          </w:p>
        </w:tc>
      </w:tr>
      <w:tr w:rsidR="00811EB2" w14:paraId="258ACFB1" w14:textId="77777777" w:rsidTr="009F0C3A">
        <w:tc>
          <w:tcPr>
            <w:tcW w:w="1158" w:type="pct"/>
            <w:shd w:val="clear" w:color="auto" w:fill="auto"/>
            <w:tcMar>
              <w:top w:w="57" w:type="dxa"/>
              <w:bottom w:w="57" w:type="dxa"/>
            </w:tcMar>
          </w:tcPr>
          <w:p w14:paraId="0B5BCE40" w14:textId="77777777" w:rsidR="00811EB2" w:rsidRPr="006D25B8" w:rsidRDefault="00811EB2" w:rsidP="00811EB2">
            <w:pPr>
              <w:rPr>
                <w:rFonts w:cs="Arial"/>
                <w:szCs w:val="19"/>
              </w:rPr>
            </w:pPr>
            <w:proofErr w:type="spellStart"/>
            <w:r w:rsidRPr="006D25B8">
              <w:rPr>
                <w:rFonts w:cs="Arial"/>
                <w:szCs w:val="19"/>
              </w:rPr>
              <w:t>Favezelimab</w:t>
            </w:r>
            <w:proofErr w:type="spellEnd"/>
            <w:r w:rsidRPr="006D25B8">
              <w:rPr>
                <w:rFonts w:cs="Arial"/>
                <w:szCs w:val="19"/>
              </w:rPr>
              <w:t xml:space="preserve"> + pembrolizumab</w:t>
            </w:r>
          </w:p>
        </w:tc>
        <w:tc>
          <w:tcPr>
            <w:tcW w:w="3842" w:type="pct"/>
            <w:gridSpan w:val="2"/>
            <w:shd w:val="clear" w:color="auto" w:fill="auto"/>
            <w:tcMar>
              <w:top w:w="57" w:type="dxa"/>
              <w:bottom w:w="57" w:type="dxa"/>
            </w:tcMar>
          </w:tcPr>
          <w:p w14:paraId="5C0421A0" w14:textId="77777777" w:rsidR="00811EB2" w:rsidRPr="00D53477" w:rsidRDefault="00811EB2" w:rsidP="00811EB2">
            <w:pPr>
              <w:tabs>
                <w:tab w:val="center" w:pos="3152"/>
              </w:tabs>
              <w:rPr>
                <w:rFonts w:cs="Arial"/>
                <w:szCs w:val="19"/>
                <w:lang w:val="en-US"/>
              </w:rPr>
            </w:pPr>
            <w:r w:rsidRPr="00013783">
              <w:rPr>
                <w:rFonts w:cs="Arial"/>
                <w:szCs w:val="19"/>
                <w:lang w:val="en-US"/>
              </w:rPr>
              <w:t xml:space="preserve">Relapsed or refractory, PD-(L)1-refractory classical </w:t>
            </w:r>
            <w:r>
              <w:rPr>
                <w:rFonts w:cs="Arial"/>
                <w:szCs w:val="19"/>
                <w:lang w:val="en-US"/>
              </w:rPr>
              <w:t>Hodgkin lymphoma</w:t>
            </w:r>
            <w:r w:rsidRPr="00013783">
              <w:rPr>
                <w:rFonts w:cs="Arial"/>
                <w:szCs w:val="19"/>
                <w:lang w:val="en-US"/>
              </w:rPr>
              <w:t xml:space="preserve"> in adults</w:t>
            </w:r>
            <w:r>
              <w:rPr>
                <w:rFonts w:cs="Arial"/>
                <w:szCs w:val="19"/>
                <w:lang w:val="en-US"/>
              </w:rPr>
              <w:t>,</w:t>
            </w:r>
            <w:r w:rsidRPr="00013783">
              <w:rPr>
                <w:rFonts w:cs="Arial"/>
                <w:szCs w:val="19"/>
                <w:lang w:val="en-US"/>
              </w:rPr>
              <w:t xml:space="preserve"> third-line monotherapy</w:t>
            </w:r>
            <w:r>
              <w:rPr>
                <w:rFonts w:cs="Arial"/>
                <w:szCs w:val="19"/>
                <w:lang w:val="en-US"/>
              </w:rPr>
              <w:t xml:space="preserve"> – development discontinued (company decision)</w:t>
            </w:r>
          </w:p>
        </w:tc>
      </w:tr>
      <w:tr w:rsidR="00811EB2" w14:paraId="1CA7F4FB" w14:textId="77777777" w:rsidTr="009F0C3A">
        <w:tc>
          <w:tcPr>
            <w:tcW w:w="1158" w:type="pct"/>
            <w:shd w:val="clear" w:color="auto" w:fill="auto"/>
            <w:tcMar>
              <w:top w:w="57" w:type="dxa"/>
              <w:bottom w:w="57" w:type="dxa"/>
            </w:tcMar>
          </w:tcPr>
          <w:p w14:paraId="594E879A" w14:textId="25D22114" w:rsidR="00811EB2" w:rsidRPr="00EB4730" w:rsidRDefault="00811EB2" w:rsidP="00811EB2">
            <w:pPr>
              <w:rPr>
                <w:rFonts w:cs="Arial"/>
                <w:szCs w:val="19"/>
              </w:rPr>
            </w:pPr>
            <w:proofErr w:type="spellStart"/>
            <w:r>
              <w:rPr>
                <w:rFonts w:cs="Arial"/>
                <w:szCs w:val="19"/>
              </w:rPr>
              <w:t>Ganaxolone</w:t>
            </w:r>
            <w:proofErr w:type="spellEnd"/>
            <w:r>
              <w:rPr>
                <w:rFonts w:cs="Arial"/>
                <w:szCs w:val="19"/>
              </w:rPr>
              <w:t xml:space="preserve"> </w:t>
            </w:r>
          </w:p>
        </w:tc>
        <w:tc>
          <w:tcPr>
            <w:tcW w:w="3842" w:type="pct"/>
            <w:gridSpan w:val="2"/>
            <w:shd w:val="clear" w:color="auto" w:fill="auto"/>
            <w:tcMar>
              <w:top w:w="57" w:type="dxa"/>
              <w:bottom w:w="57" w:type="dxa"/>
            </w:tcMar>
          </w:tcPr>
          <w:p w14:paraId="34B4F1AB" w14:textId="0EB2BC95" w:rsidR="00811EB2" w:rsidRPr="003D62F9" w:rsidRDefault="00811EB2" w:rsidP="00811EB2">
            <w:pPr>
              <w:tabs>
                <w:tab w:val="center" w:pos="3152"/>
              </w:tabs>
              <w:rPr>
                <w:rFonts w:cs="Arial"/>
                <w:szCs w:val="19"/>
                <w:lang w:val="en-US"/>
              </w:rPr>
            </w:pPr>
            <w:r w:rsidRPr="00AB63FC">
              <w:rPr>
                <w:rFonts w:cs="Arial"/>
                <w:szCs w:val="19"/>
                <w:lang w:val="en-US"/>
              </w:rPr>
              <w:t xml:space="preserve">Acute treatment of refractory status epilepticus in adults and children aged </w:t>
            </w:r>
            <w:r>
              <w:rPr>
                <w:rFonts w:cs="Arial"/>
                <w:szCs w:val="19"/>
                <w:lang w:val="en-US"/>
              </w:rPr>
              <w:t>≥</w:t>
            </w:r>
            <w:r w:rsidRPr="00AB63FC">
              <w:rPr>
                <w:rFonts w:cs="Arial"/>
                <w:szCs w:val="19"/>
                <w:lang w:val="en-US"/>
              </w:rPr>
              <w:t>12 years</w:t>
            </w:r>
            <w:r>
              <w:rPr>
                <w:rFonts w:cs="Arial"/>
                <w:szCs w:val="19"/>
                <w:lang w:val="en-US"/>
              </w:rPr>
              <w:t xml:space="preserve"> [</w:t>
            </w:r>
            <w:r w:rsidRPr="00AB63FC">
              <w:rPr>
                <w:rFonts w:cs="Arial"/>
                <w:szCs w:val="19"/>
                <w:lang w:val="en-US"/>
              </w:rPr>
              <w:t>intravenous formulation</w:t>
            </w:r>
            <w:r>
              <w:rPr>
                <w:rFonts w:cs="Arial"/>
                <w:szCs w:val="19"/>
                <w:lang w:val="en-US"/>
              </w:rPr>
              <w:t>] – development discontinued (lack of efficacy)</w:t>
            </w:r>
          </w:p>
        </w:tc>
      </w:tr>
      <w:tr w:rsidR="00811EB2" w14:paraId="581C5DD1" w14:textId="77777777" w:rsidTr="009F0C3A">
        <w:tc>
          <w:tcPr>
            <w:tcW w:w="1158" w:type="pct"/>
            <w:shd w:val="clear" w:color="auto" w:fill="auto"/>
            <w:tcMar>
              <w:top w:w="57" w:type="dxa"/>
              <w:bottom w:w="57" w:type="dxa"/>
            </w:tcMar>
          </w:tcPr>
          <w:p w14:paraId="726DFC13" w14:textId="2A47A1FA" w:rsidR="00811EB2" w:rsidRPr="00EB4730" w:rsidRDefault="00811EB2" w:rsidP="00811EB2">
            <w:pPr>
              <w:rPr>
                <w:rFonts w:cs="Arial"/>
                <w:szCs w:val="19"/>
              </w:rPr>
            </w:pPr>
            <w:r w:rsidRPr="00997227">
              <w:rPr>
                <w:rFonts w:cs="Arial"/>
                <w:szCs w:val="19"/>
              </w:rPr>
              <w:t>Human apolipoprotein A-I</w:t>
            </w:r>
          </w:p>
        </w:tc>
        <w:tc>
          <w:tcPr>
            <w:tcW w:w="3842" w:type="pct"/>
            <w:gridSpan w:val="2"/>
            <w:shd w:val="clear" w:color="auto" w:fill="auto"/>
            <w:tcMar>
              <w:top w:w="57" w:type="dxa"/>
              <w:bottom w:w="57" w:type="dxa"/>
            </w:tcMar>
          </w:tcPr>
          <w:p w14:paraId="006C5C44" w14:textId="191DAC2B" w:rsidR="00811EB2" w:rsidRDefault="00811EB2" w:rsidP="00811EB2">
            <w:pPr>
              <w:tabs>
                <w:tab w:val="center" w:pos="3152"/>
              </w:tabs>
              <w:rPr>
                <w:rFonts w:cs="Arial"/>
                <w:szCs w:val="19"/>
                <w:lang w:val="en-US"/>
              </w:rPr>
            </w:pPr>
            <w:r w:rsidRPr="00676931">
              <w:rPr>
                <w:rFonts w:cs="Arial"/>
                <w:szCs w:val="19"/>
                <w:lang w:val="en-US"/>
              </w:rPr>
              <w:t xml:space="preserve">Acute coronary syndrome </w:t>
            </w:r>
            <w:r>
              <w:rPr>
                <w:rFonts w:cs="Arial"/>
                <w:szCs w:val="19"/>
                <w:lang w:val="en-US"/>
              </w:rPr>
              <w:t xml:space="preserve">in </w:t>
            </w:r>
            <w:r w:rsidRPr="00676931">
              <w:rPr>
                <w:rFonts w:cs="Arial"/>
                <w:szCs w:val="19"/>
                <w:lang w:val="en-US"/>
              </w:rPr>
              <w:t xml:space="preserve">adults with </w:t>
            </w:r>
            <w:r w:rsidRPr="00D23C68">
              <w:rPr>
                <w:rFonts w:cs="Arial"/>
                <w:szCs w:val="19"/>
                <w:lang w:val="en-US"/>
              </w:rPr>
              <w:t>ST-segment elevation myocardial infarction</w:t>
            </w:r>
            <w:r>
              <w:rPr>
                <w:rFonts w:cs="Arial"/>
                <w:szCs w:val="19"/>
                <w:lang w:val="en-US"/>
              </w:rPr>
              <w:t xml:space="preserve"> (MI) </w:t>
            </w:r>
            <w:r w:rsidRPr="00D23C68">
              <w:rPr>
                <w:rFonts w:cs="Arial"/>
                <w:szCs w:val="19"/>
                <w:lang w:val="en-US"/>
              </w:rPr>
              <w:t xml:space="preserve">or non-ST-segment elevation </w:t>
            </w:r>
            <w:r>
              <w:rPr>
                <w:rFonts w:cs="Arial"/>
                <w:szCs w:val="19"/>
                <w:lang w:val="en-US"/>
              </w:rPr>
              <w:t>MI</w:t>
            </w:r>
            <w:r w:rsidRPr="00D23C68">
              <w:rPr>
                <w:rFonts w:cs="Arial"/>
                <w:szCs w:val="19"/>
                <w:lang w:val="en-US"/>
              </w:rPr>
              <w:t xml:space="preserve"> </w:t>
            </w:r>
            <w:r>
              <w:rPr>
                <w:rFonts w:cs="Arial"/>
                <w:szCs w:val="19"/>
                <w:lang w:val="en-US"/>
              </w:rPr>
              <w:t>–</w:t>
            </w:r>
            <w:r w:rsidRPr="00676931">
              <w:rPr>
                <w:rFonts w:cs="Arial"/>
                <w:szCs w:val="19"/>
                <w:lang w:val="en-US"/>
              </w:rPr>
              <w:t xml:space="preserve"> </w:t>
            </w:r>
            <w:r>
              <w:rPr>
                <w:rFonts w:cs="Arial"/>
                <w:szCs w:val="19"/>
                <w:lang w:val="en-US"/>
              </w:rPr>
              <w:t>development discontinued (lack of efficacy)</w:t>
            </w:r>
          </w:p>
        </w:tc>
      </w:tr>
      <w:tr w:rsidR="00811EB2" w14:paraId="45418D9D" w14:textId="77777777" w:rsidTr="009F0C3A">
        <w:tc>
          <w:tcPr>
            <w:tcW w:w="1158" w:type="pct"/>
            <w:shd w:val="clear" w:color="auto" w:fill="auto"/>
            <w:tcMar>
              <w:top w:w="57" w:type="dxa"/>
              <w:bottom w:w="57" w:type="dxa"/>
            </w:tcMar>
          </w:tcPr>
          <w:p w14:paraId="5347EED9" w14:textId="2262B7E1" w:rsidR="00811EB2" w:rsidRPr="009B798F" w:rsidRDefault="00811EB2" w:rsidP="00811EB2">
            <w:pPr>
              <w:rPr>
                <w:rFonts w:cs="Arial"/>
                <w:szCs w:val="19"/>
              </w:rPr>
            </w:pPr>
            <w:r w:rsidRPr="00EB4730">
              <w:rPr>
                <w:rFonts w:cs="Arial"/>
                <w:szCs w:val="19"/>
              </w:rPr>
              <w:t>Ibrutinib</w:t>
            </w:r>
            <w:r>
              <w:rPr>
                <w:rFonts w:cs="Arial"/>
                <w:szCs w:val="19"/>
              </w:rPr>
              <w:t xml:space="preserve"> (</w:t>
            </w:r>
            <w:r>
              <w:rPr>
                <w:rFonts w:cs="Arial"/>
                <w:i/>
                <w:iCs/>
                <w:szCs w:val="19"/>
              </w:rPr>
              <w:t>Imbruvica</w:t>
            </w:r>
            <w:r>
              <w:rPr>
                <w:rFonts w:cs="Arial"/>
                <w:szCs w:val="19"/>
              </w:rPr>
              <w:t>)</w:t>
            </w:r>
          </w:p>
        </w:tc>
        <w:tc>
          <w:tcPr>
            <w:tcW w:w="3842" w:type="pct"/>
            <w:gridSpan w:val="2"/>
            <w:shd w:val="clear" w:color="auto" w:fill="auto"/>
            <w:tcMar>
              <w:top w:w="57" w:type="dxa"/>
              <w:bottom w:w="57" w:type="dxa"/>
            </w:tcMar>
          </w:tcPr>
          <w:p w14:paraId="09A2CA8F" w14:textId="4034E670" w:rsidR="00811EB2" w:rsidRDefault="00811EB2" w:rsidP="00811EB2">
            <w:pPr>
              <w:tabs>
                <w:tab w:val="center" w:pos="3152"/>
              </w:tabs>
              <w:rPr>
                <w:rFonts w:cs="Arial"/>
                <w:szCs w:val="19"/>
                <w:lang w:val="en-US"/>
              </w:rPr>
            </w:pPr>
            <w:r w:rsidRPr="003D62F9">
              <w:rPr>
                <w:rFonts w:cs="Arial"/>
                <w:szCs w:val="19"/>
                <w:lang w:val="en-US"/>
              </w:rPr>
              <w:t>Relapsed or refractory</w:t>
            </w:r>
            <w:r>
              <w:rPr>
                <w:rFonts w:cs="Arial"/>
                <w:szCs w:val="19"/>
                <w:lang w:val="en-US"/>
              </w:rPr>
              <w:t xml:space="preserve"> mantle cell lymphoma</w:t>
            </w:r>
            <w:r w:rsidRPr="003D62F9">
              <w:rPr>
                <w:rFonts w:cs="Arial"/>
                <w:szCs w:val="19"/>
                <w:lang w:val="en-US"/>
              </w:rPr>
              <w:t xml:space="preserve"> in adults</w:t>
            </w:r>
            <w:r>
              <w:rPr>
                <w:rFonts w:cs="Arial"/>
                <w:szCs w:val="19"/>
                <w:lang w:val="en-US"/>
              </w:rPr>
              <w:t>,</w:t>
            </w:r>
            <w:r w:rsidRPr="003D62F9">
              <w:rPr>
                <w:rFonts w:cs="Arial"/>
                <w:szCs w:val="19"/>
                <w:lang w:val="en-US"/>
              </w:rPr>
              <w:t xml:space="preserve"> second-line or greater with venetoclax</w:t>
            </w:r>
            <w:r>
              <w:rPr>
                <w:rFonts w:cs="Arial"/>
                <w:szCs w:val="19"/>
                <w:lang w:val="en-US"/>
              </w:rPr>
              <w:t xml:space="preserve"> – development discontinued (company decision)</w:t>
            </w:r>
          </w:p>
        </w:tc>
      </w:tr>
      <w:tr w:rsidR="00811EB2" w:rsidRPr="000F19E1" w14:paraId="378AEF9D" w14:textId="77777777" w:rsidTr="009F0C3A">
        <w:tc>
          <w:tcPr>
            <w:tcW w:w="1158" w:type="pct"/>
            <w:shd w:val="clear" w:color="auto" w:fill="auto"/>
            <w:tcMar>
              <w:top w:w="0" w:type="dxa"/>
              <w:bottom w:w="0" w:type="dxa"/>
            </w:tcMar>
          </w:tcPr>
          <w:p w14:paraId="12265C1E" w14:textId="77777777" w:rsidR="00811EB2" w:rsidRPr="000F19E1" w:rsidRDefault="00811EB2" w:rsidP="00811EB2">
            <w:pPr>
              <w:rPr>
                <w:rFonts w:cs="Arial"/>
                <w:bCs/>
                <w:sz w:val="8"/>
                <w:szCs w:val="8"/>
              </w:rPr>
            </w:pPr>
          </w:p>
        </w:tc>
        <w:tc>
          <w:tcPr>
            <w:tcW w:w="3842" w:type="pct"/>
            <w:gridSpan w:val="2"/>
            <w:shd w:val="clear" w:color="auto" w:fill="auto"/>
            <w:tcMar>
              <w:top w:w="0" w:type="dxa"/>
              <w:bottom w:w="0" w:type="dxa"/>
            </w:tcMar>
          </w:tcPr>
          <w:p w14:paraId="64A8B740" w14:textId="77777777" w:rsidR="00811EB2" w:rsidRPr="000F19E1" w:rsidRDefault="00811EB2" w:rsidP="00811EB2">
            <w:pPr>
              <w:tabs>
                <w:tab w:val="center" w:pos="3152"/>
              </w:tabs>
              <w:rPr>
                <w:rFonts w:cs="Arial"/>
                <w:sz w:val="8"/>
                <w:szCs w:val="8"/>
                <w:lang w:val="en-US"/>
              </w:rPr>
            </w:pPr>
          </w:p>
        </w:tc>
      </w:tr>
      <w:tr w:rsidR="00811EB2" w:rsidRPr="000F19E1" w14:paraId="3A4D8994" w14:textId="77777777" w:rsidTr="009F0C3A">
        <w:tc>
          <w:tcPr>
            <w:tcW w:w="1355" w:type="pct"/>
            <w:gridSpan w:val="2"/>
            <w:shd w:val="clear" w:color="auto" w:fill="DAEEF3"/>
            <w:tcMar>
              <w:top w:w="0" w:type="dxa"/>
              <w:bottom w:w="0" w:type="dxa"/>
            </w:tcMar>
          </w:tcPr>
          <w:p w14:paraId="681719F2" w14:textId="77777777" w:rsidR="00811EB2" w:rsidRPr="000F19E1" w:rsidRDefault="00811EB2" w:rsidP="00811EB2">
            <w:pPr>
              <w:rPr>
                <w:rFonts w:cs="Arial"/>
                <w:bCs/>
                <w:sz w:val="8"/>
                <w:szCs w:val="8"/>
              </w:rPr>
            </w:pPr>
          </w:p>
        </w:tc>
        <w:tc>
          <w:tcPr>
            <w:tcW w:w="3645" w:type="pct"/>
            <w:shd w:val="clear" w:color="auto" w:fill="DAEEF3"/>
            <w:tcMar>
              <w:top w:w="0" w:type="dxa"/>
              <w:bottom w:w="0" w:type="dxa"/>
            </w:tcMar>
          </w:tcPr>
          <w:p w14:paraId="594B56CB" w14:textId="77777777" w:rsidR="00811EB2" w:rsidRPr="000F19E1" w:rsidRDefault="00811EB2" w:rsidP="00811EB2">
            <w:pPr>
              <w:tabs>
                <w:tab w:val="center" w:pos="3152"/>
              </w:tabs>
              <w:rPr>
                <w:rFonts w:cs="Arial"/>
                <w:sz w:val="8"/>
                <w:szCs w:val="8"/>
                <w:lang w:val="en-US"/>
              </w:rPr>
            </w:pPr>
          </w:p>
        </w:tc>
      </w:tr>
    </w:tbl>
    <w:p w14:paraId="40E236B4" w14:textId="77777777" w:rsidR="000B2FBD" w:rsidRDefault="000B2FBD"/>
    <w:p w14:paraId="21481FDD" w14:textId="70FB25B1" w:rsidR="001826A7" w:rsidRDefault="001826A7">
      <w:r>
        <w:br w:type="page"/>
      </w:r>
    </w:p>
    <w:p w14:paraId="6DE1DF73" w14:textId="77777777" w:rsidR="000B2FBD" w:rsidRDefault="000B2FBD"/>
    <w:tbl>
      <w:tblPr>
        <w:tblW w:w="5170" w:type="pct"/>
        <w:tblInd w:w="-176" w:type="dxa"/>
        <w:tblLayout w:type="fixed"/>
        <w:tblLook w:val="01E0" w:firstRow="1" w:lastRow="1" w:firstColumn="1" w:lastColumn="1" w:noHBand="0" w:noVBand="0"/>
      </w:tblPr>
      <w:tblGrid>
        <w:gridCol w:w="2443"/>
        <w:gridCol w:w="416"/>
        <w:gridCol w:w="7692"/>
      </w:tblGrid>
      <w:tr w:rsidR="0021490D" w:rsidRPr="00862949" w14:paraId="319F2D4A" w14:textId="77777777" w:rsidTr="00D6452A">
        <w:tc>
          <w:tcPr>
            <w:tcW w:w="5000" w:type="pct"/>
            <w:gridSpan w:val="3"/>
            <w:shd w:val="clear" w:color="auto" w:fill="0070C0"/>
            <w:tcMar>
              <w:top w:w="85" w:type="dxa"/>
              <w:bottom w:w="85" w:type="dxa"/>
            </w:tcMar>
            <w:vAlign w:val="bottom"/>
          </w:tcPr>
          <w:p w14:paraId="0E8223AC" w14:textId="77777777" w:rsidR="0021490D" w:rsidRPr="00862949" w:rsidRDefault="0021490D" w:rsidP="00D6452A">
            <w:pPr>
              <w:rPr>
                <w:rFonts w:cs="Arial"/>
                <w:color w:val="FFFFFF"/>
                <w:sz w:val="15"/>
                <w:szCs w:val="15"/>
              </w:rPr>
            </w:pPr>
            <w:r w:rsidRPr="00862949">
              <w:rPr>
                <w:rFonts w:cs="Arial"/>
                <w:b/>
                <w:bCs/>
                <w:iCs/>
                <w:color w:val="FFFFFF"/>
                <w:sz w:val="28"/>
                <w:szCs w:val="28"/>
                <w:lang w:val="en-US"/>
              </w:rPr>
              <w:t xml:space="preserve">Regulatory changes in the </w:t>
            </w:r>
            <w:r>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1C3A55" w:rsidRPr="000F19E1" w14:paraId="6DB00678" w14:textId="77777777" w:rsidTr="009B4A35">
        <w:tc>
          <w:tcPr>
            <w:tcW w:w="1158" w:type="pct"/>
            <w:shd w:val="clear" w:color="auto" w:fill="DAEEF3"/>
            <w:tcMar>
              <w:top w:w="0" w:type="dxa"/>
              <w:bottom w:w="0" w:type="dxa"/>
            </w:tcMar>
          </w:tcPr>
          <w:p w14:paraId="42994560" w14:textId="77777777" w:rsidR="001C3A55" w:rsidRPr="000F19E1" w:rsidRDefault="001C3A55" w:rsidP="00510003">
            <w:pPr>
              <w:rPr>
                <w:rFonts w:cs="Arial"/>
                <w:bCs/>
                <w:sz w:val="8"/>
                <w:szCs w:val="8"/>
              </w:rPr>
            </w:pPr>
          </w:p>
        </w:tc>
        <w:tc>
          <w:tcPr>
            <w:tcW w:w="3842" w:type="pct"/>
            <w:gridSpan w:val="2"/>
            <w:shd w:val="clear" w:color="auto" w:fill="DAEEF3"/>
            <w:tcMar>
              <w:top w:w="0" w:type="dxa"/>
              <w:bottom w:w="0" w:type="dxa"/>
            </w:tcMar>
          </w:tcPr>
          <w:p w14:paraId="0D075762" w14:textId="77777777" w:rsidR="001C3A55" w:rsidRPr="000F19E1" w:rsidRDefault="001C3A55" w:rsidP="00510003">
            <w:pPr>
              <w:tabs>
                <w:tab w:val="center" w:pos="3152"/>
              </w:tabs>
              <w:rPr>
                <w:rFonts w:cs="Arial"/>
                <w:sz w:val="8"/>
                <w:szCs w:val="8"/>
                <w:lang w:val="en-US"/>
              </w:rPr>
            </w:pPr>
          </w:p>
        </w:tc>
      </w:tr>
      <w:tr w:rsidR="005E4779" w:rsidRPr="00126CCD" w14:paraId="4E7F7D88" w14:textId="77777777" w:rsidTr="00155BD9">
        <w:tc>
          <w:tcPr>
            <w:tcW w:w="5000" w:type="pct"/>
            <w:gridSpan w:val="3"/>
            <w:shd w:val="clear" w:color="auto" w:fill="00B050"/>
            <w:tcMar>
              <w:top w:w="57" w:type="dxa"/>
              <w:bottom w:w="57" w:type="dxa"/>
            </w:tcMar>
          </w:tcPr>
          <w:p w14:paraId="3935580B" w14:textId="429CA661" w:rsidR="005E4779" w:rsidRPr="004642B4" w:rsidRDefault="005E4779" w:rsidP="005E4779">
            <w:pPr>
              <w:rPr>
                <w:rFonts w:cs="Arial"/>
                <w:noProof/>
                <w:color w:val="FFFFFF"/>
                <w:sz w:val="16"/>
                <w:szCs w:val="16"/>
              </w:rPr>
            </w:pPr>
            <w:r w:rsidRPr="004642B4">
              <w:rPr>
                <w:rFonts w:cs="Arial"/>
                <w:b/>
                <w:bCs/>
                <w:i/>
                <w:iCs/>
                <w:color w:val="FFFFFF"/>
                <w:sz w:val="22"/>
                <w:szCs w:val="20"/>
                <w:lang w:val="en-US"/>
              </w:rPr>
              <w:t xml:space="preserve">Other </w:t>
            </w:r>
            <w:r>
              <w:rPr>
                <w:rFonts w:cs="Arial"/>
                <w:b/>
                <w:bCs/>
                <w:i/>
                <w:iCs/>
                <w:color w:val="FFFFFF"/>
                <w:sz w:val="22"/>
                <w:szCs w:val="20"/>
                <w:lang w:val="en-US"/>
              </w:rPr>
              <w:t>UK/</w:t>
            </w:r>
            <w:r w:rsidRPr="004642B4">
              <w:rPr>
                <w:rFonts w:cs="Arial"/>
                <w:b/>
                <w:bCs/>
                <w:i/>
                <w:iCs/>
                <w:color w:val="FFFFFF"/>
                <w:sz w:val="22"/>
                <w:szCs w:val="20"/>
                <w:lang w:val="en-US"/>
              </w:rPr>
              <w:t>EU developments</w:t>
            </w:r>
            <w:r w:rsidR="001826A7">
              <w:rPr>
                <w:rFonts w:cs="Arial"/>
                <w:b/>
                <w:bCs/>
                <w:i/>
                <w:iCs/>
                <w:color w:val="FFFFFF"/>
                <w:sz w:val="22"/>
                <w:szCs w:val="20"/>
                <w:lang w:val="en-US"/>
              </w:rPr>
              <w:t xml:space="preserve"> </w:t>
            </w:r>
            <w:r w:rsidR="001826A7" w:rsidRPr="001826A7">
              <w:rPr>
                <w:rFonts w:cs="Arial"/>
                <w:b/>
                <w:bCs/>
                <w:color w:val="FFFFFF"/>
                <w:sz w:val="16"/>
                <w:szCs w:val="14"/>
                <w:lang w:val="en-US"/>
              </w:rPr>
              <w:t>(continued)</w:t>
            </w:r>
          </w:p>
        </w:tc>
      </w:tr>
      <w:tr w:rsidR="00ED65E4" w14:paraId="644FA6EB" w14:textId="77777777" w:rsidTr="009B4A35">
        <w:tc>
          <w:tcPr>
            <w:tcW w:w="1158" w:type="pct"/>
            <w:shd w:val="clear" w:color="auto" w:fill="auto"/>
            <w:tcMar>
              <w:top w:w="57" w:type="dxa"/>
              <w:bottom w:w="57" w:type="dxa"/>
            </w:tcMar>
          </w:tcPr>
          <w:p w14:paraId="78CEE904" w14:textId="3DD73C8A" w:rsidR="00ED65E4" w:rsidRPr="003A71D6" w:rsidRDefault="00ED65E4" w:rsidP="00ED65E4">
            <w:pPr>
              <w:rPr>
                <w:rFonts w:cs="Arial"/>
                <w:szCs w:val="19"/>
              </w:rPr>
            </w:pPr>
            <w:r>
              <w:rPr>
                <w:rFonts w:cs="Arial"/>
                <w:szCs w:val="19"/>
              </w:rPr>
              <w:t>Inolimomab (</w:t>
            </w:r>
            <w:proofErr w:type="spellStart"/>
            <w:r>
              <w:rPr>
                <w:rFonts w:cs="Arial"/>
                <w:i/>
                <w:iCs/>
                <w:szCs w:val="19"/>
              </w:rPr>
              <w:t>Leukotac</w:t>
            </w:r>
            <w:proofErr w:type="spellEnd"/>
            <w:r>
              <w:rPr>
                <w:rFonts w:cs="Arial"/>
                <w:szCs w:val="19"/>
              </w:rPr>
              <w:t>)</w:t>
            </w:r>
          </w:p>
        </w:tc>
        <w:tc>
          <w:tcPr>
            <w:tcW w:w="3842" w:type="pct"/>
            <w:gridSpan w:val="2"/>
            <w:shd w:val="clear" w:color="auto" w:fill="auto"/>
            <w:tcMar>
              <w:top w:w="57" w:type="dxa"/>
              <w:bottom w:w="57" w:type="dxa"/>
            </w:tcMar>
          </w:tcPr>
          <w:p w14:paraId="34CE2AE0" w14:textId="053A5D6B" w:rsidR="00ED65E4" w:rsidRPr="0099655F" w:rsidRDefault="00ED65E4" w:rsidP="00ED65E4">
            <w:pPr>
              <w:tabs>
                <w:tab w:val="center" w:pos="3152"/>
              </w:tabs>
              <w:rPr>
                <w:rFonts w:cs="Arial"/>
                <w:szCs w:val="19"/>
                <w:lang w:val="en-US"/>
              </w:rPr>
            </w:pPr>
            <w:r>
              <w:rPr>
                <w:rFonts w:cs="Arial"/>
                <w:szCs w:val="19"/>
                <w:lang w:val="en-US"/>
              </w:rPr>
              <w:t>S</w:t>
            </w:r>
            <w:r w:rsidRPr="009B798F">
              <w:rPr>
                <w:rFonts w:cs="Arial"/>
                <w:szCs w:val="19"/>
                <w:lang w:val="en-US"/>
              </w:rPr>
              <w:t>evere acute steroid-resistant</w:t>
            </w:r>
            <w:r>
              <w:rPr>
                <w:rFonts w:cs="Arial"/>
                <w:szCs w:val="19"/>
                <w:lang w:val="en-US"/>
              </w:rPr>
              <w:t xml:space="preserve"> g</w:t>
            </w:r>
            <w:r w:rsidRPr="009B798F">
              <w:rPr>
                <w:rFonts w:cs="Arial"/>
                <w:szCs w:val="19"/>
                <w:lang w:val="en-US"/>
              </w:rPr>
              <w:t>raft versus host disease in all ages</w:t>
            </w:r>
            <w:r>
              <w:rPr>
                <w:rFonts w:cs="Arial"/>
                <w:szCs w:val="19"/>
                <w:lang w:val="en-US"/>
              </w:rPr>
              <w:t xml:space="preserve"> – development discontinued (company decision)</w:t>
            </w:r>
          </w:p>
        </w:tc>
      </w:tr>
      <w:tr w:rsidR="00ED65E4" w14:paraId="6EB36DA3" w14:textId="77777777" w:rsidTr="009B4A35">
        <w:tc>
          <w:tcPr>
            <w:tcW w:w="1158" w:type="pct"/>
            <w:shd w:val="clear" w:color="auto" w:fill="auto"/>
            <w:tcMar>
              <w:top w:w="57" w:type="dxa"/>
              <w:bottom w:w="57" w:type="dxa"/>
            </w:tcMar>
          </w:tcPr>
          <w:p w14:paraId="19E6725D" w14:textId="1727FEB7" w:rsidR="00ED65E4" w:rsidRPr="000A244C" w:rsidRDefault="00ED65E4" w:rsidP="00ED65E4">
            <w:pPr>
              <w:rPr>
                <w:rFonts w:cs="Arial"/>
                <w:szCs w:val="19"/>
              </w:rPr>
            </w:pPr>
            <w:proofErr w:type="spellStart"/>
            <w:r w:rsidRPr="003A71D6">
              <w:rPr>
                <w:rFonts w:cs="Arial"/>
                <w:szCs w:val="19"/>
              </w:rPr>
              <w:t>Irsenontrine</w:t>
            </w:r>
            <w:proofErr w:type="spellEnd"/>
            <w:r>
              <w:rPr>
                <w:rFonts w:cs="Arial"/>
                <w:szCs w:val="19"/>
              </w:rPr>
              <w:t xml:space="preserve"> </w:t>
            </w:r>
          </w:p>
        </w:tc>
        <w:tc>
          <w:tcPr>
            <w:tcW w:w="3842" w:type="pct"/>
            <w:gridSpan w:val="2"/>
            <w:shd w:val="clear" w:color="auto" w:fill="auto"/>
            <w:tcMar>
              <w:top w:w="57" w:type="dxa"/>
              <w:bottom w:w="57" w:type="dxa"/>
            </w:tcMar>
          </w:tcPr>
          <w:p w14:paraId="38BE1188" w14:textId="11DA34FC" w:rsidR="00ED65E4" w:rsidRPr="007E1351" w:rsidRDefault="00ED65E4" w:rsidP="00ED65E4">
            <w:pPr>
              <w:tabs>
                <w:tab w:val="center" w:pos="3152"/>
              </w:tabs>
              <w:rPr>
                <w:rFonts w:cs="Arial"/>
                <w:szCs w:val="19"/>
                <w:lang w:val="en-US"/>
              </w:rPr>
            </w:pPr>
            <w:r w:rsidRPr="0099655F">
              <w:rPr>
                <w:rFonts w:cs="Arial"/>
                <w:szCs w:val="19"/>
                <w:lang w:val="en-US"/>
              </w:rPr>
              <w:t xml:space="preserve">Lewy body </w:t>
            </w:r>
            <w:r>
              <w:rPr>
                <w:rFonts w:cs="Arial"/>
                <w:szCs w:val="19"/>
                <w:lang w:val="en-US"/>
              </w:rPr>
              <w:t>dementia</w:t>
            </w:r>
            <w:r w:rsidRPr="0099655F">
              <w:rPr>
                <w:rFonts w:cs="Arial"/>
                <w:szCs w:val="19"/>
                <w:lang w:val="en-US"/>
              </w:rPr>
              <w:t xml:space="preserve"> and Parkinson disease </w:t>
            </w:r>
            <w:r>
              <w:rPr>
                <w:rFonts w:cs="Arial"/>
                <w:szCs w:val="19"/>
                <w:lang w:val="en-US"/>
              </w:rPr>
              <w:t>dementia</w:t>
            </w:r>
            <w:r w:rsidRPr="0099655F">
              <w:rPr>
                <w:rFonts w:cs="Arial"/>
                <w:szCs w:val="19"/>
                <w:lang w:val="en-US"/>
              </w:rPr>
              <w:t xml:space="preserve"> in adults</w:t>
            </w:r>
            <w:r>
              <w:rPr>
                <w:rFonts w:cs="Arial"/>
                <w:szCs w:val="19"/>
                <w:lang w:val="en-US"/>
              </w:rPr>
              <w:t xml:space="preserve"> – development discontinued (company decision)</w:t>
            </w:r>
          </w:p>
        </w:tc>
      </w:tr>
      <w:tr w:rsidR="00ED65E4" w14:paraId="2DDB41E8" w14:textId="77777777" w:rsidTr="009B4A35">
        <w:tc>
          <w:tcPr>
            <w:tcW w:w="1158" w:type="pct"/>
            <w:shd w:val="clear" w:color="auto" w:fill="auto"/>
            <w:tcMar>
              <w:top w:w="57" w:type="dxa"/>
              <w:bottom w:w="57" w:type="dxa"/>
            </w:tcMar>
          </w:tcPr>
          <w:p w14:paraId="03FB25BC" w14:textId="1C317821" w:rsidR="00ED65E4" w:rsidRDefault="00ED65E4" w:rsidP="00ED65E4">
            <w:pPr>
              <w:rPr>
                <w:rFonts w:cs="Arial"/>
                <w:szCs w:val="19"/>
              </w:rPr>
            </w:pPr>
            <w:proofErr w:type="spellStart"/>
            <w:r w:rsidRPr="000A244C">
              <w:rPr>
                <w:rFonts w:cs="Arial"/>
                <w:szCs w:val="19"/>
              </w:rPr>
              <w:t>Licogliflozin</w:t>
            </w:r>
            <w:proofErr w:type="spellEnd"/>
            <w:r w:rsidRPr="000A244C">
              <w:rPr>
                <w:rFonts w:cs="Arial"/>
                <w:szCs w:val="19"/>
              </w:rPr>
              <w:t xml:space="preserve"> + </w:t>
            </w:r>
            <w:proofErr w:type="spellStart"/>
            <w:r w:rsidRPr="000A244C">
              <w:rPr>
                <w:rFonts w:cs="Arial"/>
                <w:szCs w:val="19"/>
              </w:rPr>
              <w:t>tropifexor</w:t>
            </w:r>
            <w:proofErr w:type="spellEnd"/>
          </w:p>
        </w:tc>
        <w:tc>
          <w:tcPr>
            <w:tcW w:w="3842" w:type="pct"/>
            <w:gridSpan w:val="2"/>
            <w:shd w:val="clear" w:color="auto" w:fill="auto"/>
            <w:tcMar>
              <w:top w:w="57" w:type="dxa"/>
              <w:bottom w:w="57" w:type="dxa"/>
            </w:tcMar>
          </w:tcPr>
          <w:p w14:paraId="54E34502" w14:textId="5C7E8A89" w:rsidR="00ED65E4" w:rsidRDefault="00ED65E4" w:rsidP="00ED65E4">
            <w:pPr>
              <w:tabs>
                <w:tab w:val="center" w:pos="3152"/>
              </w:tabs>
              <w:rPr>
                <w:rFonts w:cs="Arial"/>
                <w:szCs w:val="19"/>
                <w:lang w:val="en-US"/>
              </w:rPr>
            </w:pPr>
            <w:r w:rsidRPr="007E1351">
              <w:rPr>
                <w:rFonts w:cs="Arial"/>
                <w:szCs w:val="19"/>
                <w:lang w:val="en-US"/>
              </w:rPr>
              <w:t>Metabolic dysfunction-associated steatohepatitis in adults with fibrosis stage 2 or 3</w:t>
            </w:r>
            <w:r>
              <w:rPr>
                <w:rFonts w:cs="Arial"/>
                <w:szCs w:val="19"/>
                <w:lang w:val="en-US"/>
              </w:rPr>
              <w:t xml:space="preserve"> – development discontinued (company decision)</w:t>
            </w:r>
          </w:p>
        </w:tc>
      </w:tr>
      <w:tr w:rsidR="00ED65E4" w14:paraId="5E84D56A" w14:textId="77777777" w:rsidTr="009B4A35">
        <w:tc>
          <w:tcPr>
            <w:tcW w:w="1158" w:type="pct"/>
            <w:shd w:val="clear" w:color="auto" w:fill="auto"/>
            <w:tcMar>
              <w:top w:w="57" w:type="dxa"/>
              <w:bottom w:w="57" w:type="dxa"/>
            </w:tcMar>
          </w:tcPr>
          <w:p w14:paraId="4F7C3580" w14:textId="5719F915" w:rsidR="00ED65E4" w:rsidRPr="00672A42" w:rsidRDefault="00ED65E4" w:rsidP="00ED65E4">
            <w:pPr>
              <w:rPr>
                <w:rFonts w:cs="Arial"/>
                <w:szCs w:val="19"/>
              </w:rPr>
            </w:pPr>
            <w:r w:rsidRPr="009411C5">
              <w:rPr>
                <w:rFonts w:cs="Arial"/>
                <w:szCs w:val="19"/>
              </w:rPr>
              <w:t>NGM313 </w:t>
            </w:r>
          </w:p>
        </w:tc>
        <w:tc>
          <w:tcPr>
            <w:tcW w:w="3842" w:type="pct"/>
            <w:gridSpan w:val="2"/>
            <w:shd w:val="clear" w:color="auto" w:fill="auto"/>
            <w:tcMar>
              <w:top w:w="57" w:type="dxa"/>
              <w:bottom w:w="57" w:type="dxa"/>
            </w:tcMar>
          </w:tcPr>
          <w:p w14:paraId="6B1D4FA1" w14:textId="666B65FB" w:rsidR="00ED65E4" w:rsidRDefault="00ED65E4" w:rsidP="00ED65E4">
            <w:pPr>
              <w:tabs>
                <w:tab w:val="center" w:pos="3152"/>
              </w:tabs>
              <w:rPr>
                <w:rFonts w:cs="Arial"/>
                <w:szCs w:val="19"/>
                <w:lang w:val="en-US"/>
              </w:rPr>
            </w:pPr>
            <w:r w:rsidRPr="00DC50D0">
              <w:rPr>
                <w:rFonts w:cs="Arial"/>
                <w:szCs w:val="19"/>
                <w:lang w:val="en-US"/>
              </w:rPr>
              <w:t>Metabolic dysfunction-associated steatohepatitis</w:t>
            </w:r>
            <w:r>
              <w:rPr>
                <w:rFonts w:cs="Arial"/>
                <w:szCs w:val="19"/>
                <w:lang w:val="en-US"/>
              </w:rPr>
              <w:t xml:space="preserve"> </w:t>
            </w:r>
            <w:r w:rsidRPr="00DC50D0">
              <w:rPr>
                <w:rFonts w:cs="Arial"/>
                <w:szCs w:val="19"/>
                <w:lang w:val="en-US"/>
              </w:rPr>
              <w:t xml:space="preserve">in adults with fibrosis stage 2 or </w:t>
            </w:r>
            <w:r w:rsidRPr="007E1351">
              <w:rPr>
                <w:rFonts w:cs="Arial"/>
                <w:szCs w:val="19"/>
                <w:lang w:val="en-US"/>
              </w:rPr>
              <w:t>3</w:t>
            </w:r>
            <w:r>
              <w:rPr>
                <w:rFonts w:cs="Arial"/>
                <w:szCs w:val="19"/>
                <w:lang w:val="en-US"/>
              </w:rPr>
              <w:t xml:space="preserve"> – development discontinued (company decision)</w:t>
            </w:r>
            <w:r w:rsidRPr="00DC50D0">
              <w:rPr>
                <w:rFonts w:cs="Arial"/>
                <w:szCs w:val="19"/>
                <w:lang w:val="en-US"/>
              </w:rPr>
              <w:t xml:space="preserve">  </w:t>
            </w:r>
          </w:p>
        </w:tc>
      </w:tr>
      <w:tr w:rsidR="00ED65E4" w14:paraId="02271E38" w14:textId="77777777" w:rsidTr="009B4A35">
        <w:tc>
          <w:tcPr>
            <w:tcW w:w="1158" w:type="pct"/>
            <w:shd w:val="clear" w:color="auto" w:fill="auto"/>
            <w:tcMar>
              <w:top w:w="57" w:type="dxa"/>
              <w:bottom w:w="57" w:type="dxa"/>
            </w:tcMar>
          </w:tcPr>
          <w:p w14:paraId="26F4D6A3" w14:textId="2AAEE0DB" w:rsidR="00ED65E4" w:rsidRPr="00317A9A" w:rsidRDefault="00ED65E4" w:rsidP="00ED65E4">
            <w:pPr>
              <w:rPr>
                <w:rFonts w:cs="Arial"/>
                <w:szCs w:val="19"/>
              </w:rPr>
            </w:pPr>
            <w:r w:rsidRPr="00367DB9">
              <w:rPr>
                <w:rFonts w:cs="Arial"/>
                <w:szCs w:val="19"/>
              </w:rPr>
              <w:t xml:space="preserve">Pembrolizumab + </w:t>
            </w:r>
            <w:proofErr w:type="spellStart"/>
            <w:r w:rsidRPr="00367DB9">
              <w:rPr>
                <w:rFonts w:cs="Arial"/>
                <w:szCs w:val="19"/>
              </w:rPr>
              <w:t>vibostolimab</w:t>
            </w:r>
            <w:proofErr w:type="spellEnd"/>
            <w:r w:rsidRPr="00367DB9">
              <w:rPr>
                <w:rFonts w:cs="Arial"/>
                <w:szCs w:val="19"/>
              </w:rPr>
              <w:t> </w:t>
            </w:r>
          </w:p>
        </w:tc>
        <w:tc>
          <w:tcPr>
            <w:tcW w:w="3842" w:type="pct"/>
            <w:gridSpan w:val="2"/>
            <w:shd w:val="clear" w:color="auto" w:fill="auto"/>
            <w:tcMar>
              <w:top w:w="57" w:type="dxa"/>
              <w:bottom w:w="57" w:type="dxa"/>
            </w:tcMar>
          </w:tcPr>
          <w:p w14:paraId="19DB03A2" w14:textId="11F4FA78" w:rsidR="00ED65E4" w:rsidRPr="006D7BCD" w:rsidRDefault="00ED65E4" w:rsidP="00ED65E4">
            <w:pPr>
              <w:tabs>
                <w:tab w:val="center" w:pos="3152"/>
              </w:tabs>
              <w:rPr>
                <w:rFonts w:cs="Arial"/>
                <w:szCs w:val="19"/>
                <w:lang w:val="en-US"/>
              </w:rPr>
            </w:pPr>
            <w:r w:rsidRPr="00035FA5">
              <w:rPr>
                <w:rFonts w:cs="Arial"/>
                <w:szCs w:val="19"/>
                <w:lang w:val="en-US"/>
              </w:rPr>
              <w:t>Locally advanced, unresectable</w:t>
            </w:r>
            <w:r>
              <w:rPr>
                <w:rFonts w:cs="Arial"/>
                <w:szCs w:val="19"/>
                <w:lang w:val="en-US"/>
              </w:rPr>
              <w:t xml:space="preserve"> non-small cell lung cancer </w:t>
            </w:r>
            <w:r w:rsidRPr="00035FA5">
              <w:rPr>
                <w:rFonts w:cs="Arial"/>
                <w:szCs w:val="19"/>
                <w:lang w:val="en-US"/>
              </w:rPr>
              <w:t>in adults</w:t>
            </w:r>
            <w:r>
              <w:rPr>
                <w:rFonts w:cs="Arial"/>
                <w:szCs w:val="19"/>
                <w:lang w:val="en-US"/>
              </w:rPr>
              <w:t>,</w:t>
            </w:r>
            <w:r w:rsidRPr="00035FA5">
              <w:rPr>
                <w:rFonts w:cs="Arial"/>
                <w:szCs w:val="19"/>
                <w:lang w:val="en-US"/>
              </w:rPr>
              <w:t xml:space="preserve"> first-line with chemoradiotherapy followed by pembrolizumab + </w:t>
            </w:r>
            <w:proofErr w:type="spellStart"/>
            <w:r w:rsidRPr="00035FA5">
              <w:rPr>
                <w:rFonts w:cs="Arial"/>
                <w:szCs w:val="19"/>
                <w:lang w:val="en-US"/>
              </w:rPr>
              <w:t>vibostolimab</w:t>
            </w:r>
            <w:proofErr w:type="spellEnd"/>
            <w:r w:rsidRPr="00035FA5">
              <w:rPr>
                <w:rFonts w:cs="Arial"/>
                <w:szCs w:val="19"/>
                <w:lang w:val="en-US"/>
              </w:rPr>
              <w:t xml:space="preserve"> maintenance</w:t>
            </w:r>
            <w:r>
              <w:rPr>
                <w:rFonts w:cs="Arial"/>
                <w:szCs w:val="19"/>
                <w:lang w:val="en-US"/>
              </w:rPr>
              <w:t xml:space="preserve"> – development discontinued (company decision)</w:t>
            </w:r>
          </w:p>
        </w:tc>
      </w:tr>
      <w:tr w:rsidR="00ED65E4" w14:paraId="3E06BFAB" w14:textId="77777777" w:rsidTr="009B4A35">
        <w:tc>
          <w:tcPr>
            <w:tcW w:w="1158" w:type="pct"/>
            <w:shd w:val="clear" w:color="auto" w:fill="auto"/>
            <w:tcMar>
              <w:top w:w="57" w:type="dxa"/>
              <w:bottom w:w="57" w:type="dxa"/>
            </w:tcMar>
          </w:tcPr>
          <w:p w14:paraId="138F1338" w14:textId="54CE85CE" w:rsidR="00ED65E4" w:rsidRPr="00317A9A" w:rsidRDefault="00ED65E4" w:rsidP="00ED65E4">
            <w:pPr>
              <w:rPr>
                <w:rFonts w:cs="Arial"/>
                <w:szCs w:val="19"/>
              </w:rPr>
            </w:pPr>
            <w:r w:rsidRPr="00367DB9">
              <w:rPr>
                <w:rFonts w:cs="Arial"/>
                <w:szCs w:val="19"/>
              </w:rPr>
              <w:t xml:space="preserve">Pembrolizumab + </w:t>
            </w:r>
            <w:proofErr w:type="spellStart"/>
            <w:r w:rsidRPr="00367DB9">
              <w:rPr>
                <w:rFonts w:cs="Arial"/>
                <w:szCs w:val="19"/>
              </w:rPr>
              <w:t>vibostolimab</w:t>
            </w:r>
            <w:proofErr w:type="spellEnd"/>
            <w:r w:rsidRPr="00367DB9">
              <w:rPr>
                <w:rFonts w:cs="Arial"/>
                <w:szCs w:val="19"/>
              </w:rPr>
              <w:t> </w:t>
            </w:r>
          </w:p>
        </w:tc>
        <w:tc>
          <w:tcPr>
            <w:tcW w:w="3842" w:type="pct"/>
            <w:gridSpan w:val="2"/>
            <w:shd w:val="clear" w:color="auto" w:fill="auto"/>
            <w:tcMar>
              <w:top w:w="57" w:type="dxa"/>
              <w:bottom w:w="57" w:type="dxa"/>
            </w:tcMar>
          </w:tcPr>
          <w:p w14:paraId="72E10842" w14:textId="11F00961" w:rsidR="00ED65E4" w:rsidRPr="006D7BCD" w:rsidRDefault="00ED65E4" w:rsidP="00ED65E4">
            <w:pPr>
              <w:tabs>
                <w:tab w:val="center" w:pos="3152"/>
              </w:tabs>
              <w:rPr>
                <w:rFonts w:cs="Arial"/>
                <w:szCs w:val="19"/>
                <w:lang w:val="en-US"/>
              </w:rPr>
            </w:pPr>
            <w:r w:rsidRPr="002A07F1">
              <w:rPr>
                <w:rFonts w:cs="Arial"/>
                <w:szCs w:val="19"/>
                <w:lang w:val="en-US"/>
              </w:rPr>
              <w:t>Metastatic, PD-L1-positive</w:t>
            </w:r>
            <w:r>
              <w:rPr>
                <w:rFonts w:cs="Arial"/>
                <w:szCs w:val="19"/>
                <w:lang w:val="en-US"/>
              </w:rPr>
              <w:t xml:space="preserve"> non-small cell lung cancer,</w:t>
            </w:r>
            <w:r w:rsidRPr="002A07F1">
              <w:rPr>
                <w:rFonts w:cs="Arial"/>
                <w:szCs w:val="19"/>
                <w:lang w:val="en-US"/>
              </w:rPr>
              <w:t xml:space="preserve"> first-line in adults in whom EGFR-, ALK- or ROS1-directed therapy is not indicated as primary therapy</w:t>
            </w:r>
            <w:r>
              <w:rPr>
                <w:rFonts w:cs="Arial"/>
                <w:szCs w:val="19"/>
                <w:lang w:val="en-US"/>
              </w:rPr>
              <w:t xml:space="preserve"> – development discontinued (lack of efficacy)</w:t>
            </w:r>
          </w:p>
        </w:tc>
      </w:tr>
      <w:tr w:rsidR="00ED65E4" w14:paraId="315F326B" w14:textId="77777777" w:rsidTr="009B4A35">
        <w:tc>
          <w:tcPr>
            <w:tcW w:w="1158" w:type="pct"/>
            <w:shd w:val="clear" w:color="auto" w:fill="auto"/>
            <w:tcMar>
              <w:top w:w="57" w:type="dxa"/>
              <w:bottom w:w="57" w:type="dxa"/>
            </w:tcMar>
          </w:tcPr>
          <w:p w14:paraId="4CED565C" w14:textId="6F7D1891" w:rsidR="00ED65E4" w:rsidRPr="00317A9A" w:rsidRDefault="00ED65E4" w:rsidP="00ED65E4">
            <w:pPr>
              <w:rPr>
                <w:rFonts w:cs="Arial"/>
                <w:szCs w:val="19"/>
              </w:rPr>
            </w:pPr>
            <w:r w:rsidRPr="00367DB9">
              <w:rPr>
                <w:rFonts w:cs="Arial"/>
                <w:szCs w:val="19"/>
              </w:rPr>
              <w:t xml:space="preserve">Pembrolizumab + </w:t>
            </w:r>
            <w:proofErr w:type="spellStart"/>
            <w:r w:rsidRPr="00367DB9">
              <w:rPr>
                <w:rFonts w:cs="Arial"/>
                <w:szCs w:val="19"/>
              </w:rPr>
              <w:t>vibostolimab</w:t>
            </w:r>
            <w:proofErr w:type="spellEnd"/>
            <w:r w:rsidRPr="00367DB9">
              <w:rPr>
                <w:rFonts w:cs="Arial"/>
                <w:szCs w:val="19"/>
              </w:rPr>
              <w:t> </w:t>
            </w:r>
          </w:p>
        </w:tc>
        <w:tc>
          <w:tcPr>
            <w:tcW w:w="3842" w:type="pct"/>
            <w:gridSpan w:val="2"/>
            <w:shd w:val="clear" w:color="auto" w:fill="auto"/>
            <w:tcMar>
              <w:top w:w="57" w:type="dxa"/>
              <w:bottom w:w="57" w:type="dxa"/>
            </w:tcMar>
          </w:tcPr>
          <w:p w14:paraId="31F6B513" w14:textId="77777777" w:rsidR="00ED65E4" w:rsidRDefault="00ED65E4" w:rsidP="00ED65E4">
            <w:pPr>
              <w:tabs>
                <w:tab w:val="center" w:pos="3152"/>
              </w:tabs>
              <w:rPr>
                <w:rFonts w:cs="Arial"/>
                <w:szCs w:val="19"/>
                <w:lang w:val="en-US"/>
              </w:rPr>
            </w:pPr>
            <w:r w:rsidRPr="00DF5491">
              <w:rPr>
                <w:rFonts w:cs="Arial"/>
                <w:szCs w:val="19"/>
                <w:lang w:val="en-US"/>
              </w:rPr>
              <w:t>Metastatic, squamous or non-squamous</w:t>
            </w:r>
            <w:r>
              <w:rPr>
                <w:rFonts w:cs="Arial"/>
                <w:szCs w:val="19"/>
                <w:lang w:val="en-US"/>
              </w:rPr>
              <w:t xml:space="preserve"> non-small cell lung cancer</w:t>
            </w:r>
            <w:r w:rsidRPr="00DF5491">
              <w:rPr>
                <w:rFonts w:cs="Arial"/>
                <w:szCs w:val="19"/>
                <w:lang w:val="en-US"/>
              </w:rPr>
              <w:t xml:space="preserve"> without EGFR mutations or ALK/ROS1 gene rearrangements, in adults</w:t>
            </w:r>
            <w:r>
              <w:rPr>
                <w:rFonts w:cs="Arial"/>
                <w:szCs w:val="19"/>
                <w:lang w:val="en-US"/>
              </w:rPr>
              <w:t>,</w:t>
            </w:r>
            <w:r w:rsidRPr="00DF5491">
              <w:rPr>
                <w:rFonts w:cs="Arial"/>
                <w:szCs w:val="19"/>
                <w:lang w:val="en-US"/>
              </w:rPr>
              <w:t xml:space="preserve"> first-line</w:t>
            </w:r>
            <w:r>
              <w:rPr>
                <w:rFonts w:cs="Arial"/>
                <w:szCs w:val="19"/>
                <w:lang w:val="en-US"/>
              </w:rPr>
              <w:t xml:space="preserve"> – development </w:t>
            </w:r>
            <w:proofErr w:type="gramStart"/>
            <w:r>
              <w:rPr>
                <w:rFonts w:cs="Arial"/>
                <w:szCs w:val="19"/>
                <w:lang w:val="en-US"/>
              </w:rPr>
              <w:t>discontinued</w:t>
            </w:r>
            <w:proofErr w:type="gramEnd"/>
            <w:r>
              <w:rPr>
                <w:rFonts w:cs="Arial"/>
                <w:szCs w:val="19"/>
                <w:lang w:val="en-US"/>
              </w:rPr>
              <w:t xml:space="preserve"> </w:t>
            </w:r>
          </w:p>
          <w:p w14:paraId="4816E515" w14:textId="73B6415E" w:rsidR="00ED65E4" w:rsidRPr="006D7BCD" w:rsidRDefault="00ED65E4" w:rsidP="00ED65E4">
            <w:pPr>
              <w:tabs>
                <w:tab w:val="center" w:pos="3152"/>
              </w:tabs>
              <w:rPr>
                <w:rFonts w:cs="Arial"/>
                <w:szCs w:val="19"/>
                <w:lang w:val="en-US"/>
              </w:rPr>
            </w:pPr>
            <w:r>
              <w:rPr>
                <w:rFonts w:cs="Arial"/>
                <w:szCs w:val="19"/>
                <w:lang w:val="en-US"/>
              </w:rPr>
              <w:t>(lack of efficacy)</w:t>
            </w:r>
          </w:p>
        </w:tc>
      </w:tr>
      <w:tr w:rsidR="00ED65E4" w14:paraId="3E63587B" w14:textId="77777777" w:rsidTr="009B4A35">
        <w:tc>
          <w:tcPr>
            <w:tcW w:w="1158" w:type="pct"/>
            <w:shd w:val="clear" w:color="auto" w:fill="auto"/>
            <w:tcMar>
              <w:top w:w="57" w:type="dxa"/>
              <w:bottom w:w="57" w:type="dxa"/>
            </w:tcMar>
          </w:tcPr>
          <w:p w14:paraId="4C19D655" w14:textId="2728343D" w:rsidR="00ED65E4" w:rsidRPr="002837EC" w:rsidRDefault="00ED65E4" w:rsidP="00ED65E4">
            <w:pPr>
              <w:rPr>
                <w:rFonts w:cs="Arial"/>
                <w:szCs w:val="19"/>
              </w:rPr>
            </w:pPr>
            <w:r w:rsidRPr="00BB0CA2">
              <w:rPr>
                <w:rFonts w:cs="Arial"/>
                <w:szCs w:val="19"/>
              </w:rPr>
              <w:t>Pneumococcal conjugate vaccine </w:t>
            </w:r>
          </w:p>
        </w:tc>
        <w:tc>
          <w:tcPr>
            <w:tcW w:w="3842" w:type="pct"/>
            <w:gridSpan w:val="2"/>
            <w:shd w:val="clear" w:color="auto" w:fill="auto"/>
            <w:tcMar>
              <w:top w:w="57" w:type="dxa"/>
              <w:bottom w:w="57" w:type="dxa"/>
            </w:tcMar>
          </w:tcPr>
          <w:p w14:paraId="16405E03" w14:textId="1B099DCD" w:rsidR="00ED65E4" w:rsidRDefault="00ED65E4" w:rsidP="00ED65E4">
            <w:pPr>
              <w:tabs>
                <w:tab w:val="center" w:pos="3152"/>
              </w:tabs>
              <w:rPr>
                <w:rFonts w:cs="Arial"/>
                <w:szCs w:val="19"/>
                <w:lang w:val="en-US"/>
              </w:rPr>
            </w:pPr>
            <w:r w:rsidRPr="004E5BC4">
              <w:rPr>
                <w:rFonts w:cs="Arial"/>
                <w:szCs w:val="19"/>
                <w:lang w:val="en-US"/>
              </w:rPr>
              <w:t>Pneumococcal infection prevention adults (24-valent</w:t>
            </w:r>
            <w:r>
              <w:rPr>
                <w:rFonts w:cs="Arial"/>
                <w:szCs w:val="19"/>
                <w:lang w:val="en-US"/>
              </w:rPr>
              <w:t xml:space="preserve"> formulation, GSK</w:t>
            </w:r>
            <w:r w:rsidRPr="004E5BC4">
              <w:rPr>
                <w:rFonts w:cs="Arial"/>
                <w:szCs w:val="19"/>
                <w:lang w:val="en-US"/>
              </w:rPr>
              <w:t>)</w:t>
            </w:r>
            <w:r>
              <w:rPr>
                <w:rFonts w:cs="Arial"/>
                <w:szCs w:val="19"/>
                <w:lang w:val="en-US"/>
              </w:rPr>
              <w:t xml:space="preserve"> – development discontinued (company decision)</w:t>
            </w:r>
          </w:p>
        </w:tc>
      </w:tr>
      <w:tr w:rsidR="00ED65E4" w14:paraId="28811B42" w14:textId="77777777" w:rsidTr="009B4A35">
        <w:tc>
          <w:tcPr>
            <w:tcW w:w="1158" w:type="pct"/>
            <w:shd w:val="clear" w:color="auto" w:fill="auto"/>
            <w:tcMar>
              <w:top w:w="57" w:type="dxa"/>
              <w:bottom w:w="57" w:type="dxa"/>
            </w:tcMar>
          </w:tcPr>
          <w:p w14:paraId="308D712B" w14:textId="39BBEC6F" w:rsidR="00ED65E4" w:rsidRPr="00317A9A" w:rsidRDefault="00ED65E4" w:rsidP="00ED65E4">
            <w:pPr>
              <w:rPr>
                <w:rFonts w:cs="Arial"/>
                <w:szCs w:val="19"/>
              </w:rPr>
            </w:pPr>
            <w:proofErr w:type="spellStart"/>
            <w:r w:rsidRPr="002837EC">
              <w:rPr>
                <w:rFonts w:cs="Arial"/>
                <w:szCs w:val="19"/>
              </w:rPr>
              <w:t>Semorinemab</w:t>
            </w:r>
            <w:proofErr w:type="spellEnd"/>
            <w:r>
              <w:rPr>
                <w:rFonts w:cs="Arial"/>
                <w:szCs w:val="19"/>
              </w:rPr>
              <w:t xml:space="preserve"> </w:t>
            </w:r>
          </w:p>
        </w:tc>
        <w:tc>
          <w:tcPr>
            <w:tcW w:w="3842" w:type="pct"/>
            <w:gridSpan w:val="2"/>
            <w:shd w:val="clear" w:color="auto" w:fill="auto"/>
            <w:tcMar>
              <w:top w:w="57" w:type="dxa"/>
              <w:bottom w:w="57" w:type="dxa"/>
            </w:tcMar>
          </w:tcPr>
          <w:p w14:paraId="260E78C0" w14:textId="77777777" w:rsidR="00ED65E4" w:rsidRDefault="00ED65E4" w:rsidP="00ED65E4">
            <w:pPr>
              <w:tabs>
                <w:tab w:val="center" w:pos="3152"/>
              </w:tabs>
              <w:rPr>
                <w:rFonts w:cs="Arial"/>
                <w:szCs w:val="19"/>
                <w:lang w:val="en-US"/>
              </w:rPr>
            </w:pPr>
            <w:r>
              <w:rPr>
                <w:rFonts w:cs="Arial"/>
                <w:szCs w:val="19"/>
                <w:lang w:val="en-US"/>
              </w:rPr>
              <w:t>M</w:t>
            </w:r>
            <w:r w:rsidRPr="00084E70">
              <w:rPr>
                <w:rFonts w:cs="Arial"/>
                <w:szCs w:val="19"/>
                <w:lang w:val="en-US"/>
              </w:rPr>
              <w:t>ild-to-moderate</w:t>
            </w:r>
            <w:r>
              <w:rPr>
                <w:rFonts w:cs="Arial"/>
                <w:szCs w:val="19"/>
                <w:lang w:val="en-US"/>
              </w:rPr>
              <w:t xml:space="preserve"> </w:t>
            </w:r>
            <w:r w:rsidRPr="00084E70">
              <w:rPr>
                <w:rFonts w:cs="Arial"/>
                <w:szCs w:val="19"/>
                <w:lang w:val="en-US"/>
              </w:rPr>
              <w:t>Alzheimer's disease in adults</w:t>
            </w:r>
            <w:r>
              <w:rPr>
                <w:rFonts w:cs="Arial"/>
                <w:szCs w:val="19"/>
                <w:lang w:val="en-US"/>
              </w:rPr>
              <w:t xml:space="preserve"> – development </w:t>
            </w:r>
            <w:proofErr w:type="gramStart"/>
            <w:r>
              <w:rPr>
                <w:rFonts w:cs="Arial"/>
                <w:szCs w:val="19"/>
                <w:lang w:val="en-US"/>
              </w:rPr>
              <w:t>discontinued</w:t>
            </w:r>
            <w:proofErr w:type="gramEnd"/>
            <w:r>
              <w:rPr>
                <w:rFonts w:cs="Arial"/>
                <w:szCs w:val="19"/>
                <w:lang w:val="en-US"/>
              </w:rPr>
              <w:t xml:space="preserve"> </w:t>
            </w:r>
          </w:p>
          <w:p w14:paraId="3D3B56E3" w14:textId="35B2C3CE" w:rsidR="00ED65E4" w:rsidRPr="006D7BCD" w:rsidRDefault="00ED65E4" w:rsidP="00ED65E4">
            <w:pPr>
              <w:tabs>
                <w:tab w:val="center" w:pos="3152"/>
              </w:tabs>
              <w:rPr>
                <w:rFonts w:cs="Arial"/>
                <w:szCs w:val="19"/>
                <w:lang w:val="en-US"/>
              </w:rPr>
            </w:pPr>
            <w:r>
              <w:rPr>
                <w:rFonts w:cs="Arial"/>
                <w:szCs w:val="19"/>
                <w:lang w:val="en-US"/>
              </w:rPr>
              <w:t>(company decision)</w:t>
            </w:r>
          </w:p>
        </w:tc>
      </w:tr>
      <w:tr w:rsidR="00ED65E4" w14:paraId="18DBDDD9" w14:textId="77777777" w:rsidTr="009B4A35">
        <w:tc>
          <w:tcPr>
            <w:tcW w:w="1158" w:type="pct"/>
            <w:shd w:val="clear" w:color="auto" w:fill="auto"/>
            <w:tcMar>
              <w:top w:w="57" w:type="dxa"/>
              <w:bottom w:w="57" w:type="dxa"/>
            </w:tcMar>
          </w:tcPr>
          <w:p w14:paraId="6A3AE8EA" w14:textId="5B71C6E1" w:rsidR="00ED65E4" w:rsidRPr="002837EC" w:rsidRDefault="00ED65E4" w:rsidP="00ED65E4">
            <w:pPr>
              <w:rPr>
                <w:rFonts w:cs="Arial"/>
                <w:szCs w:val="19"/>
              </w:rPr>
            </w:pPr>
            <w:r>
              <w:rPr>
                <w:rFonts w:cs="Arial"/>
                <w:szCs w:val="19"/>
              </w:rPr>
              <w:t>SER-287</w:t>
            </w:r>
          </w:p>
        </w:tc>
        <w:tc>
          <w:tcPr>
            <w:tcW w:w="3842" w:type="pct"/>
            <w:gridSpan w:val="2"/>
            <w:shd w:val="clear" w:color="auto" w:fill="auto"/>
            <w:tcMar>
              <w:top w:w="57" w:type="dxa"/>
              <w:bottom w:w="57" w:type="dxa"/>
            </w:tcMar>
          </w:tcPr>
          <w:p w14:paraId="5A15C5B1" w14:textId="77777777" w:rsidR="00ED65E4" w:rsidRDefault="00ED65E4" w:rsidP="00ED65E4">
            <w:pPr>
              <w:tabs>
                <w:tab w:val="center" w:pos="3152"/>
              </w:tabs>
              <w:rPr>
                <w:rFonts w:cs="Arial"/>
                <w:szCs w:val="19"/>
                <w:lang w:val="en-US"/>
              </w:rPr>
            </w:pPr>
            <w:r>
              <w:rPr>
                <w:rFonts w:cs="Arial"/>
                <w:szCs w:val="19"/>
                <w:lang w:val="en-US"/>
              </w:rPr>
              <w:t>Activ</w:t>
            </w:r>
            <w:r w:rsidRPr="00F558AF">
              <w:rPr>
                <w:rFonts w:cs="Arial"/>
                <w:szCs w:val="19"/>
                <w:lang w:val="en-US"/>
              </w:rPr>
              <w:t>e mild-to-moderate</w:t>
            </w:r>
            <w:r>
              <w:rPr>
                <w:rFonts w:cs="Arial"/>
                <w:szCs w:val="19"/>
                <w:lang w:val="en-US"/>
              </w:rPr>
              <w:t xml:space="preserve"> ulcerative colitis</w:t>
            </w:r>
            <w:r w:rsidRPr="00F558AF">
              <w:rPr>
                <w:rFonts w:cs="Arial"/>
                <w:szCs w:val="19"/>
                <w:lang w:val="en-US"/>
              </w:rPr>
              <w:t xml:space="preserve"> in adults</w:t>
            </w:r>
            <w:r>
              <w:rPr>
                <w:rFonts w:cs="Arial"/>
                <w:szCs w:val="19"/>
                <w:lang w:val="en-US"/>
              </w:rPr>
              <w:t xml:space="preserve"> – development </w:t>
            </w:r>
            <w:proofErr w:type="gramStart"/>
            <w:r>
              <w:rPr>
                <w:rFonts w:cs="Arial"/>
                <w:szCs w:val="19"/>
                <w:lang w:val="en-US"/>
              </w:rPr>
              <w:t>discontinued</w:t>
            </w:r>
            <w:proofErr w:type="gramEnd"/>
            <w:r>
              <w:rPr>
                <w:rFonts w:cs="Arial"/>
                <w:szCs w:val="19"/>
                <w:lang w:val="en-US"/>
              </w:rPr>
              <w:t xml:space="preserve"> </w:t>
            </w:r>
          </w:p>
          <w:p w14:paraId="710646ED" w14:textId="2DC0D771" w:rsidR="00ED65E4" w:rsidRDefault="00ED65E4" w:rsidP="00ED65E4">
            <w:pPr>
              <w:tabs>
                <w:tab w:val="center" w:pos="3152"/>
              </w:tabs>
              <w:rPr>
                <w:rFonts w:cs="Arial"/>
                <w:szCs w:val="19"/>
                <w:lang w:val="en-US"/>
              </w:rPr>
            </w:pPr>
            <w:r>
              <w:rPr>
                <w:rFonts w:cs="Arial"/>
                <w:szCs w:val="19"/>
                <w:lang w:val="en-US"/>
              </w:rPr>
              <w:t>(company decision)</w:t>
            </w:r>
          </w:p>
        </w:tc>
      </w:tr>
      <w:tr w:rsidR="00ED65E4" w14:paraId="35D23905" w14:textId="77777777" w:rsidTr="009B4A35">
        <w:tc>
          <w:tcPr>
            <w:tcW w:w="1158" w:type="pct"/>
            <w:shd w:val="clear" w:color="auto" w:fill="auto"/>
            <w:tcMar>
              <w:top w:w="57" w:type="dxa"/>
              <w:bottom w:w="57" w:type="dxa"/>
            </w:tcMar>
          </w:tcPr>
          <w:p w14:paraId="71F847B7" w14:textId="7EBBA126" w:rsidR="00ED65E4" w:rsidRPr="00317A9A" w:rsidRDefault="00ED65E4" w:rsidP="00ED65E4">
            <w:pPr>
              <w:rPr>
                <w:rFonts w:cs="Arial"/>
                <w:szCs w:val="19"/>
              </w:rPr>
            </w:pPr>
            <w:proofErr w:type="spellStart"/>
            <w:r w:rsidRPr="00D23ACC">
              <w:rPr>
                <w:rFonts w:cs="Arial"/>
                <w:szCs w:val="19"/>
              </w:rPr>
              <w:t>SerpinPC</w:t>
            </w:r>
            <w:proofErr w:type="spellEnd"/>
          </w:p>
        </w:tc>
        <w:tc>
          <w:tcPr>
            <w:tcW w:w="3842" w:type="pct"/>
            <w:gridSpan w:val="2"/>
            <w:shd w:val="clear" w:color="auto" w:fill="auto"/>
            <w:tcMar>
              <w:top w:w="57" w:type="dxa"/>
              <w:bottom w:w="57" w:type="dxa"/>
            </w:tcMar>
          </w:tcPr>
          <w:p w14:paraId="5CE41A4F" w14:textId="65A73905" w:rsidR="00ED65E4" w:rsidRPr="006D7BCD" w:rsidRDefault="00ED65E4" w:rsidP="00ED65E4">
            <w:pPr>
              <w:tabs>
                <w:tab w:val="center" w:pos="3152"/>
              </w:tabs>
              <w:rPr>
                <w:rFonts w:cs="Arial"/>
                <w:szCs w:val="19"/>
                <w:lang w:val="en-US"/>
              </w:rPr>
            </w:pPr>
            <w:r>
              <w:rPr>
                <w:rFonts w:cs="Arial"/>
                <w:szCs w:val="19"/>
                <w:lang w:val="en-US"/>
              </w:rPr>
              <w:t xml:space="preserve">Severe </w:t>
            </w:r>
            <w:proofErr w:type="spellStart"/>
            <w:r>
              <w:rPr>
                <w:rFonts w:cs="Arial"/>
                <w:szCs w:val="19"/>
                <w:lang w:val="en-US"/>
              </w:rPr>
              <w:t>h</w:t>
            </w:r>
            <w:r w:rsidRPr="00956AED">
              <w:rPr>
                <w:rFonts w:cs="Arial"/>
                <w:szCs w:val="19"/>
                <w:lang w:val="en-US"/>
              </w:rPr>
              <w:t>aemophilia</w:t>
            </w:r>
            <w:proofErr w:type="spellEnd"/>
            <w:r w:rsidRPr="00956AED">
              <w:rPr>
                <w:rFonts w:cs="Arial"/>
                <w:szCs w:val="19"/>
                <w:lang w:val="en-US"/>
              </w:rPr>
              <w:t xml:space="preserve"> B with or without inhibitors, in adults and children aged </w:t>
            </w:r>
            <w:r>
              <w:rPr>
                <w:rFonts w:cs="Arial"/>
                <w:szCs w:val="19"/>
                <w:lang w:val="en-US"/>
              </w:rPr>
              <w:t>≥</w:t>
            </w:r>
            <w:r w:rsidRPr="00956AED">
              <w:rPr>
                <w:rFonts w:cs="Arial"/>
                <w:szCs w:val="19"/>
                <w:lang w:val="en-US"/>
              </w:rPr>
              <w:t xml:space="preserve">12 years </w:t>
            </w:r>
            <w:r>
              <w:rPr>
                <w:rFonts w:cs="Arial"/>
                <w:szCs w:val="19"/>
                <w:lang w:val="en-US"/>
              </w:rPr>
              <w:t>– development discontinued (company decision)</w:t>
            </w:r>
          </w:p>
        </w:tc>
      </w:tr>
      <w:tr w:rsidR="00ED65E4" w14:paraId="6372AE80" w14:textId="77777777" w:rsidTr="009B4A35">
        <w:tc>
          <w:tcPr>
            <w:tcW w:w="1158" w:type="pct"/>
            <w:shd w:val="clear" w:color="auto" w:fill="auto"/>
            <w:tcMar>
              <w:top w:w="57" w:type="dxa"/>
              <w:bottom w:w="57" w:type="dxa"/>
            </w:tcMar>
          </w:tcPr>
          <w:p w14:paraId="28FC1C26" w14:textId="71CA3BBA" w:rsidR="00ED65E4" w:rsidRPr="00660B05" w:rsidRDefault="00ED65E4" w:rsidP="00ED65E4">
            <w:pPr>
              <w:rPr>
                <w:rFonts w:cs="Arial"/>
                <w:szCs w:val="19"/>
              </w:rPr>
            </w:pPr>
            <w:proofErr w:type="spellStart"/>
            <w:r w:rsidRPr="00317A9A">
              <w:rPr>
                <w:rFonts w:cs="Arial"/>
                <w:szCs w:val="19"/>
              </w:rPr>
              <w:t>Tarcocimab</w:t>
            </w:r>
            <w:proofErr w:type="spellEnd"/>
            <w:r w:rsidRPr="00317A9A">
              <w:rPr>
                <w:rFonts w:cs="Arial"/>
                <w:szCs w:val="19"/>
              </w:rPr>
              <w:t xml:space="preserve"> </w:t>
            </w:r>
            <w:proofErr w:type="spellStart"/>
            <w:r w:rsidRPr="00317A9A">
              <w:rPr>
                <w:rFonts w:cs="Arial"/>
                <w:szCs w:val="19"/>
              </w:rPr>
              <w:t>tedromer</w:t>
            </w:r>
            <w:proofErr w:type="spellEnd"/>
            <w:r w:rsidRPr="00317A9A">
              <w:rPr>
                <w:rFonts w:cs="Arial"/>
                <w:szCs w:val="19"/>
              </w:rPr>
              <w:t xml:space="preserve">  </w:t>
            </w:r>
          </w:p>
        </w:tc>
        <w:tc>
          <w:tcPr>
            <w:tcW w:w="3842" w:type="pct"/>
            <w:gridSpan w:val="2"/>
            <w:shd w:val="clear" w:color="auto" w:fill="auto"/>
            <w:tcMar>
              <w:top w:w="57" w:type="dxa"/>
              <w:bottom w:w="57" w:type="dxa"/>
            </w:tcMar>
          </w:tcPr>
          <w:p w14:paraId="6AD0B312" w14:textId="7CCF21C4" w:rsidR="00ED65E4" w:rsidRPr="008E641A" w:rsidRDefault="00ED65E4" w:rsidP="00ED65E4">
            <w:pPr>
              <w:tabs>
                <w:tab w:val="center" w:pos="3152"/>
              </w:tabs>
              <w:rPr>
                <w:rFonts w:cs="Arial"/>
                <w:szCs w:val="19"/>
                <w:lang w:val="en-US"/>
              </w:rPr>
            </w:pPr>
            <w:r w:rsidRPr="006D7BCD">
              <w:rPr>
                <w:rFonts w:cs="Arial"/>
                <w:szCs w:val="19"/>
                <w:lang w:val="en-US"/>
              </w:rPr>
              <w:t xml:space="preserve">Diabetic macular oedema </w:t>
            </w:r>
            <w:r w:rsidRPr="006D7BCD">
              <w:rPr>
                <w:rFonts w:cs="Arial"/>
                <w:szCs w:val="19"/>
                <w:lang w:val="en-US"/>
              </w:rPr>
              <w:tab/>
              <w:t>associated visual impairment in adults</w:t>
            </w:r>
            <w:r>
              <w:rPr>
                <w:rFonts w:cs="Arial"/>
                <w:szCs w:val="19"/>
                <w:lang w:val="en-US"/>
              </w:rPr>
              <w:t xml:space="preserve"> – development discontinued (lack of efficacy and safety concern)</w:t>
            </w:r>
          </w:p>
        </w:tc>
      </w:tr>
      <w:tr w:rsidR="00ED65E4" w14:paraId="67B0B7C9" w14:textId="77777777" w:rsidTr="009B4A35">
        <w:tc>
          <w:tcPr>
            <w:tcW w:w="1158" w:type="pct"/>
            <w:shd w:val="clear" w:color="auto" w:fill="auto"/>
            <w:tcMar>
              <w:top w:w="57" w:type="dxa"/>
              <w:bottom w:w="57" w:type="dxa"/>
            </w:tcMar>
          </w:tcPr>
          <w:p w14:paraId="419D532B" w14:textId="01169F50" w:rsidR="00ED65E4" w:rsidRPr="00A63D29" w:rsidRDefault="00ED65E4" w:rsidP="00ED65E4">
            <w:pPr>
              <w:rPr>
                <w:rFonts w:cs="Arial"/>
                <w:szCs w:val="19"/>
              </w:rPr>
            </w:pPr>
            <w:r>
              <w:rPr>
                <w:rFonts w:cs="Arial"/>
                <w:szCs w:val="19"/>
              </w:rPr>
              <w:t>TERN-101</w:t>
            </w:r>
          </w:p>
        </w:tc>
        <w:tc>
          <w:tcPr>
            <w:tcW w:w="3842" w:type="pct"/>
            <w:gridSpan w:val="2"/>
            <w:shd w:val="clear" w:color="auto" w:fill="auto"/>
            <w:tcMar>
              <w:top w:w="57" w:type="dxa"/>
              <w:bottom w:w="57" w:type="dxa"/>
            </w:tcMar>
          </w:tcPr>
          <w:p w14:paraId="50A8B861" w14:textId="77777777" w:rsidR="00ED65E4" w:rsidRDefault="00ED65E4" w:rsidP="00ED65E4">
            <w:pPr>
              <w:tabs>
                <w:tab w:val="center" w:pos="3152"/>
              </w:tabs>
              <w:rPr>
                <w:rFonts w:cs="Arial"/>
                <w:szCs w:val="19"/>
                <w:lang w:val="en-US"/>
              </w:rPr>
            </w:pPr>
            <w:r w:rsidRPr="00EA7828">
              <w:rPr>
                <w:rFonts w:cs="Arial"/>
                <w:szCs w:val="19"/>
                <w:lang w:val="en-US"/>
              </w:rPr>
              <w:t>Metabolic dysfunction-associated steatohepatitis</w:t>
            </w:r>
            <w:r>
              <w:rPr>
                <w:rFonts w:cs="Arial"/>
                <w:szCs w:val="19"/>
                <w:lang w:val="en-US"/>
              </w:rPr>
              <w:t xml:space="preserve"> </w:t>
            </w:r>
            <w:r w:rsidRPr="00EA7828">
              <w:rPr>
                <w:rFonts w:cs="Arial"/>
                <w:szCs w:val="19"/>
                <w:lang w:val="en-US"/>
              </w:rPr>
              <w:t>in adults with fibrosis stage 1, 2 or 3</w:t>
            </w:r>
            <w:r>
              <w:rPr>
                <w:rFonts w:cs="Arial"/>
                <w:szCs w:val="19"/>
                <w:lang w:val="en-US"/>
              </w:rPr>
              <w:t>,</w:t>
            </w:r>
            <w:r w:rsidRPr="00EA7828">
              <w:rPr>
                <w:rFonts w:cs="Arial"/>
                <w:szCs w:val="19"/>
                <w:lang w:val="en-US"/>
              </w:rPr>
              <w:t xml:space="preserve"> as monotherapy or in combination with TERN-501</w:t>
            </w:r>
            <w:r>
              <w:rPr>
                <w:rFonts w:cs="Arial"/>
                <w:szCs w:val="19"/>
                <w:lang w:val="en-US"/>
              </w:rPr>
              <w:t xml:space="preserve"> – development </w:t>
            </w:r>
            <w:proofErr w:type="gramStart"/>
            <w:r>
              <w:rPr>
                <w:rFonts w:cs="Arial"/>
                <w:szCs w:val="19"/>
                <w:lang w:val="en-US"/>
              </w:rPr>
              <w:t>discontinued</w:t>
            </w:r>
            <w:proofErr w:type="gramEnd"/>
            <w:r>
              <w:rPr>
                <w:rFonts w:cs="Arial"/>
                <w:szCs w:val="19"/>
                <w:lang w:val="en-US"/>
              </w:rPr>
              <w:t xml:space="preserve"> </w:t>
            </w:r>
          </w:p>
          <w:p w14:paraId="4B8C7D53" w14:textId="3531C03D" w:rsidR="00ED65E4" w:rsidRDefault="00ED65E4" w:rsidP="00ED65E4">
            <w:pPr>
              <w:tabs>
                <w:tab w:val="center" w:pos="3152"/>
              </w:tabs>
              <w:rPr>
                <w:rFonts w:cs="Arial"/>
                <w:szCs w:val="19"/>
                <w:lang w:val="en-US"/>
              </w:rPr>
            </w:pPr>
            <w:r>
              <w:rPr>
                <w:rFonts w:cs="Arial"/>
                <w:szCs w:val="19"/>
                <w:lang w:val="en-US"/>
              </w:rPr>
              <w:t>(company decision)</w:t>
            </w:r>
            <w:r w:rsidRPr="00DC50D0">
              <w:rPr>
                <w:rFonts w:cs="Arial"/>
                <w:szCs w:val="19"/>
                <w:lang w:val="en-US"/>
              </w:rPr>
              <w:t xml:space="preserve">  </w:t>
            </w:r>
          </w:p>
        </w:tc>
      </w:tr>
      <w:tr w:rsidR="00ED65E4" w14:paraId="0FE052DE" w14:textId="77777777" w:rsidTr="009B4A35">
        <w:tc>
          <w:tcPr>
            <w:tcW w:w="1158" w:type="pct"/>
            <w:shd w:val="clear" w:color="auto" w:fill="auto"/>
            <w:tcMar>
              <w:top w:w="57" w:type="dxa"/>
              <w:bottom w:w="57" w:type="dxa"/>
            </w:tcMar>
          </w:tcPr>
          <w:p w14:paraId="7E727FCE" w14:textId="7C1DFACA" w:rsidR="00ED65E4" w:rsidRPr="000D18D3" w:rsidRDefault="00ED65E4" w:rsidP="00ED65E4">
            <w:pPr>
              <w:rPr>
                <w:rFonts w:cs="Arial"/>
                <w:szCs w:val="19"/>
              </w:rPr>
            </w:pPr>
            <w:r>
              <w:rPr>
                <w:rFonts w:cs="Arial"/>
                <w:szCs w:val="19"/>
              </w:rPr>
              <w:t>Tirzepatide (</w:t>
            </w:r>
            <w:r>
              <w:rPr>
                <w:rFonts w:cs="Arial"/>
                <w:i/>
                <w:iCs/>
                <w:szCs w:val="19"/>
              </w:rPr>
              <w:t>Mounjaro</w:t>
            </w:r>
            <w:r>
              <w:rPr>
                <w:rFonts w:cs="Arial"/>
                <w:szCs w:val="19"/>
              </w:rPr>
              <w:t>)</w:t>
            </w:r>
          </w:p>
        </w:tc>
        <w:tc>
          <w:tcPr>
            <w:tcW w:w="3842" w:type="pct"/>
            <w:gridSpan w:val="2"/>
            <w:shd w:val="clear" w:color="auto" w:fill="auto"/>
            <w:tcMar>
              <w:top w:w="57" w:type="dxa"/>
              <w:bottom w:w="57" w:type="dxa"/>
            </w:tcMar>
          </w:tcPr>
          <w:p w14:paraId="099E1034" w14:textId="3770B939" w:rsidR="00ED65E4" w:rsidRPr="00EA7828" w:rsidRDefault="00ED65E4" w:rsidP="00ED65E4">
            <w:pPr>
              <w:tabs>
                <w:tab w:val="center" w:pos="3152"/>
              </w:tabs>
              <w:rPr>
                <w:rFonts w:cs="Arial"/>
                <w:szCs w:val="19"/>
                <w:lang w:val="en-US"/>
              </w:rPr>
            </w:pPr>
            <w:r w:rsidRPr="00A24282">
              <w:rPr>
                <w:rFonts w:cs="Arial"/>
                <w:szCs w:val="19"/>
                <w:lang w:val="en-US"/>
              </w:rPr>
              <w:t xml:space="preserve">Treatment of </w:t>
            </w:r>
            <w:r>
              <w:rPr>
                <w:rFonts w:cs="Arial"/>
                <w:szCs w:val="19"/>
                <w:lang w:val="en-US"/>
              </w:rPr>
              <w:t xml:space="preserve">moderate to severe </w:t>
            </w:r>
            <w:r w:rsidRPr="00A24282">
              <w:rPr>
                <w:rFonts w:cs="Arial"/>
                <w:szCs w:val="19"/>
                <w:lang w:val="en-US"/>
              </w:rPr>
              <w:t>obstructive sleep apnoea in adults with obesity</w:t>
            </w:r>
            <w:r>
              <w:rPr>
                <w:rFonts w:cs="Arial"/>
                <w:szCs w:val="19"/>
                <w:lang w:val="en-US"/>
              </w:rPr>
              <w:t xml:space="preserve"> – not approved in EU as </w:t>
            </w:r>
            <w:r w:rsidRPr="00D2550C">
              <w:rPr>
                <w:rFonts w:cs="Arial"/>
                <w:szCs w:val="19"/>
                <w:lang w:val="en-US"/>
              </w:rPr>
              <w:t xml:space="preserve">use in this population is already covered by the approved indication for weight management in people with a </w:t>
            </w:r>
            <w:r>
              <w:rPr>
                <w:rFonts w:cs="Arial"/>
                <w:szCs w:val="19"/>
                <w:lang w:val="en-US"/>
              </w:rPr>
              <w:t>body mass index</w:t>
            </w:r>
            <w:r w:rsidRPr="00D2550C">
              <w:rPr>
                <w:rFonts w:cs="Arial"/>
                <w:szCs w:val="19"/>
                <w:lang w:val="en-US"/>
              </w:rPr>
              <w:t xml:space="preserve"> </w:t>
            </w:r>
            <w:r>
              <w:rPr>
                <w:rFonts w:cs="Arial"/>
                <w:szCs w:val="19"/>
                <w:lang w:val="en-US"/>
              </w:rPr>
              <w:t>≥</w:t>
            </w:r>
            <w:r w:rsidRPr="00D2550C">
              <w:rPr>
                <w:rFonts w:cs="Arial"/>
                <w:szCs w:val="19"/>
                <w:lang w:val="en-US"/>
              </w:rPr>
              <w:t>27kg/m</w:t>
            </w:r>
            <w:r w:rsidRPr="00D2550C">
              <w:rPr>
                <w:rFonts w:cs="Arial"/>
                <w:szCs w:val="19"/>
                <w:vertAlign w:val="superscript"/>
                <w:lang w:val="en-US"/>
              </w:rPr>
              <w:t>2</w:t>
            </w:r>
          </w:p>
        </w:tc>
      </w:tr>
      <w:tr w:rsidR="00ED65E4" w:rsidRPr="000F19E1" w14:paraId="2AE5378A" w14:textId="77777777" w:rsidTr="009B4A35">
        <w:tc>
          <w:tcPr>
            <w:tcW w:w="1158" w:type="pct"/>
            <w:shd w:val="clear" w:color="auto" w:fill="auto"/>
            <w:tcMar>
              <w:top w:w="0" w:type="dxa"/>
              <w:bottom w:w="0" w:type="dxa"/>
            </w:tcMar>
          </w:tcPr>
          <w:p w14:paraId="018783AC" w14:textId="77777777" w:rsidR="00ED65E4" w:rsidRPr="000F19E1" w:rsidRDefault="00ED65E4" w:rsidP="00ED65E4">
            <w:pPr>
              <w:rPr>
                <w:rFonts w:cs="Arial"/>
                <w:bCs/>
                <w:sz w:val="8"/>
                <w:szCs w:val="8"/>
              </w:rPr>
            </w:pPr>
          </w:p>
        </w:tc>
        <w:tc>
          <w:tcPr>
            <w:tcW w:w="3842" w:type="pct"/>
            <w:gridSpan w:val="2"/>
            <w:shd w:val="clear" w:color="auto" w:fill="auto"/>
            <w:tcMar>
              <w:top w:w="0" w:type="dxa"/>
              <w:bottom w:w="0" w:type="dxa"/>
            </w:tcMar>
          </w:tcPr>
          <w:p w14:paraId="46D3154E" w14:textId="77777777" w:rsidR="00ED65E4" w:rsidRPr="000F19E1" w:rsidRDefault="00ED65E4" w:rsidP="00ED65E4">
            <w:pPr>
              <w:tabs>
                <w:tab w:val="center" w:pos="3152"/>
              </w:tabs>
              <w:rPr>
                <w:rFonts w:cs="Arial"/>
                <w:sz w:val="8"/>
                <w:szCs w:val="8"/>
                <w:lang w:val="en-US"/>
              </w:rPr>
            </w:pPr>
          </w:p>
        </w:tc>
      </w:tr>
      <w:tr w:rsidR="00ED65E4" w:rsidRPr="000F19E1" w14:paraId="70BE3634" w14:textId="77777777" w:rsidTr="00155BD9">
        <w:tc>
          <w:tcPr>
            <w:tcW w:w="1355" w:type="pct"/>
            <w:gridSpan w:val="2"/>
            <w:shd w:val="clear" w:color="auto" w:fill="DAEEF3"/>
            <w:tcMar>
              <w:top w:w="0" w:type="dxa"/>
              <w:bottom w:w="0" w:type="dxa"/>
            </w:tcMar>
          </w:tcPr>
          <w:p w14:paraId="36908525" w14:textId="77777777" w:rsidR="00ED65E4" w:rsidRPr="000F19E1" w:rsidRDefault="00ED65E4" w:rsidP="00ED65E4">
            <w:pPr>
              <w:rPr>
                <w:rFonts w:cs="Arial"/>
                <w:bCs/>
                <w:sz w:val="8"/>
                <w:szCs w:val="8"/>
              </w:rPr>
            </w:pPr>
          </w:p>
        </w:tc>
        <w:tc>
          <w:tcPr>
            <w:tcW w:w="3645" w:type="pct"/>
            <w:shd w:val="clear" w:color="auto" w:fill="DAEEF3"/>
            <w:tcMar>
              <w:top w:w="0" w:type="dxa"/>
              <w:bottom w:w="0" w:type="dxa"/>
            </w:tcMar>
          </w:tcPr>
          <w:p w14:paraId="6150B860" w14:textId="77777777" w:rsidR="00ED65E4" w:rsidRPr="000F19E1" w:rsidRDefault="00ED65E4" w:rsidP="00ED65E4">
            <w:pPr>
              <w:tabs>
                <w:tab w:val="center" w:pos="3152"/>
              </w:tabs>
              <w:rPr>
                <w:rFonts w:cs="Arial"/>
                <w:sz w:val="8"/>
                <w:szCs w:val="8"/>
                <w:lang w:val="en-US"/>
              </w:rPr>
            </w:pPr>
          </w:p>
        </w:tc>
      </w:tr>
    </w:tbl>
    <w:p w14:paraId="4C326858" w14:textId="77777777" w:rsidR="001A42CE" w:rsidRDefault="001A42CE">
      <w:pPr>
        <w:rPr>
          <w:sz w:val="18"/>
        </w:rPr>
      </w:pPr>
    </w:p>
    <w:p w14:paraId="415750EF" w14:textId="77777777" w:rsidR="00A75BCB" w:rsidRDefault="00A75BCB"/>
    <w:p w14:paraId="4DC8A9E1" w14:textId="77777777" w:rsidR="006825BB" w:rsidRPr="008949EF" w:rsidRDefault="006825BB" w:rsidP="003D16EF">
      <w:pPr>
        <w:rPr>
          <w:sz w:val="8"/>
          <w:szCs w:val="8"/>
        </w:rPr>
      </w:pPr>
    </w:p>
    <w:sectPr w:rsidR="006825BB" w:rsidRPr="008949EF" w:rsidSect="00F566AB">
      <w:headerReference w:type="even" r:id="rId18"/>
      <w:headerReference w:type="default" r:id="rId19"/>
      <w:footerReference w:type="default" r:id="rId20"/>
      <w:headerReference w:type="first" r:id="rId21"/>
      <w:type w:val="evenPage"/>
      <w:pgSz w:w="11906" w:h="16838" w:code="9"/>
      <w:pgMar w:top="1021" w:right="851" w:bottom="1021" w:left="85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76673" w14:textId="77777777" w:rsidR="00B778BE" w:rsidRDefault="00B778BE">
      <w:r>
        <w:separator/>
      </w:r>
    </w:p>
  </w:endnote>
  <w:endnote w:type="continuationSeparator" w:id="0">
    <w:p w14:paraId="5FD3F4B8" w14:textId="77777777" w:rsidR="00B778BE" w:rsidRDefault="00B778BE">
      <w:r>
        <w:continuationSeparator/>
      </w:r>
    </w:p>
  </w:endnote>
  <w:endnote w:type="continuationNotice" w:id="1">
    <w:p w14:paraId="3FFF1DA1" w14:textId="77777777" w:rsidR="00B778BE" w:rsidRDefault="00B77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0" w:type="dxa"/>
      <w:tblInd w:w="-303" w:type="dxa"/>
      <w:tblBorders>
        <w:top w:val="single" w:sz="4" w:space="0" w:color="000000"/>
        <w:left w:val="single" w:sz="4" w:space="0" w:color="000000"/>
        <w:bottom w:val="single" w:sz="4" w:space="0" w:color="000000"/>
        <w:right w:val="single" w:sz="4" w:space="0" w:color="000000"/>
        <w:insideH w:val="single" w:sz="4" w:space="0" w:color="000000"/>
      </w:tblBorders>
      <w:tblLook w:val="01E0" w:firstRow="1" w:lastRow="1" w:firstColumn="1" w:lastColumn="1" w:noHBand="0" w:noVBand="0"/>
    </w:tblPr>
    <w:tblGrid>
      <w:gridCol w:w="10980"/>
    </w:tblGrid>
    <w:tr w:rsidR="000D44DB" w:rsidRPr="00710A1C" w14:paraId="2C6688A1" w14:textId="77777777">
      <w:tc>
        <w:tcPr>
          <w:tcW w:w="10980" w:type="dxa"/>
          <w:shd w:val="clear" w:color="auto" w:fill="3366FF"/>
          <w:tcMar>
            <w:top w:w="28" w:type="dxa"/>
            <w:left w:w="57" w:type="dxa"/>
            <w:bottom w:w="28" w:type="dxa"/>
            <w:right w:w="57" w:type="dxa"/>
          </w:tcMar>
        </w:tcPr>
        <w:p w14:paraId="589A2411" w14:textId="77777777" w:rsidR="000D44DB" w:rsidRPr="00710A1C" w:rsidRDefault="000D44DB" w:rsidP="00710A1C">
          <w:pPr>
            <w:spacing w:before="60" w:after="60"/>
            <w:ind w:right="57"/>
            <w:rPr>
              <w:rFonts w:ascii="Verdana" w:hAnsi="Verdana" w:cs="Arial"/>
              <w:b/>
              <w:bCs/>
              <w:color w:val="000080"/>
              <w:sz w:val="15"/>
              <w:szCs w:val="15"/>
              <w:lang w:val="en-US"/>
            </w:rPr>
          </w:pPr>
          <w:r w:rsidRPr="00710A1C">
            <w:rPr>
              <w:rFonts w:ascii="Verdana" w:hAnsi="Verdana" w:cs="Arial"/>
              <w:b/>
              <w:bCs/>
              <w:color w:val="FFFFFF"/>
              <w:sz w:val="15"/>
              <w:szCs w:val="15"/>
              <w:lang w:val="en-US"/>
            </w:rPr>
            <w:t xml:space="preserve">If you do not wish to continue receiving NDO </w:t>
          </w:r>
          <w:r w:rsidRPr="00710A1C">
            <w:rPr>
              <w:rFonts w:ascii="Verdana" w:hAnsi="Verdana" w:cs="Arial"/>
              <w:b/>
              <w:bCs/>
              <w:i/>
              <w:color w:val="FFFFFF"/>
              <w:sz w:val="15"/>
              <w:szCs w:val="15"/>
              <w:lang w:val="en-US"/>
            </w:rPr>
            <w:t>Newsletter</w:t>
          </w:r>
          <w:r w:rsidRPr="00710A1C">
            <w:rPr>
              <w:rFonts w:ascii="Verdana" w:hAnsi="Verdana" w:cs="Arial"/>
              <w:b/>
              <w:bCs/>
              <w:color w:val="FFFFFF"/>
              <w:sz w:val="15"/>
              <w:szCs w:val="15"/>
              <w:lang w:val="en-US"/>
            </w:rPr>
            <w:t xml:space="preserve"> log in and update your profile at </w:t>
          </w:r>
          <w:hyperlink r:id="rId1" w:history="1">
            <w:r w:rsidRPr="00710A1C">
              <w:rPr>
                <w:rStyle w:val="Hyperlink"/>
                <w:rFonts w:cs="Arial"/>
                <w:b/>
                <w:bCs/>
                <w:color w:val="FFFFFF"/>
                <w:sz w:val="15"/>
                <w:szCs w:val="15"/>
                <w:lang w:val="en-US"/>
              </w:rPr>
              <w:t>www.ukmi.nhs.uk/ndo</w:t>
            </w:r>
          </w:hyperlink>
        </w:p>
      </w:tc>
    </w:tr>
    <w:tr w:rsidR="000D44DB" w14:paraId="76FDF6B1" w14:textId="77777777">
      <w:tc>
        <w:tcPr>
          <w:tcW w:w="10980" w:type="dxa"/>
          <w:shd w:val="clear" w:color="auto" w:fill="auto"/>
          <w:tcMar>
            <w:left w:w="28" w:type="dxa"/>
            <w:right w:w="28" w:type="dxa"/>
          </w:tcMar>
        </w:tcPr>
        <w:p w14:paraId="749443E7" w14:textId="77777777" w:rsidR="000D44DB" w:rsidRPr="00710A1C" w:rsidRDefault="000D44DB" w:rsidP="00710A1C">
          <w:pPr>
            <w:spacing w:before="120" w:after="60"/>
            <w:ind w:left="57" w:right="57"/>
            <w:rPr>
              <w:sz w:val="15"/>
              <w:szCs w:val="15"/>
            </w:rPr>
          </w:pPr>
          <w:r w:rsidRPr="00710A1C">
            <w:rPr>
              <w:rFonts w:ascii="Verdana" w:hAnsi="Verdana" w:cs="Arial"/>
              <w:b/>
              <w:bCs/>
              <w:color w:val="333399"/>
              <w:sz w:val="15"/>
              <w:szCs w:val="15"/>
              <w:lang w:val="en-US"/>
            </w:rPr>
            <w:t>In September 2011</w:t>
          </w:r>
          <w:r w:rsidRPr="00710A1C">
            <w:rPr>
              <w:rFonts w:ascii="Verdana" w:hAnsi="Verdana" w:cs="Arial"/>
              <w:bCs/>
              <w:color w:val="000000"/>
              <w:sz w:val="15"/>
              <w:szCs w:val="15"/>
              <w:lang w:val="en-US"/>
            </w:rPr>
            <w:t xml:space="preserve"> </w:t>
          </w:r>
          <w:r w:rsidRPr="00710A1C">
            <w:rPr>
              <w:rFonts w:ascii="Verdana" w:hAnsi="Verdana" w:cs="Arial"/>
              <w:b/>
              <w:bCs/>
              <w:color w:val="000000"/>
              <w:sz w:val="15"/>
              <w:szCs w:val="15"/>
              <w:lang w:val="en-US"/>
            </w:rPr>
            <w:t>| 229 monographs updated | 14 evidence-based evaluations added | 2,200 registered NDO users</w:t>
          </w:r>
        </w:p>
      </w:tc>
    </w:tr>
  </w:tbl>
  <w:p w14:paraId="07EDD539" w14:textId="77777777" w:rsidR="000D44DB" w:rsidRDefault="000D4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227" w:type="dxa"/>
      <w:tblLook w:val="01E0" w:firstRow="1" w:lastRow="1" w:firstColumn="1" w:lastColumn="1" w:noHBand="0" w:noVBand="0"/>
    </w:tblPr>
    <w:tblGrid>
      <w:gridCol w:w="10774"/>
    </w:tblGrid>
    <w:tr w:rsidR="001F4283" w:rsidRPr="00862949" w14:paraId="0820FAA6" w14:textId="77777777" w:rsidTr="001734BF">
      <w:trPr>
        <w:trHeight w:val="262"/>
      </w:trPr>
      <w:tc>
        <w:tcPr>
          <w:tcW w:w="10774" w:type="dxa"/>
          <w:shd w:val="clear" w:color="auto" w:fill="0070C0"/>
          <w:tcMar>
            <w:top w:w="28" w:type="dxa"/>
            <w:left w:w="57" w:type="dxa"/>
            <w:bottom w:w="28" w:type="dxa"/>
            <w:right w:w="57" w:type="dxa"/>
          </w:tcMar>
        </w:tcPr>
        <w:p w14:paraId="5275B155" w14:textId="77777777" w:rsidR="001F4283" w:rsidRPr="00114EBA" w:rsidRDefault="001F4283" w:rsidP="001F4283">
          <w:pPr>
            <w:spacing w:before="60" w:after="60"/>
            <w:ind w:right="57"/>
            <w:jc w:val="center"/>
            <w:rPr>
              <w:rFonts w:cs="Arial"/>
              <w:bCs/>
              <w:color w:val="F2F2F2"/>
              <w:sz w:val="17"/>
              <w:szCs w:val="17"/>
              <w:lang w:val="en-US"/>
            </w:rPr>
          </w:pPr>
          <w:r w:rsidRPr="00114EBA">
            <w:rPr>
              <w:rFonts w:cs="Arial"/>
              <w:b/>
              <w:bCs/>
              <w:color w:val="FFFFFF"/>
              <w:sz w:val="17"/>
              <w:szCs w:val="17"/>
              <w:lang w:val="en-US"/>
            </w:rPr>
            <w:t xml:space="preserve">This is </w:t>
          </w:r>
          <w:proofErr w:type="gramStart"/>
          <w:r w:rsidRPr="00114EBA">
            <w:rPr>
              <w:rFonts w:cs="Arial"/>
              <w:b/>
              <w:bCs/>
              <w:color w:val="FFFFFF"/>
              <w:sz w:val="17"/>
              <w:szCs w:val="17"/>
              <w:lang w:val="en-US"/>
            </w:rPr>
            <w:t>a</w:t>
          </w:r>
          <w:proofErr w:type="gramEnd"/>
          <w:r w:rsidRPr="00114EBA">
            <w:rPr>
              <w:rFonts w:cs="Arial"/>
              <w:b/>
              <w:bCs/>
              <w:color w:val="FFFFFF"/>
              <w:sz w:val="17"/>
              <w:szCs w:val="17"/>
              <w:lang w:val="en-US"/>
            </w:rPr>
            <w:t xml:space="preserve"> NHS document not to be used for commercial purposes</w:t>
          </w:r>
        </w:p>
      </w:tc>
    </w:tr>
    <w:tr w:rsidR="001F4283" w:rsidRPr="00862949" w14:paraId="72994C50" w14:textId="77777777" w:rsidTr="001734BF">
      <w:trPr>
        <w:trHeight w:val="331"/>
      </w:trPr>
      <w:tc>
        <w:tcPr>
          <w:tcW w:w="10774" w:type="dxa"/>
          <w:shd w:val="clear" w:color="auto" w:fill="DAEEF3"/>
          <w:tcMar>
            <w:left w:w="28" w:type="dxa"/>
            <w:right w:w="28" w:type="dxa"/>
          </w:tcMar>
        </w:tcPr>
        <w:p w14:paraId="743C73F0" w14:textId="77777777" w:rsidR="001F4283" w:rsidRDefault="001F4283" w:rsidP="001F4283">
          <w:pPr>
            <w:spacing w:before="60" w:after="60"/>
            <w:ind w:right="57"/>
            <w:rPr>
              <w:rFonts w:cs="Arial"/>
              <w:bCs/>
              <w:color w:val="000000"/>
              <w:sz w:val="17"/>
              <w:szCs w:val="17"/>
              <w:lang w:val="en-US"/>
            </w:rPr>
          </w:pPr>
          <w:r w:rsidRPr="00114EBA">
            <w:rPr>
              <w:rFonts w:cs="Arial"/>
              <w:bCs/>
              <w:color w:val="00B050"/>
              <w:sz w:val="17"/>
              <w:szCs w:val="17"/>
              <w:lang w:val="en-US"/>
            </w:rPr>
            <w:t>New Medicines</w:t>
          </w:r>
          <w:r w:rsidRPr="00114EBA">
            <w:rPr>
              <w:rFonts w:cs="Arial"/>
              <w:bCs/>
              <w:color w:val="F2F2F2"/>
              <w:sz w:val="17"/>
              <w:szCs w:val="17"/>
              <w:lang w:val="en-US"/>
            </w:rPr>
            <w:t xml:space="preserve"> </w:t>
          </w:r>
          <w:r w:rsidRPr="00114EBA">
            <w:rPr>
              <w:rStyle w:val="Hyperlink"/>
              <w:rFonts w:ascii="Arial" w:hAnsi="Arial"/>
              <w:i/>
              <w:color w:val="0070C0"/>
              <w:sz w:val="17"/>
              <w:szCs w:val="17"/>
              <w:u w:val="none"/>
            </w:rPr>
            <w:t>News</w:t>
          </w:r>
          <w:r w:rsidRPr="00114EBA">
            <w:rPr>
              <w:rFonts w:cs="Arial"/>
              <w:bCs/>
              <w:color w:val="F2F2F2"/>
              <w:sz w:val="17"/>
              <w:szCs w:val="17"/>
              <w:lang w:val="en-US"/>
            </w:rPr>
            <w:t xml:space="preserve"> </w:t>
          </w:r>
          <w:r w:rsidRPr="00114EBA">
            <w:rPr>
              <w:rFonts w:cs="Arial"/>
              <w:bCs/>
              <w:color w:val="000000"/>
              <w:sz w:val="17"/>
              <w:szCs w:val="17"/>
              <w:lang w:val="en-US"/>
            </w:rPr>
            <w:t xml:space="preserve">is one of several horizon scanning resources produced by </w:t>
          </w:r>
          <w:r>
            <w:rPr>
              <w:rFonts w:cs="Arial"/>
              <w:bCs/>
              <w:color w:val="000000"/>
              <w:sz w:val="17"/>
              <w:szCs w:val="17"/>
              <w:lang w:val="en-US"/>
            </w:rPr>
            <w:t>the Specialist Pharmacy Service</w:t>
          </w:r>
          <w:r w:rsidRPr="00114EBA">
            <w:rPr>
              <w:rFonts w:cs="Arial"/>
              <w:bCs/>
              <w:color w:val="000000"/>
              <w:sz w:val="17"/>
              <w:szCs w:val="17"/>
              <w:lang w:val="en-US"/>
            </w:rPr>
            <w:t xml:space="preserve"> to support managed introduction of new medicines into the NHS,</w:t>
          </w:r>
          <w:r w:rsidRPr="00114EBA">
            <w:rPr>
              <w:color w:val="000000"/>
              <w:sz w:val="17"/>
              <w:szCs w:val="17"/>
            </w:rPr>
            <w:t xml:space="preserve"> </w:t>
          </w:r>
          <w:r w:rsidRPr="00114EBA">
            <w:rPr>
              <w:rFonts w:cs="Arial"/>
              <w:bCs/>
              <w:color w:val="000000"/>
              <w:sz w:val="17"/>
              <w:szCs w:val="17"/>
              <w:lang w:val="en-US"/>
            </w:rPr>
            <w:t xml:space="preserve">to help </w:t>
          </w:r>
          <w:proofErr w:type="spellStart"/>
          <w:r w:rsidRPr="00114EBA">
            <w:rPr>
              <w:rFonts w:cs="Arial"/>
              <w:bCs/>
              <w:color w:val="000000"/>
              <w:sz w:val="17"/>
              <w:szCs w:val="17"/>
              <w:lang w:val="en-US"/>
            </w:rPr>
            <w:t>organisations</w:t>
          </w:r>
          <w:proofErr w:type="spellEnd"/>
          <w:r w:rsidRPr="00114EBA">
            <w:rPr>
              <w:rFonts w:cs="Arial"/>
              <w:bCs/>
              <w:color w:val="000000"/>
              <w:sz w:val="17"/>
              <w:szCs w:val="17"/>
              <w:lang w:val="en-US"/>
            </w:rPr>
            <w:t xml:space="preserve"> develop medicines management policies and to inform prescribing decisions when a product has been launched. </w:t>
          </w:r>
        </w:p>
        <w:p w14:paraId="4E38C2E3" w14:textId="77777777" w:rsidR="001F4283" w:rsidRPr="00114EBA" w:rsidRDefault="001F4283" w:rsidP="001F4283">
          <w:pPr>
            <w:spacing w:before="60" w:after="60"/>
            <w:ind w:right="57"/>
            <w:jc w:val="right"/>
            <w:rPr>
              <w:rFonts w:cs="Arial"/>
              <w:bCs/>
              <w:color w:val="000000"/>
              <w:sz w:val="17"/>
              <w:szCs w:val="17"/>
              <w:lang w:val="en-US"/>
            </w:rPr>
          </w:pPr>
          <w:r w:rsidRPr="00114EBA">
            <w:rPr>
              <w:rFonts w:cs="Arial"/>
              <w:bCs/>
              <w:color w:val="000000"/>
              <w:sz w:val="17"/>
              <w:szCs w:val="17"/>
              <w:lang w:val="en-US"/>
            </w:rPr>
            <w:t>For more information</w:t>
          </w:r>
          <w:r>
            <w:rPr>
              <w:rFonts w:cs="Arial"/>
              <w:bCs/>
              <w:color w:val="000000"/>
              <w:sz w:val="17"/>
              <w:szCs w:val="17"/>
              <w:lang w:val="en-US"/>
            </w:rPr>
            <w:t xml:space="preserve"> or </w:t>
          </w:r>
          <w:r w:rsidRPr="00114EBA">
            <w:rPr>
              <w:rFonts w:cs="Arial"/>
              <w:bCs/>
              <w:color w:val="000000"/>
              <w:sz w:val="17"/>
              <w:szCs w:val="17"/>
              <w:lang w:val="en-US"/>
            </w:rPr>
            <w:t>if you have a question about this newsletter, contact</w:t>
          </w:r>
          <w:r>
            <w:rPr>
              <w:rFonts w:cs="Arial"/>
              <w:bCs/>
              <w:color w:val="000000"/>
              <w:sz w:val="17"/>
              <w:szCs w:val="17"/>
              <w:lang w:val="en-US"/>
            </w:rPr>
            <w:t xml:space="preserve"> </w:t>
          </w:r>
          <w:hyperlink r:id="rId1" w:history="1">
            <w:r w:rsidRPr="00114EBA">
              <w:rPr>
                <w:rStyle w:val="Hyperlink"/>
                <w:rFonts w:ascii="Arial" w:hAnsi="Arial" w:cs="Arial"/>
                <w:bCs/>
                <w:sz w:val="17"/>
                <w:szCs w:val="17"/>
                <w:lang w:val="en-US"/>
              </w:rPr>
              <w:t>nwmedinfo@nhs.net</w:t>
            </w:r>
          </w:hyperlink>
          <w:r w:rsidRPr="00114EBA">
            <w:rPr>
              <w:rFonts w:cs="Arial"/>
              <w:bCs/>
              <w:color w:val="000000"/>
              <w:sz w:val="17"/>
              <w:szCs w:val="17"/>
              <w:lang w:val="en-US"/>
            </w:rPr>
            <w:t>.</w:t>
          </w:r>
        </w:p>
      </w:tc>
    </w:tr>
  </w:tbl>
  <w:p w14:paraId="7E118EB2" w14:textId="77777777" w:rsidR="000D44DB" w:rsidRDefault="000D4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227" w:type="dxa"/>
      <w:tblLook w:val="01E0" w:firstRow="1" w:lastRow="1" w:firstColumn="1" w:lastColumn="1" w:noHBand="0" w:noVBand="0"/>
    </w:tblPr>
    <w:tblGrid>
      <w:gridCol w:w="10774"/>
    </w:tblGrid>
    <w:tr w:rsidR="001F4283" w:rsidRPr="00862949" w14:paraId="6AFEA0A4" w14:textId="77777777" w:rsidTr="001734BF">
      <w:trPr>
        <w:trHeight w:val="262"/>
      </w:trPr>
      <w:tc>
        <w:tcPr>
          <w:tcW w:w="10774" w:type="dxa"/>
          <w:shd w:val="clear" w:color="auto" w:fill="0070C0"/>
          <w:tcMar>
            <w:top w:w="28" w:type="dxa"/>
            <w:left w:w="57" w:type="dxa"/>
            <w:bottom w:w="28" w:type="dxa"/>
            <w:right w:w="57" w:type="dxa"/>
          </w:tcMar>
        </w:tcPr>
        <w:p w14:paraId="2DFD56FB" w14:textId="77777777" w:rsidR="001F4283" w:rsidRPr="00114EBA" w:rsidRDefault="001F4283" w:rsidP="001F4283">
          <w:pPr>
            <w:spacing w:before="60" w:after="60"/>
            <w:ind w:right="57"/>
            <w:jc w:val="center"/>
            <w:rPr>
              <w:rFonts w:cs="Arial"/>
              <w:bCs/>
              <w:color w:val="F2F2F2"/>
              <w:sz w:val="17"/>
              <w:szCs w:val="17"/>
              <w:lang w:val="en-US"/>
            </w:rPr>
          </w:pPr>
          <w:r w:rsidRPr="00114EBA">
            <w:rPr>
              <w:rFonts w:cs="Arial"/>
              <w:b/>
              <w:bCs/>
              <w:color w:val="FFFFFF"/>
              <w:sz w:val="17"/>
              <w:szCs w:val="17"/>
              <w:lang w:val="en-US"/>
            </w:rPr>
            <w:t xml:space="preserve">This is </w:t>
          </w:r>
          <w:proofErr w:type="gramStart"/>
          <w:r w:rsidRPr="00114EBA">
            <w:rPr>
              <w:rFonts w:cs="Arial"/>
              <w:b/>
              <w:bCs/>
              <w:color w:val="FFFFFF"/>
              <w:sz w:val="17"/>
              <w:szCs w:val="17"/>
              <w:lang w:val="en-US"/>
            </w:rPr>
            <w:t>a</w:t>
          </w:r>
          <w:proofErr w:type="gramEnd"/>
          <w:r w:rsidRPr="00114EBA">
            <w:rPr>
              <w:rFonts w:cs="Arial"/>
              <w:b/>
              <w:bCs/>
              <w:color w:val="FFFFFF"/>
              <w:sz w:val="17"/>
              <w:szCs w:val="17"/>
              <w:lang w:val="en-US"/>
            </w:rPr>
            <w:t xml:space="preserve"> NHS document not to be used for commercial purposes</w:t>
          </w:r>
        </w:p>
      </w:tc>
    </w:tr>
    <w:tr w:rsidR="001F4283" w:rsidRPr="00862949" w14:paraId="04AA2BB9" w14:textId="77777777" w:rsidTr="001734BF">
      <w:trPr>
        <w:trHeight w:val="331"/>
      </w:trPr>
      <w:tc>
        <w:tcPr>
          <w:tcW w:w="10774" w:type="dxa"/>
          <w:shd w:val="clear" w:color="auto" w:fill="DAEEF3"/>
          <w:tcMar>
            <w:left w:w="28" w:type="dxa"/>
            <w:right w:w="28" w:type="dxa"/>
          </w:tcMar>
        </w:tcPr>
        <w:p w14:paraId="4565A788" w14:textId="77777777" w:rsidR="001F4283" w:rsidRDefault="001F4283" w:rsidP="001F4283">
          <w:pPr>
            <w:spacing w:before="60" w:after="60"/>
            <w:ind w:right="57"/>
            <w:rPr>
              <w:rFonts w:cs="Arial"/>
              <w:bCs/>
              <w:color w:val="000000"/>
              <w:sz w:val="17"/>
              <w:szCs w:val="17"/>
              <w:lang w:val="en-US"/>
            </w:rPr>
          </w:pPr>
          <w:r w:rsidRPr="00114EBA">
            <w:rPr>
              <w:rFonts w:cs="Arial"/>
              <w:bCs/>
              <w:color w:val="00B050"/>
              <w:sz w:val="17"/>
              <w:szCs w:val="17"/>
              <w:lang w:val="en-US"/>
            </w:rPr>
            <w:t>New Medicines</w:t>
          </w:r>
          <w:r w:rsidRPr="00114EBA">
            <w:rPr>
              <w:rFonts w:cs="Arial"/>
              <w:bCs/>
              <w:color w:val="F2F2F2"/>
              <w:sz w:val="17"/>
              <w:szCs w:val="17"/>
              <w:lang w:val="en-US"/>
            </w:rPr>
            <w:t xml:space="preserve"> </w:t>
          </w:r>
          <w:r w:rsidRPr="00114EBA">
            <w:rPr>
              <w:rStyle w:val="Hyperlink"/>
              <w:rFonts w:ascii="Arial" w:hAnsi="Arial"/>
              <w:i/>
              <w:color w:val="0070C0"/>
              <w:sz w:val="17"/>
              <w:szCs w:val="17"/>
              <w:u w:val="none"/>
            </w:rPr>
            <w:t>News</w:t>
          </w:r>
          <w:r w:rsidRPr="00114EBA">
            <w:rPr>
              <w:rFonts w:cs="Arial"/>
              <w:bCs/>
              <w:color w:val="F2F2F2"/>
              <w:sz w:val="17"/>
              <w:szCs w:val="17"/>
              <w:lang w:val="en-US"/>
            </w:rPr>
            <w:t xml:space="preserve"> </w:t>
          </w:r>
          <w:r w:rsidRPr="00114EBA">
            <w:rPr>
              <w:rFonts w:cs="Arial"/>
              <w:bCs/>
              <w:color w:val="000000"/>
              <w:sz w:val="17"/>
              <w:szCs w:val="17"/>
              <w:lang w:val="en-US"/>
            </w:rPr>
            <w:t xml:space="preserve">is one of several horizon scanning resources produced by </w:t>
          </w:r>
          <w:r>
            <w:rPr>
              <w:rFonts w:cs="Arial"/>
              <w:bCs/>
              <w:color w:val="000000"/>
              <w:sz w:val="17"/>
              <w:szCs w:val="17"/>
              <w:lang w:val="en-US"/>
            </w:rPr>
            <w:t>the Specialist Pharmacy Service</w:t>
          </w:r>
          <w:r w:rsidRPr="00114EBA">
            <w:rPr>
              <w:rFonts w:cs="Arial"/>
              <w:bCs/>
              <w:color w:val="000000"/>
              <w:sz w:val="17"/>
              <w:szCs w:val="17"/>
              <w:lang w:val="en-US"/>
            </w:rPr>
            <w:t xml:space="preserve"> to support managed introduction of new medicines into the NHS,</w:t>
          </w:r>
          <w:r w:rsidRPr="00114EBA">
            <w:rPr>
              <w:color w:val="000000"/>
              <w:sz w:val="17"/>
              <w:szCs w:val="17"/>
            </w:rPr>
            <w:t xml:space="preserve"> </w:t>
          </w:r>
          <w:r w:rsidRPr="00114EBA">
            <w:rPr>
              <w:rFonts w:cs="Arial"/>
              <w:bCs/>
              <w:color w:val="000000"/>
              <w:sz w:val="17"/>
              <w:szCs w:val="17"/>
              <w:lang w:val="en-US"/>
            </w:rPr>
            <w:t xml:space="preserve">to help </w:t>
          </w:r>
          <w:proofErr w:type="spellStart"/>
          <w:r w:rsidRPr="00114EBA">
            <w:rPr>
              <w:rFonts w:cs="Arial"/>
              <w:bCs/>
              <w:color w:val="000000"/>
              <w:sz w:val="17"/>
              <w:szCs w:val="17"/>
              <w:lang w:val="en-US"/>
            </w:rPr>
            <w:t>organisations</w:t>
          </w:r>
          <w:proofErr w:type="spellEnd"/>
          <w:r w:rsidRPr="00114EBA">
            <w:rPr>
              <w:rFonts w:cs="Arial"/>
              <w:bCs/>
              <w:color w:val="000000"/>
              <w:sz w:val="17"/>
              <w:szCs w:val="17"/>
              <w:lang w:val="en-US"/>
            </w:rPr>
            <w:t xml:space="preserve"> develop medicines management policies and to inform prescribing decisions when a product has been launched. </w:t>
          </w:r>
        </w:p>
        <w:p w14:paraId="67D8D682" w14:textId="77777777" w:rsidR="001F4283" w:rsidRPr="00114EBA" w:rsidRDefault="001F4283" w:rsidP="001F4283">
          <w:pPr>
            <w:spacing w:before="60" w:after="60"/>
            <w:ind w:right="57"/>
            <w:jc w:val="right"/>
            <w:rPr>
              <w:rFonts w:cs="Arial"/>
              <w:bCs/>
              <w:color w:val="000000"/>
              <w:sz w:val="17"/>
              <w:szCs w:val="17"/>
              <w:lang w:val="en-US"/>
            </w:rPr>
          </w:pPr>
          <w:r w:rsidRPr="00114EBA">
            <w:rPr>
              <w:rFonts w:cs="Arial"/>
              <w:bCs/>
              <w:color w:val="000000"/>
              <w:sz w:val="17"/>
              <w:szCs w:val="17"/>
              <w:lang w:val="en-US"/>
            </w:rPr>
            <w:t>For more information</w:t>
          </w:r>
          <w:r>
            <w:rPr>
              <w:rFonts w:cs="Arial"/>
              <w:bCs/>
              <w:color w:val="000000"/>
              <w:sz w:val="17"/>
              <w:szCs w:val="17"/>
              <w:lang w:val="en-US"/>
            </w:rPr>
            <w:t xml:space="preserve"> or </w:t>
          </w:r>
          <w:r w:rsidRPr="00114EBA">
            <w:rPr>
              <w:rFonts w:cs="Arial"/>
              <w:bCs/>
              <w:color w:val="000000"/>
              <w:sz w:val="17"/>
              <w:szCs w:val="17"/>
              <w:lang w:val="en-US"/>
            </w:rPr>
            <w:t>if you have a question about this newsletter, contact</w:t>
          </w:r>
          <w:r>
            <w:rPr>
              <w:rFonts w:cs="Arial"/>
              <w:bCs/>
              <w:color w:val="000000"/>
              <w:sz w:val="17"/>
              <w:szCs w:val="17"/>
              <w:lang w:val="en-US"/>
            </w:rPr>
            <w:t xml:space="preserve"> </w:t>
          </w:r>
          <w:hyperlink r:id="rId1" w:history="1">
            <w:r w:rsidRPr="00114EBA">
              <w:rPr>
                <w:rStyle w:val="Hyperlink"/>
                <w:rFonts w:ascii="Arial" w:hAnsi="Arial" w:cs="Arial"/>
                <w:bCs/>
                <w:sz w:val="17"/>
                <w:szCs w:val="17"/>
                <w:lang w:val="en-US"/>
              </w:rPr>
              <w:t>nwmedinfo@nhs.net</w:t>
            </w:r>
          </w:hyperlink>
          <w:r w:rsidRPr="00114EBA">
            <w:rPr>
              <w:rFonts w:cs="Arial"/>
              <w:bCs/>
              <w:color w:val="000000"/>
              <w:sz w:val="17"/>
              <w:szCs w:val="17"/>
              <w:lang w:val="en-US"/>
            </w:rPr>
            <w:t>.</w:t>
          </w:r>
        </w:p>
      </w:tc>
    </w:tr>
  </w:tbl>
  <w:p w14:paraId="0F5BFA4D" w14:textId="77777777" w:rsidR="000D44DB" w:rsidRPr="00862949" w:rsidRDefault="000D44DB" w:rsidP="00F95449">
    <w:pPr>
      <w:spacing w:before="60" w:after="60"/>
      <w:ind w:left="57" w:right="57"/>
      <w:jc w:val="center"/>
      <w:rPr>
        <w:rFonts w:cs="Arial"/>
        <w:bCs/>
        <w:color w:val="333399"/>
        <w:sz w:val="8"/>
        <w:szCs w:val="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FFBF3" w14:textId="77777777" w:rsidR="00B778BE" w:rsidRDefault="00B778BE">
      <w:r>
        <w:separator/>
      </w:r>
    </w:p>
  </w:footnote>
  <w:footnote w:type="continuationSeparator" w:id="0">
    <w:p w14:paraId="20A0F581" w14:textId="77777777" w:rsidR="00B778BE" w:rsidRDefault="00B778BE">
      <w:r>
        <w:continuationSeparator/>
      </w:r>
    </w:p>
  </w:footnote>
  <w:footnote w:type="continuationNotice" w:id="1">
    <w:p w14:paraId="79D70A9B" w14:textId="77777777" w:rsidR="00B778BE" w:rsidRDefault="00B778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7E915" w14:textId="6DFD1797" w:rsidR="000D44DB" w:rsidRPr="00CD021E" w:rsidRDefault="00CD021E" w:rsidP="009A09B7">
    <w:pPr>
      <w:pStyle w:val="Header"/>
      <w:rPr>
        <w:rFonts w:ascii="Verdana" w:hAnsi="Verdana" w:cs="Arial"/>
        <w:b/>
        <w:bCs/>
        <w:i/>
        <w:color w:val="33CCCC"/>
        <w:sz w:val="52"/>
        <w:szCs w:val="52"/>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8242" behindDoc="1" locked="0" layoutInCell="1" allowOverlap="1" wp14:anchorId="706B3880" wp14:editId="5C636DAD">
          <wp:simplePos x="0" y="0"/>
          <wp:positionH relativeFrom="column">
            <wp:posOffset>5715000</wp:posOffset>
          </wp:positionH>
          <wp:positionV relativeFrom="paragraph">
            <wp:posOffset>10795</wp:posOffset>
          </wp:positionV>
          <wp:extent cx="816610" cy="463550"/>
          <wp:effectExtent l="0" t="0" r="2540" b="0"/>
          <wp:wrapTight wrapText="bothSides">
            <wp:wrapPolygon edited="0">
              <wp:start x="0" y="0"/>
              <wp:lineTo x="0" y="20416"/>
              <wp:lineTo x="21163" y="20416"/>
              <wp:lineTo x="21163" y="0"/>
              <wp:lineTo x="0" y="0"/>
            </wp:wrapPolygon>
          </wp:wrapTight>
          <wp:docPr id="18" name="Picture 18" descr="UKMi logo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KMi logo 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61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6D736454" wp14:editId="7EDCEC96">
          <wp:simplePos x="0" y="0"/>
          <wp:positionH relativeFrom="column">
            <wp:posOffset>5193665</wp:posOffset>
          </wp:positionH>
          <wp:positionV relativeFrom="paragraph">
            <wp:posOffset>116205</wp:posOffset>
          </wp:positionV>
          <wp:extent cx="533400" cy="219075"/>
          <wp:effectExtent l="0" t="0" r="0" b="9525"/>
          <wp:wrapTight wrapText="bothSides">
            <wp:wrapPolygon edited="0">
              <wp:start x="0" y="0"/>
              <wp:lineTo x="0" y="20661"/>
              <wp:lineTo x="20829" y="20661"/>
              <wp:lineTo x="20829" y="0"/>
              <wp:lineTo x="0" y="0"/>
            </wp:wrapPolygon>
          </wp:wrapTight>
          <wp:docPr id="19" name="Picture 19" descr="NH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S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C6D4347" wp14:editId="06BB06B0">
          <wp:extent cx="1075055" cy="467995"/>
          <wp:effectExtent l="0" t="0" r="0" b="8255"/>
          <wp:docPr id="20" name="Picture 20" descr="N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O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5055" cy="467995"/>
                  </a:xfrm>
                  <a:prstGeom prst="rect">
                    <a:avLst/>
                  </a:prstGeom>
                  <a:noFill/>
                  <a:ln>
                    <a:noFill/>
                  </a:ln>
                </pic:spPr>
              </pic:pic>
            </a:graphicData>
          </a:graphic>
        </wp:inline>
      </w:drawing>
    </w:r>
    <w:r w:rsidR="000D44DB" w:rsidRPr="00CD021E">
      <w:rPr>
        <w:rFonts w:ascii="Verdana" w:hAnsi="Verdana" w:cs="Arial"/>
        <w:b/>
        <w:bCs/>
        <w:i/>
        <w:color w:val="33CCCC"/>
        <w:sz w:val="44"/>
        <w:szCs w:val="44"/>
        <w14:shadow w14:blurRad="50800" w14:dist="38100" w14:dir="2700000" w14:sx="100000" w14:sy="100000" w14:kx="0" w14:ky="0" w14:algn="tl">
          <w14:srgbClr w14:val="000000">
            <w14:alpha w14:val="60000"/>
          </w14:srgbClr>
        </w14:shadow>
      </w:rPr>
      <w:t>Newsletter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37C38" w14:textId="217EE223" w:rsidR="000D44DB" w:rsidRPr="00CD021E" w:rsidRDefault="00A75BCB" w:rsidP="00BA65A9">
    <w:pPr>
      <w:pStyle w:val="Header"/>
      <w:ind w:left="-142"/>
      <w:rPr>
        <w:rFonts w:cs="Arial"/>
        <w:b/>
        <w:bCs/>
        <w:color w:val="244061"/>
        <w:sz w:val="32"/>
        <w:szCs w:val="32"/>
        <w14:shadow w14:blurRad="50800" w14:dist="38100" w14:dir="2700000" w14:sx="100000" w14:sy="100000" w14:kx="0" w14:ky="0" w14:algn="tl">
          <w14:srgbClr w14:val="000000">
            <w14:alpha w14:val="60000"/>
          </w14:srgbClr>
        </w14:shadow>
      </w:rPr>
    </w:pPr>
    <w:r>
      <w:rPr>
        <w:noProof/>
        <w:color w:val="00B050"/>
        <w:sz w:val="32"/>
        <w:szCs w:val="32"/>
      </w:rPr>
      <w:drawing>
        <wp:anchor distT="0" distB="0" distL="114300" distR="114300" simplePos="0" relativeHeight="251658240" behindDoc="0" locked="0" layoutInCell="1" allowOverlap="1" wp14:anchorId="4FFC4635" wp14:editId="1C1E48E8">
          <wp:simplePos x="0" y="0"/>
          <wp:positionH relativeFrom="column">
            <wp:posOffset>6073775</wp:posOffset>
          </wp:positionH>
          <wp:positionV relativeFrom="paragraph">
            <wp:posOffset>-21590</wp:posOffset>
          </wp:positionV>
          <wp:extent cx="521335" cy="213995"/>
          <wp:effectExtent l="0" t="0" r="0" b="0"/>
          <wp:wrapNone/>
          <wp:docPr id="21" name="Picture 21" descr="NH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33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E168D4" w14:textId="77777777" w:rsidR="000D44DB" w:rsidRPr="00CD021E" w:rsidRDefault="00CD021E" w:rsidP="00C3217F">
    <w:pPr>
      <w:pStyle w:val="Header"/>
      <w:tabs>
        <w:tab w:val="clear" w:pos="8306"/>
        <w:tab w:val="left" w:pos="7830"/>
      </w:tabs>
      <w:ind w:left="-255" w:hanging="142"/>
      <w:rPr>
        <w:rFonts w:cs="Arial"/>
        <w:b/>
        <w:bCs/>
        <w:i/>
        <w:color w:val="244061"/>
        <w:sz w:val="72"/>
        <w:szCs w:val="72"/>
        <w14:shadow w14:blurRad="50800" w14:dist="38100" w14:dir="2700000" w14:sx="100000" w14:sy="100000" w14:kx="0" w14:ky="0" w14:algn="tl">
          <w14:srgbClr w14:val="000000">
            <w14:alpha w14:val="60000"/>
          </w14:srgbClr>
        </w14:shadow>
      </w:rPr>
    </w:pPr>
    <w:r>
      <w:rPr>
        <w:rFonts w:cs="Arial"/>
        <w:b/>
        <w:bCs/>
        <w:noProof/>
        <w:color w:val="00B050"/>
        <w:sz w:val="72"/>
        <w:szCs w:val="72"/>
      </w:rPr>
      <w:drawing>
        <wp:anchor distT="0" distB="0" distL="114300" distR="114300" simplePos="0" relativeHeight="251658245" behindDoc="1" locked="0" layoutInCell="1" allowOverlap="1" wp14:anchorId="2EA75FA6" wp14:editId="660D33DA">
          <wp:simplePos x="0" y="0"/>
          <wp:positionH relativeFrom="column">
            <wp:posOffset>-360045</wp:posOffset>
          </wp:positionH>
          <wp:positionV relativeFrom="paragraph">
            <wp:posOffset>34925</wp:posOffset>
          </wp:positionV>
          <wp:extent cx="1051560" cy="448945"/>
          <wp:effectExtent l="0" t="0" r="0" b="8255"/>
          <wp:wrapNone/>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1560" cy="448945"/>
                  </a:xfrm>
                  <a:prstGeom prst="rect">
                    <a:avLst/>
                  </a:prstGeom>
                  <a:noFill/>
                </pic:spPr>
              </pic:pic>
            </a:graphicData>
          </a:graphic>
          <wp14:sizeRelH relativeFrom="page">
            <wp14:pctWidth>0</wp14:pctWidth>
          </wp14:sizeRelH>
          <wp14:sizeRelV relativeFrom="page">
            <wp14:pctHeight>0</wp14:pctHeight>
          </wp14:sizeRelV>
        </wp:anchor>
      </w:drawing>
    </w:r>
    <w:r w:rsidR="000D44DB" w:rsidRPr="00CD021E">
      <w:rPr>
        <w:rFonts w:cs="Arial"/>
        <w:b/>
        <w:bCs/>
        <w:color w:val="00B050"/>
        <w:sz w:val="72"/>
        <w:szCs w:val="72"/>
        <w14:shadow w14:blurRad="50800" w14:dist="38100" w14:dir="2700000" w14:sx="100000" w14:sy="100000" w14:kx="0" w14:ky="0" w14:algn="tl">
          <w14:srgbClr w14:val="000000">
            <w14:alpha w14:val="60000"/>
          </w14:srgbClr>
        </w14:shadow>
      </w:rPr>
      <w:tab/>
    </w:r>
    <w:r w:rsidR="000D44DB" w:rsidRPr="00CD021E">
      <w:rPr>
        <w:rFonts w:cs="Arial"/>
        <w:b/>
        <w:bCs/>
        <w:color w:val="00B050"/>
        <w:sz w:val="72"/>
        <w:szCs w:val="72"/>
        <w14:shadow w14:blurRad="50800" w14:dist="38100" w14:dir="2700000" w14:sx="100000" w14:sy="100000" w14:kx="0" w14:ky="0" w14:algn="tl">
          <w14:srgbClr w14:val="000000">
            <w14:alpha w14:val="60000"/>
          </w14:srgbClr>
        </w14:shadow>
      </w:rPr>
      <w:tab/>
      <w:t xml:space="preserve">      New Medicines</w:t>
    </w:r>
    <w:r w:rsidR="000D44DB" w:rsidRPr="00CD021E">
      <w:rPr>
        <w:rFonts w:cs="Arial"/>
        <w:b/>
        <w:bCs/>
        <w:i/>
        <w:color w:val="244061"/>
        <w:sz w:val="72"/>
        <w:szCs w:val="72"/>
        <w14:shadow w14:blurRad="50800" w14:dist="38100" w14:dir="2700000" w14:sx="100000" w14:sy="100000" w14:kx="0" w14:ky="0" w14:algn="tl">
          <w14:srgbClr w14:val="000000">
            <w14:alpha w14:val="60000"/>
          </w14:srgbClr>
        </w14:shadow>
      </w:rPr>
      <w:t xml:space="preserve"> </w:t>
    </w:r>
    <w:r w:rsidR="000D44DB" w:rsidRPr="00CD021E">
      <w:rPr>
        <w:rFonts w:cs="Arial"/>
        <w:b/>
        <w:bCs/>
        <w:i/>
        <w:color w:val="0070C0"/>
        <w:sz w:val="72"/>
        <w:szCs w:val="72"/>
        <w14:shadow w14:blurRad="50800" w14:dist="38100" w14:dir="2700000" w14:sx="100000" w14:sy="100000" w14:kx="0" w14:ky="0" w14:algn="tl">
          <w14:srgbClr w14:val="000000">
            <w14:alpha w14:val="60000"/>
          </w14:srgbClr>
        </w14:shadow>
      </w:rPr>
      <w:t>News</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0D44DB" w:rsidRPr="00CD021E" w14:paraId="210CAC0F" w14:textId="77777777" w:rsidTr="002772ED">
      <w:tc>
        <w:tcPr>
          <w:tcW w:w="10774" w:type="dxa"/>
          <w:tcBorders>
            <w:top w:val="nil"/>
            <w:left w:val="nil"/>
            <w:bottom w:val="nil"/>
            <w:right w:val="nil"/>
          </w:tcBorders>
          <w:shd w:val="clear" w:color="auto" w:fill="DAEEF3"/>
        </w:tcPr>
        <w:p w14:paraId="467F69DA" w14:textId="23F4A814" w:rsidR="000D44DB" w:rsidRPr="00CD021E" w:rsidRDefault="008E2E88" w:rsidP="00EB3E6F">
          <w:pPr>
            <w:pStyle w:val="Header"/>
            <w:spacing w:before="60" w:after="60"/>
            <w:rPr>
              <w:rFonts w:cs="Arial"/>
              <w:b/>
              <w:bCs/>
              <w:color w:val="000000"/>
              <w:sz w:val="36"/>
              <w:szCs w:val="36"/>
              <w14:shadow w14:blurRad="50800" w14:dist="38100" w14:dir="2700000" w14:sx="100000" w14:sy="100000" w14:kx="0" w14:ky="0" w14:algn="tl">
                <w14:srgbClr w14:val="000000">
                  <w14:alpha w14:val="60000"/>
                </w14:srgbClr>
              </w14:shadow>
            </w:rPr>
          </w:pPr>
          <w:r>
            <w:rPr>
              <w:rFonts w:cs="Arial"/>
              <w:b/>
              <w:bCs/>
              <w:color w:val="0070C0"/>
              <w:sz w:val="36"/>
              <w:szCs w:val="36"/>
              <w14:shadow w14:blurRad="50800" w14:dist="38100" w14:dir="2700000" w14:sx="100000" w14:sy="100000" w14:kx="0" w14:ky="0" w14:algn="tl">
                <w14:srgbClr w14:val="000000">
                  <w14:alpha w14:val="60000"/>
                </w14:srgbClr>
              </w14:shadow>
            </w:rPr>
            <w:t>December</w:t>
          </w:r>
          <w:r w:rsidR="00A75BCB">
            <w:rPr>
              <w:rFonts w:cs="Arial"/>
              <w:b/>
              <w:bCs/>
              <w:color w:val="0070C0"/>
              <w:sz w:val="36"/>
              <w:szCs w:val="36"/>
              <w14:shadow w14:blurRad="50800" w14:dist="38100" w14:dir="2700000" w14:sx="100000" w14:sy="100000" w14:kx="0" w14:ky="0" w14:algn="tl">
                <w14:srgbClr w14:val="000000">
                  <w14:alpha w14:val="60000"/>
                </w14:srgbClr>
              </w14:shadow>
            </w:rPr>
            <w:t xml:space="preserve"> 202</w:t>
          </w:r>
          <w:r w:rsidR="001D7529">
            <w:rPr>
              <w:rFonts w:cs="Arial"/>
              <w:b/>
              <w:bCs/>
              <w:color w:val="0070C0"/>
              <w:sz w:val="36"/>
              <w:szCs w:val="36"/>
              <w14:shadow w14:blurRad="50800" w14:dist="38100" w14:dir="2700000" w14:sx="100000" w14:sy="100000" w14:kx="0" w14:ky="0" w14:algn="tl">
                <w14:srgbClr w14:val="000000">
                  <w14:alpha w14:val="60000"/>
                </w14:srgbClr>
              </w14:shadow>
            </w:rPr>
            <w:t>4</w:t>
          </w:r>
        </w:p>
      </w:tc>
    </w:tr>
    <w:tr w:rsidR="000D44DB" w:rsidRPr="00CD021E" w14:paraId="4D72DDFD" w14:textId="77777777" w:rsidTr="002772ED">
      <w:tc>
        <w:tcPr>
          <w:tcW w:w="10774" w:type="dxa"/>
          <w:tcBorders>
            <w:top w:val="nil"/>
            <w:left w:val="nil"/>
            <w:bottom w:val="nil"/>
            <w:right w:val="nil"/>
          </w:tcBorders>
          <w:shd w:val="clear" w:color="auto" w:fill="0070C0"/>
        </w:tcPr>
        <w:p w14:paraId="7E318972" w14:textId="77777777" w:rsidR="000D44DB" w:rsidRPr="00CD021E" w:rsidRDefault="000D44DB" w:rsidP="00395D20">
          <w:pPr>
            <w:pStyle w:val="Header"/>
            <w:tabs>
              <w:tab w:val="clear" w:pos="4153"/>
              <w:tab w:val="clear" w:pos="8306"/>
              <w:tab w:val="left" w:pos="2197"/>
            </w:tabs>
            <w:rPr>
              <w:rFonts w:cs="Arial"/>
              <w:b/>
              <w:bCs/>
              <w:color w:val="0070C0"/>
              <w:sz w:val="8"/>
              <w:szCs w:val="8"/>
              <w14:shadow w14:blurRad="50800" w14:dist="38100" w14:dir="2700000" w14:sx="100000" w14:sy="100000" w14:kx="0" w14:ky="0" w14:algn="tl">
                <w14:srgbClr w14:val="000000">
                  <w14:alpha w14:val="60000"/>
                </w14:srgbClr>
              </w14:shadow>
            </w:rPr>
          </w:pPr>
          <w:r w:rsidRPr="00CD021E">
            <w:rPr>
              <w:rFonts w:cs="Arial"/>
              <w:b/>
              <w:bCs/>
              <w:color w:val="0070C0"/>
              <w:sz w:val="28"/>
              <w:szCs w:val="28"/>
              <w14:shadow w14:blurRad="50800" w14:dist="38100" w14:dir="2700000" w14:sx="100000" w14:sy="100000" w14:kx="0" w14:ky="0" w14:algn="tl">
                <w14:srgbClr w14:val="000000">
                  <w14:alpha w14:val="60000"/>
                </w14:srgbClr>
              </w14:shadow>
            </w:rPr>
            <w:tab/>
          </w:r>
        </w:p>
      </w:tc>
    </w:tr>
    <w:tr w:rsidR="000D44DB" w:rsidRPr="00CD021E" w14:paraId="04AB7603" w14:textId="77777777" w:rsidTr="002772ED">
      <w:tc>
        <w:tcPr>
          <w:tcW w:w="10774" w:type="dxa"/>
          <w:tcBorders>
            <w:top w:val="nil"/>
            <w:left w:val="nil"/>
            <w:bottom w:val="nil"/>
            <w:right w:val="nil"/>
          </w:tcBorders>
          <w:shd w:val="clear" w:color="auto" w:fill="DAEEF3"/>
        </w:tcPr>
        <w:p w14:paraId="4ABB0B40" w14:textId="77777777" w:rsidR="000D44DB" w:rsidRPr="00C315D6" w:rsidRDefault="00885CAE" w:rsidP="00CB6344">
          <w:pPr>
            <w:pStyle w:val="Header"/>
            <w:tabs>
              <w:tab w:val="clear" w:pos="4153"/>
              <w:tab w:val="clear" w:pos="8306"/>
              <w:tab w:val="left" w:pos="2197"/>
            </w:tabs>
            <w:spacing w:before="120" w:after="120"/>
            <w:rPr>
              <w:rFonts w:cs="Arial"/>
              <w:b/>
              <w:bCs/>
              <w:color w:val="0070C0"/>
              <w:sz w:val="18"/>
              <w:szCs w:val="18"/>
            </w:rPr>
          </w:pPr>
          <w:r w:rsidRPr="009B0BCE">
            <w:rPr>
              <w:rFonts w:cs="Arial"/>
              <w:b/>
              <w:bCs/>
              <w:color w:val="0070C0"/>
              <w:sz w:val="18"/>
              <w:szCs w:val="18"/>
            </w:rPr>
            <w:t xml:space="preserve">This newsletter is produced by </w:t>
          </w:r>
          <w:hyperlink r:id="rId3" w:history="1">
            <w:r w:rsidRPr="00551321">
              <w:rPr>
                <w:rStyle w:val="Hyperlink"/>
                <w:rFonts w:ascii="Arial" w:hAnsi="Arial" w:cs="Arial"/>
                <w:b/>
                <w:bCs/>
              </w:rPr>
              <w:t xml:space="preserve">SPS </w:t>
            </w:r>
            <w:r w:rsidR="003C4624">
              <w:rPr>
                <w:rStyle w:val="Hyperlink"/>
                <w:rFonts w:ascii="Arial" w:hAnsi="Arial" w:cs="Arial"/>
                <w:b/>
                <w:bCs/>
              </w:rPr>
              <w:t>H</w:t>
            </w:r>
            <w:r w:rsidRPr="00551321">
              <w:rPr>
                <w:rStyle w:val="Hyperlink"/>
                <w:rFonts w:ascii="Arial" w:hAnsi="Arial" w:cs="Arial"/>
                <w:b/>
                <w:bCs/>
              </w:rPr>
              <w:t xml:space="preserve">orizon </w:t>
            </w:r>
            <w:r w:rsidR="003C4624">
              <w:rPr>
                <w:rStyle w:val="Hyperlink"/>
                <w:rFonts w:ascii="Arial" w:hAnsi="Arial" w:cs="Arial"/>
                <w:b/>
                <w:bCs/>
              </w:rPr>
              <w:t>S</w:t>
            </w:r>
            <w:r w:rsidRPr="00551321">
              <w:rPr>
                <w:rStyle w:val="Hyperlink"/>
                <w:rFonts w:ascii="Arial" w:hAnsi="Arial" w:cs="Arial"/>
                <w:b/>
                <w:bCs/>
              </w:rPr>
              <w:t>canning</w:t>
            </w:r>
          </w:hyperlink>
          <w:r w:rsidRPr="009B0BCE">
            <w:rPr>
              <w:rFonts w:cs="Arial"/>
              <w:b/>
              <w:bCs/>
              <w:color w:val="0070C0"/>
              <w:sz w:val="18"/>
              <w:szCs w:val="18"/>
            </w:rPr>
            <w:t xml:space="preserve"> and highlights recent</w:t>
          </w:r>
          <w:r>
            <w:rPr>
              <w:rFonts w:cs="Arial"/>
              <w:b/>
              <w:bCs/>
              <w:color w:val="0070C0"/>
              <w:sz w:val="18"/>
              <w:szCs w:val="18"/>
            </w:rPr>
            <w:t xml:space="preserve"> new product launches and </w:t>
          </w:r>
          <w:r w:rsidRPr="009B0BCE">
            <w:rPr>
              <w:rFonts w:cs="Arial"/>
              <w:b/>
              <w:bCs/>
              <w:color w:val="0070C0"/>
              <w:sz w:val="18"/>
              <w:szCs w:val="18"/>
            </w:rPr>
            <w:t xml:space="preserve">medicines regulatory changes. More detailed information on medicines </w:t>
          </w:r>
          <w:r>
            <w:rPr>
              <w:rFonts w:cs="Arial"/>
              <w:b/>
              <w:bCs/>
              <w:color w:val="0070C0"/>
              <w:sz w:val="18"/>
              <w:szCs w:val="18"/>
            </w:rPr>
            <w:t>estimated</w:t>
          </w:r>
          <w:r w:rsidRPr="009B0BCE">
            <w:rPr>
              <w:rFonts w:cs="Arial"/>
              <w:b/>
              <w:bCs/>
              <w:color w:val="0070C0"/>
              <w:sz w:val="18"/>
              <w:szCs w:val="18"/>
            </w:rPr>
            <w:t xml:space="preserve"> to </w:t>
          </w:r>
          <w:r>
            <w:rPr>
              <w:rFonts w:cs="Arial"/>
              <w:b/>
              <w:bCs/>
              <w:color w:val="0070C0"/>
              <w:sz w:val="18"/>
              <w:szCs w:val="18"/>
            </w:rPr>
            <w:t>become available for use</w:t>
          </w:r>
          <w:r w:rsidRPr="009B0BCE">
            <w:rPr>
              <w:rFonts w:cs="Arial"/>
              <w:b/>
              <w:bCs/>
              <w:color w:val="0070C0"/>
              <w:sz w:val="18"/>
              <w:szCs w:val="18"/>
            </w:rPr>
            <w:t xml:space="preserve"> in the next 2</w:t>
          </w:r>
          <w:r>
            <w:rPr>
              <w:rFonts w:cs="Arial"/>
              <w:b/>
              <w:bCs/>
              <w:color w:val="0070C0"/>
              <w:sz w:val="18"/>
              <w:szCs w:val="18"/>
            </w:rPr>
            <w:t xml:space="preserve"> financial years</w:t>
          </w:r>
          <w:r w:rsidRPr="009B0BCE">
            <w:rPr>
              <w:rFonts w:cs="Arial"/>
              <w:b/>
              <w:bCs/>
              <w:color w:val="0070C0"/>
              <w:sz w:val="18"/>
              <w:szCs w:val="18"/>
            </w:rPr>
            <w:t xml:space="preserve"> and on marketed medicines expected to have major new indications approved</w:t>
          </w:r>
          <w:r>
            <w:rPr>
              <w:rFonts w:cs="Arial"/>
              <w:b/>
              <w:bCs/>
              <w:color w:val="0070C0"/>
              <w:sz w:val="18"/>
              <w:szCs w:val="18"/>
            </w:rPr>
            <w:t xml:space="preserve"> is</w:t>
          </w:r>
          <w:r w:rsidRPr="009B0BCE">
            <w:rPr>
              <w:rFonts w:cs="Arial"/>
              <w:b/>
              <w:bCs/>
              <w:color w:val="0070C0"/>
              <w:sz w:val="18"/>
              <w:szCs w:val="18"/>
            </w:rPr>
            <w:t xml:space="preserve"> in </w:t>
          </w:r>
          <w:hyperlink r:id="rId4" w:history="1">
            <w:r w:rsidRPr="009B0BCE">
              <w:rPr>
                <w:rStyle w:val="Hyperlink"/>
                <w:rFonts w:ascii="Arial" w:hAnsi="Arial" w:cs="Arial"/>
                <w:b/>
                <w:bCs/>
              </w:rPr>
              <w:t>Prescribing Outlook</w:t>
            </w:r>
          </w:hyperlink>
          <w:r w:rsidRPr="009B0BCE">
            <w:rPr>
              <w:rFonts w:cs="Arial"/>
              <w:b/>
              <w:bCs/>
              <w:color w:val="0070C0"/>
              <w:sz w:val="18"/>
              <w:szCs w:val="18"/>
            </w:rPr>
            <w:t>.</w:t>
          </w:r>
        </w:p>
      </w:tc>
    </w:tr>
  </w:tbl>
  <w:p w14:paraId="40DB09D0" w14:textId="77777777" w:rsidR="000D44DB" w:rsidRPr="00CD021E" w:rsidRDefault="000D44DB" w:rsidP="00A56726">
    <w:pPr>
      <w:pStyle w:val="Header"/>
      <w:rPr>
        <w:rFonts w:cs="Arial"/>
        <w:b/>
        <w:bCs/>
        <w:color w:val="244061"/>
        <w:sz w:val="8"/>
        <w:szCs w:val="8"/>
        <w14:shadow w14:blurRad="50800" w14:dist="38100" w14:dir="2700000" w14:sx="100000" w14:sy="100000" w14:kx="0" w14:ky="0" w14:algn="tl">
          <w14:srgbClr w14:val="000000">
            <w14:alpha w14:val="60000"/>
          </w14:srgbClr>
        </w14:shad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6847F" w14:textId="6DDDB887" w:rsidR="0090527B" w:rsidRDefault="009052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4D7D" w14:textId="31A8495B" w:rsidR="0090527B" w:rsidRDefault="009052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C3BA" w14:textId="2012E3A1" w:rsidR="000D44DB" w:rsidRPr="00CD021E" w:rsidRDefault="00A75BCB" w:rsidP="00AF3F30">
    <w:pPr>
      <w:pStyle w:val="Header"/>
      <w:tabs>
        <w:tab w:val="clear" w:pos="8306"/>
        <w:tab w:val="left" w:pos="7830"/>
      </w:tabs>
      <w:spacing w:before="120"/>
      <w:rPr>
        <w:rFonts w:cs="Arial"/>
        <w:b/>
        <w:bCs/>
        <w:i/>
        <w:color w:val="31849B"/>
        <w:sz w:val="44"/>
        <w:szCs w:val="44"/>
        <w14:shadow w14:blurRad="50800" w14:dist="38100" w14:dir="2700000" w14:sx="100000" w14:sy="100000" w14:kx="0" w14:ky="0" w14:algn="tl">
          <w14:srgbClr w14:val="000000">
            <w14:alpha w14:val="60000"/>
          </w14:srgbClr>
        </w14:shadow>
      </w:rPr>
    </w:pPr>
    <w:r>
      <w:rPr>
        <w:rFonts w:cs="Arial"/>
        <w:noProof/>
        <w:color w:val="00A249"/>
        <w:sz w:val="40"/>
        <w:szCs w:val="40"/>
      </w:rPr>
      <w:drawing>
        <wp:anchor distT="0" distB="0" distL="114300" distR="114300" simplePos="0" relativeHeight="251658243" behindDoc="0" locked="0" layoutInCell="1" allowOverlap="1" wp14:anchorId="34BC7C2E" wp14:editId="3DF4CB26">
          <wp:simplePos x="0" y="0"/>
          <wp:positionH relativeFrom="column">
            <wp:posOffset>6182360</wp:posOffset>
          </wp:positionH>
          <wp:positionV relativeFrom="paragraph">
            <wp:posOffset>93345</wp:posOffset>
          </wp:positionV>
          <wp:extent cx="469265" cy="192405"/>
          <wp:effectExtent l="0" t="0" r="6985" b="0"/>
          <wp:wrapNone/>
          <wp:docPr id="8" name="Picture 8" descr="NH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HS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65" cy="192405"/>
                  </a:xfrm>
                  <a:prstGeom prst="rect">
                    <a:avLst/>
                  </a:prstGeom>
                  <a:noFill/>
                  <a:ln>
                    <a:noFill/>
                  </a:ln>
                </pic:spPr>
              </pic:pic>
            </a:graphicData>
          </a:graphic>
          <wp14:sizeRelH relativeFrom="page">
            <wp14:pctWidth>0</wp14:pctWidth>
          </wp14:sizeRelH>
          <wp14:sizeRelV relativeFrom="page">
            <wp14:pctHeight>0</wp14:pctHeight>
          </wp14:sizeRelV>
        </wp:anchor>
      </w:drawing>
    </w:r>
    <w:r w:rsidR="00CD021E">
      <w:rPr>
        <w:noProof/>
      </w:rPr>
      <w:drawing>
        <wp:anchor distT="0" distB="0" distL="114300" distR="114300" simplePos="0" relativeHeight="251658244" behindDoc="0" locked="0" layoutInCell="1" allowOverlap="1" wp14:anchorId="06F7FDB6" wp14:editId="72CCDA0C">
          <wp:simplePos x="0" y="0"/>
          <wp:positionH relativeFrom="column">
            <wp:posOffset>-286385</wp:posOffset>
          </wp:positionH>
          <wp:positionV relativeFrom="paragraph">
            <wp:posOffset>8890</wp:posOffset>
          </wp:positionV>
          <wp:extent cx="940435" cy="401955"/>
          <wp:effectExtent l="0" t="0" r="0" b="0"/>
          <wp:wrapSquare wrapText="bothSides"/>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0435" cy="401955"/>
                  </a:xfrm>
                  <a:prstGeom prst="rect">
                    <a:avLst/>
                  </a:prstGeom>
                  <a:noFill/>
                </pic:spPr>
              </pic:pic>
            </a:graphicData>
          </a:graphic>
          <wp14:sizeRelH relativeFrom="page">
            <wp14:pctWidth>0</wp14:pctWidth>
          </wp14:sizeRelH>
          <wp14:sizeRelV relativeFrom="page">
            <wp14:pctHeight>0</wp14:pctHeight>
          </wp14:sizeRelV>
        </wp:anchor>
      </w:drawing>
    </w:r>
    <w:r w:rsidR="000D44DB" w:rsidRPr="00CD021E">
      <w:rPr>
        <w:rFonts w:cs="Arial"/>
        <w:b/>
        <w:bCs/>
        <w:color w:val="00A249"/>
        <w:sz w:val="44"/>
        <w:szCs w:val="44"/>
        <w14:shadow w14:blurRad="50800" w14:dist="38100" w14:dir="2700000" w14:sx="100000" w14:sy="100000" w14:kx="0" w14:ky="0" w14:algn="tl">
          <w14:srgbClr w14:val="000000">
            <w14:alpha w14:val="60000"/>
          </w14:srgbClr>
        </w14:shadow>
      </w:rPr>
      <w:t>New Medicines</w:t>
    </w:r>
    <w:r w:rsidR="000D44DB" w:rsidRPr="00CD021E">
      <w:rPr>
        <w:rFonts w:cs="Arial"/>
        <w:b/>
        <w:bCs/>
        <w:i/>
        <w:color w:val="244061"/>
        <w:sz w:val="44"/>
        <w:szCs w:val="44"/>
        <w14:shadow w14:blurRad="50800" w14:dist="38100" w14:dir="2700000" w14:sx="100000" w14:sy="100000" w14:kx="0" w14:ky="0" w14:algn="tl">
          <w14:srgbClr w14:val="000000">
            <w14:alpha w14:val="60000"/>
          </w14:srgbClr>
        </w14:shadow>
      </w:rPr>
      <w:t xml:space="preserve"> </w:t>
    </w:r>
    <w:r w:rsidR="000D44DB" w:rsidRPr="00CD021E">
      <w:rPr>
        <w:rFonts w:cs="Arial"/>
        <w:b/>
        <w:bCs/>
        <w:i/>
        <w:color w:val="0070C0"/>
        <w:sz w:val="44"/>
        <w:szCs w:val="44"/>
        <w14:shadow w14:blurRad="50800" w14:dist="38100" w14:dir="2700000" w14:sx="100000" w14:sy="100000" w14:kx="0" w14:ky="0" w14:algn="tl">
          <w14:srgbClr w14:val="000000">
            <w14:alpha w14:val="60000"/>
          </w14:srgbClr>
        </w14:shadow>
      </w:rPr>
      <w:t>News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F5A5" w14:textId="1BB609F2" w:rsidR="0090527B" w:rsidRDefault="00905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E6EF9"/>
    <w:multiLevelType w:val="multilevel"/>
    <w:tmpl w:val="29F4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055FA1"/>
    <w:multiLevelType w:val="hybridMultilevel"/>
    <w:tmpl w:val="BCF48EAE"/>
    <w:lvl w:ilvl="0" w:tplc="1AB04B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7104711">
    <w:abstractNumId w:val="1"/>
  </w:num>
  <w:num w:numId="2" w16cid:durableId="426928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style="mso-width-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CC5"/>
    <w:rsid w:val="0000035C"/>
    <w:rsid w:val="000005B6"/>
    <w:rsid w:val="000005EF"/>
    <w:rsid w:val="00000A0A"/>
    <w:rsid w:val="00000BE4"/>
    <w:rsid w:val="00000F87"/>
    <w:rsid w:val="0000199C"/>
    <w:rsid w:val="00001F19"/>
    <w:rsid w:val="0000290B"/>
    <w:rsid w:val="00002A08"/>
    <w:rsid w:val="00003329"/>
    <w:rsid w:val="00003421"/>
    <w:rsid w:val="000034B3"/>
    <w:rsid w:val="00003C95"/>
    <w:rsid w:val="00003D95"/>
    <w:rsid w:val="000042E9"/>
    <w:rsid w:val="00005014"/>
    <w:rsid w:val="00005119"/>
    <w:rsid w:val="00005271"/>
    <w:rsid w:val="000052F0"/>
    <w:rsid w:val="00005673"/>
    <w:rsid w:val="00005703"/>
    <w:rsid w:val="000057D2"/>
    <w:rsid w:val="00005CE9"/>
    <w:rsid w:val="00006527"/>
    <w:rsid w:val="000065F4"/>
    <w:rsid w:val="000072EC"/>
    <w:rsid w:val="0000751E"/>
    <w:rsid w:val="000075ED"/>
    <w:rsid w:val="0000769C"/>
    <w:rsid w:val="000102A1"/>
    <w:rsid w:val="000102E8"/>
    <w:rsid w:val="00010447"/>
    <w:rsid w:val="0001067C"/>
    <w:rsid w:val="00010B1D"/>
    <w:rsid w:val="00011176"/>
    <w:rsid w:val="000111C5"/>
    <w:rsid w:val="000114B1"/>
    <w:rsid w:val="00011D4B"/>
    <w:rsid w:val="00011E5B"/>
    <w:rsid w:val="00012B74"/>
    <w:rsid w:val="00012BA7"/>
    <w:rsid w:val="00012DCA"/>
    <w:rsid w:val="00012E19"/>
    <w:rsid w:val="00012E28"/>
    <w:rsid w:val="000132A0"/>
    <w:rsid w:val="00013575"/>
    <w:rsid w:val="000135BF"/>
    <w:rsid w:val="00013783"/>
    <w:rsid w:val="00013853"/>
    <w:rsid w:val="00013B16"/>
    <w:rsid w:val="00013CD9"/>
    <w:rsid w:val="00013E21"/>
    <w:rsid w:val="00014028"/>
    <w:rsid w:val="00014115"/>
    <w:rsid w:val="00014240"/>
    <w:rsid w:val="0001441B"/>
    <w:rsid w:val="00014631"/>
    <w:rsid w:val="00014657"/>
    <w:rsid w:val="000148ED"/>
    <w:rsid w:val="00014AFE"/>
    <w:rsid w:val="00015455"/>
    <w:rsid w:val="000158C2"/>
    <w:rsid w:val="00015915"/>
    <w:rsid w:val="000159C6"/>
    <w:rsid w:val="00015A48"/>
    <w:rsid w:val="00015B43"/>
    <w:rsid w:val="000165BE"/>
    <w:rsid w:val="000166D7"/>
    <w:rsid w:val="0001694F"/>
    <w:rsid w:val="00016C87"/>
    <w:rsid w:val="00016CDC"/>
    <w:rsid w:val="00016E17"/>
    <w:rsid w:val="000171BC"/>
    <w:rsid w:val="000173BA"/>
    <w:rsid w:val="0001791D"/>
    <w:rsid w:val="00017CA2"/>
    <w:rsid w:val="00017D66"/>
    <w:rsid w:val="00020261"/>
    <w:rsid w:val="000202B3"/>
    <w:rsid w:val="000202FE"/>
    <w:rsid w:val="000203F6"/>
    <w:rsid w:val="000207FB"/>
    <w:rsid w:val="00020D00"/>
    <w:rsid w:val="0002143C"/>
    <w:rsid w:val="0002181A"/>
    <w:rsid w:val="000225BB"/>
    <w:rsid w:val="000225EE"/>
    <w:rsid w:val="0002265E"/>
    <w:rsid w:val="0002269F"/>
    <w:rsid w:val="00022775"/>
    <w:rsid w:val="0002291B"/>
    <w:rsid w:val="000229C8"/>
    <w:rsid w:val="00022CCE"/>
    <w:rsid w:val="00022FB9"/>
    <w:rsid w:val="0002372C"/>
    <w:rsid w:val="00023B87"/>
    <w:rsid w:val="00023E2E"/>
    <w:rsid w:val="00023FBB"/>
    <w:rsid w:val="000247BD"/>
    <w:rsid w:val="00025142"/>
    <w:rsid w:val="00025A1E"/>
    <w:rsid w:val="00025AD9"/>
    <w:rsid w:val="00025B8F"/>
    <w:rsid w:val="00026E35"/>
    <w:rsid w:val="00026FAE"/>
    <w:rsid w:val="0002715B"/>
    <w:rsid w:val="00027AC3"/>
    <w:rsid w:val="00027B21"/>
    <w:rsid w:val="00027C1C"/>
    <w:rsid w:val="00027D1D"/>
    <w:rsid w:val="00027E7C"/>
    <w:rsid w:val="00030002"/>
    <w:rsid w:val="0003000F"/>
    <w:rsid w:val="000305BA"/>
    <w:rsid w:val="00030663"/>
    <w:rsid w:val="0003082E"/>
    <w:rsid w:val="0003092A"/>
    <w:rsid w:val="00030ADE"/>
    <w:rsid w:val="00030B98"/>
    <w:rsid w:val="00030E87"/>
    <w:rsid w:val="00031218"/>
    <w:rsid w:val="00031336"/>
    <w:rsid w:val="00031909"/>
    <w:rsid w:val="00031E46"/>
    <w:rsid w:val="000320DC"/>
    <w:rsid w:val="000322AB"/>
    <w:rsid w:val="000327BA"/>
    <w:rsid w:val="00032BD9"/>
    <w:rsid w:val="0003313C"/>
    <w:rsid w:val="00033349"/>
    <w:rsid w:val="0003344C"/>
    <w:rsid w:val="000341CF"/>
    <w:rsid w:val="0003447E"/>
    <w:rsid w:val="0003499B"/>
    <w:rsid w:val="00034BCE"/>
    <w:rsid w:val="00034E8C"/>
    <w:rsid w:val="00035436"/>
    <w:rsid w:val="0003552B"/>
    <w:rsid w:val="00035B23"/>
    <w:rsid w:val="00035CA7"/>
    <w:rsid w:val="00035D82"/>
    <w:rsid w:val="00035DBD"/>
    <w:rsid w:val="00035FA5"/>
    <w:rsid w:val="00036A16"/>
    <w:rsid w:val="000373F3"/>
    <w:rsid w:val="0003742D"/>
    <w:rsid w:val="000374FF"/>
    <w:rsid w:val="000375C8"/>
    <w:rsid w:val="000378F6"/>
    <w:rsid w:val="000379EB"/>
    <w:rsid w:val="00037AE9"/>
    <w:rsid w:val="00037BAB"/>
    <w:rsid w:val="00037BE4"/>
    <w:rsid w:val="00040013"/>
    <w:rsid w:val="0004019A"/>
    <w:rsid w:val="000401A1"/>
    <w:rsid w:val="00040734"/>
    <w:rsid w:val="00040B83"/>
    <w:rsid w:val="00040CA3"/>
    <w:rsid w:val="000416FC"/>
    <w:rsid w:val="00041AC8"/>
    <w:rsid w:val="00041BDC"/>
    <w:rsid w:val="0004243E"/>
    <w:rsid w:val="000427D5"/>
    <w:rsid w:val="00042CCD"/>
    <w:rsid w:val="00043342"/>
    <w:rsid w:val="000435DE"/>
    <w:rsid w:val="00043A2D"/>
    <w:rsid w:val="00043ED2"/>
    <w:rsid w:val="00044148"/>
    <w:rsid w:val="00044204"/>
    <w:rsid w:val="00044475"/>
    <w:rsid w:val="00044C33"/>
    <w:rsid w:val="000452E2"/>
    <w:rsid w:val="00045745"/>
    <w:rsid w:val="0004575D"/>
    <w:rsid w:val="000457B4"/>
    <w:rsid w:val="00045911"/>
    <w:rsid w:val="00045D5B"/>
    <w:rsid w:val="00045DDF"/>
    <w:rsid w:val="0004601F"/>
    <w:rsid w:val="00046375"/>
    <w:rsid w:val="00046777"/>
    <w:rsid w:val="00046C42"/>
    <w:rsid w:val="00046CCE"/>
    <w:rsid w:val="0004702B"/>
    <w:rsid w:val="0004733A"/>
    <w:rsid w:val="00047608"/>
    <w:rsid w:val="00050249"/>
    <w:rsid w:val="000507C3"/>
    <w:rsid w:val="00050920"/>
    <w:rsid w:val="0005105D"/>
    <w:rsid w:val="000515F0"/>
    <w:rsid w:val="00051791"/>
    <w:rsid w:val="000518A6"/>
    <w:rsid w:val="000519EA"/>
    <w:rsid w:val="00051B61"/>
    <w:rsid w:val="00051F32"/>
    <w:rsid w:val="000523FE"/>
    <w:rsid w:val="00052436"/>
    <w:rsid w:val="000529B6"/>
    <w:rsid w:val="00052AD4"/>
    <w:rsid w:val="00052BA6"/>
    <w:rsid w:val="00053F21"/>
    <w:rsid w:val="00054462"/>
    <w:rsid w:val="0005460C"/>
    <w:rsid w:val="00056696"/>
    <w:rsid w:val="000566A1"/>
    <w:rsid w:val="00056809"/>
    <w:rsid w:val="00056DB0"/>
    <w:rsid w:val="000570FC"/>
    <w:rsid w:val="0005783A"/>
    <w:rsid w:val="00057C03"/>
    <w:rsid w:val="00057FA2"/>
    <w:rsid w:val="0006026C"/>
    <w:rsid w:val="0006036B"/>
    <w:rsid w:val="00060AC6"/>
    <w:rsid w:val="00060BB0"/>
    <w:rsid w:val="0006109A"/>
    <w:rsid w:val="0006141D"/>
    <w:rsid w:val="00061A5F"/>
    <w:rsid w:val="00061B9D"/>
    <w:rsid w:val="00061FEF"/>
    <w:rsid w:val="00062740"/>
    <w:rsid w:val="00062834"/>
    <w:rsid w:val="00062B47"/>
    <w:rsid w:val="00062F98"/>
    <w:rsid w:val="0006320B"/>
    <w:rsid w:val="00063C19"/>
    <w:rsid w:val="000646B3"/>
    <w:rsid w:val="00064C77"/>
    <w:rsid w:val="00064E79"/>
    <w:rsid w:val="00064E8C"/>
    <w:rsid w:val="00064EB7"/>
    <w:rsid w:val="00064EF7"/>
    <w:rsid w:val="0006514E"/>
    <w:rsid w:val="000652C1"/>
    <w:rsid w:val="00065458"/>
    <w:rsid w:val="00066145"/>
    <w:rsid w:val="0006622F"/>
    <w:rsid w:val="00066787"/>
    <w:rsid w:val="00066A42"/>
    <w:rsid w:val="00066B48"/>
    <w:rsid w:val="00067279"/>
    <w:rsid w:val="000672F8"/>
    <w:rsid w:val="0006730B"/>
    <w:rsid w:val="00067942"/>
    <w:rsid w:val="00067D4E"/>
    <w:rsid w:val="00067D5B"/>
    <w:rsid w:val="000702DB"/>
    <w:rsid w:val="00070948"/>
    <w:rsid w:val="00070A7A"/>
    <w:rsid w:val="00071178"/>
    <w:rsid w:val="0007155B"/>
    <w:rsid w:val="000719B7"/>
    <w:rsid w:val="00071A86"/>
    <w:rsid w:val="00071BD9"/>
    <w:rsid w:val="00071DB1"/>
    <w:rsid w:val="0007203F"/>
    <w:rsid w:val="0007204B"/>
    <w:rsid w:val="00072F47"/>
    <w:rsid w:val="00073808"/>
    <w:rsid w:val="00073C05"/>
    <w:rsid w:val="00074396"/>
    <w:rsid w:val="0007446E"/>
    <w:rsid w:val="00074745"/>
    <w:rsid w:val="00074951"/>
    <w:rsid w:val="00074F67"/>
    <w:rsid w:val="000752E8"/>
    <w:rsid w:val="000755B8"/>
    <w:rsid w:val="00075D05"/>
    <w:rsid w:val="00075D4B"/>
    <w:rsid w:val="0007679E"/>
    <w:rsid w:val="00077371"/>
    <w:rsid w:val="00077C0C"/>
    <w:rsid w:val="00080116"/>
    <w:rsid w:val="000808F9"/>
    <w:rsid w:val="00080A6B"/>
    <w:rsid w:val="00080EE8"/>
    <w:rsid w:val="0008125C"/>
    <w:rsid w:val="00081277"/>
    <w:rsid w:val="000813E4"/>
    <w:rsid w:val="00081417"/>
    <w:rsid w:val="0008159C"/>
    <w:rsid w:val="0008195B"/>
    <w:rsid w:val="00081CFF"/>
    <w:rsid w:val="0008258A"/>
    <w:rsid w:val="00082DF6"/>
    <w:rsid w:val="00082E64"/>
    <w:rsid w:val="0008303B"/>
    <w:rsid w:val="00083231"/>
    <w:rsid w:val="000834AE"/>
    <w:rsid w:val="00083FAC"/>
    <w:rsid w:val="0008405B"/>
    <w:rsid w:val="00084760"/>
    <w:rsid w:val="00084E70"/>
    <w:rsid w:val="00085268"/>
    <w:rsid w:val="00085475"/>
    <w:rsid w:val="0008576B"/>
    <w:rsid w:val="000858D1"/>
    <w:rsid w:val="000859AA"/>
    <w:rsid w:val="00085A04"/>
    <w:rsid w:val="00085C5D"/>
    <w:rsid w:val="00085CCC"/>
    <w:rsid w:val="00085DA5"/>
    <w:rsid w:val="000863E2"/>
    <w:rsid w:val="000864A2"/>
    <w:rsid w:val="0008668D"/>
    <w:rsid w:val="00086F97"/>
    <w:rsid w:val="00087308"/>
    <w:rsid w:val="00087474"/>
    <w:rsid w:val="0008785C"/>
    <w:rsid w:val="00087A3E"/>
    <w:rsid w:val="00087ABD"/>
    <w:rsid w:val="00090233"/>
    <w:rsid w:val="000906FB"/>
    <w:rsid w:val="000907E5"/>
    <w:rsid w:val="00091245"/>
    <w:rsid w:val="00091EAA"/>
    <w:rsid w:val="00092238"/>
    <w:rsid w:val="0009266A"/>
    <w:rsid w:val="000927E1"/>
    <w:rsid w:val="00092AEC"/>
    <w:rsid w:val="000933A6"/>
    <w:rsid w:val="00093CB7"/>
    <w:rsid w:val="0009414D"/>
    <w:rsid w:val="00094388"/>
    <w:rsid w:val="00094B31"/>
    <w:rsid w:val="00094FC6"/>
    <w:rsid w:val="0009514E"/>
    <w:rsid w:val="0009515F"/>
    <w:rsid w:val="000951E1"/>
    <w:rsid w:val="000954DD"/>
    <w:rsid w:val="000955AC"/>
    <w:rsid w:val="000957EA"/>
    <w:rsid w:val="00095818"/>
    <w:rsid w:val="00095974"/>
    <w:rsid w:val="00095B4D"/>
    <w:rsid w:val="00095EE7"/>
    <w:rsid w:val="000966BB"/>
    <w:rsid w:val="00096800"/>
    <w:rsid w:val="00096BBF"/>
    <w:rsid w:val="00096C4B"/>
    <w:rsid w:val="0009792A"/>
    <w:rsid w:val="00097B79"/>
    <w:rsid w:val="00097E17"/>
    <w:rsid w:val="000A0040"/>
    <w:rsid w:val="000A02AD"/>
    <w:rsid w:val="000A0B38"/>
    <w:rsid w:val="000A1199"/>
    <w:rsid w:val="000A22E9"/>
    <w:rsid w:val="000A241E"/>
    <w:rsid w:val="000A244C"/>
    <w:rsid w:val="000A2810"/>
    <w:rsid w:val="000A289B"/>
    <w:rsid w:val="000A2C52"/>
    <w:rsid w:val="000A2E37"/>
    <w:rsid w:val="000A36D0"/>
    <w:rsid w:val="000A3B1E"/>
    <w:rsid w:val="000A41D4"/>
    <w:rsid w:val="000A421F"/>
    <w:rsid w:val="000A4BCB"/>
    <w:rsid w:val="000A4BE4"/>
    <w:rsid w:val="000A5077"/>
    <w:rsid w:val="000A50F2"/>
    <w:rsid w:val="000A534D"/>
    <w:rsid w:val="000A5ABE"/>
    <w:rsid w:val="000A5B0D"/>
    <w:rsid w:val="000A60E1"/>
    <w:rsid w:val="000A60F4"/>
    <w:rsid w:val="000A61FB"/>
    <w:rsid w:val="000A6206"/>
    <w:rsid w:val="000A7A40"/>
    <w:rsid w:val="000A7AD6"/>
    <w:rsid w:val="000A7C5A"/>
    <w:rsid w:val="000B001D"/>
    <w:rsid w:val="000B015F"/>
    <w:rsid w:val="000B0274"/>
    <w:rsid w:val="000B038E"/>
    <w:rsid w:val="000B08CB"/>
    <w:rsid w:val="000B08D1"/>
    <w:rsid w:val="000B0A95"/>
    <w:rsid w:val="000B0ADF"/>
    <w:rsid w:val="000B0C23"/>
    <w:rsid w:val="000B18C2"/>
    <w:rsid w:val="000B1AAB"/>
    <w:rsid w:val="000B1C18"/>
    <w:rsid w:val="000B1C59"/>
    <w:rsid w:val="000B2577"/>
    <w:rsid w:val="000B2C16"/>
    <w:rsid w:val="000B2FBD"/>
    <w:rsid w:val="000B2FC7"/>
    <w:rsid w:val="000B310F"/>
    <w:rsid w:val="000B38C0"/>
    <w:rsid w:val="000B3DAA"/>
    <w:rsid w:val="000B3EEB"/>
    <w:rsid w:val="000B466E"/>
    <w:rsid w:val="000B4681"/>
    <w:rsid w:val="000B4763"/>
    <w:rsid w:val="000B4E20"/>
    <w:rsid w:val="000B4EDC"/>
    <w:rsid w:val="000B5120"/>
    <w:rsid w:val="000B515F"/>
    <w:rsid w:val="000B5605"/>
    <w:rsid w:val="000B57AA"/>
    <w:rsid w:val="000B5AF8"/>
    <w:rsid w:val="000B5F2C"/>
    <w:rsid w:val="000B6184"/>
    <w:rsid w:val="000B6843"/>
    <w:rsid w:val="000B6EB2"/>
    <w:rsid w:val="000B706F"/>
    <w:rsid w:val="000B77F8"/>
    <w:rsid w:val="000B78CC"/>
    <w:rsid w:val="000B7AE2"/>
    <w:rsid w:val="000B7C28"/>
    <w:rsid w:val="000C0203"/>
    <w:rsid w:val="000C041C"/>
    <w:rsid w:val="000C091B"/>
    <w:rsid w:val="000C0F48"/>
    <w:rsid w:val="000C0F5C"/>
    <w:rsid w:val="000C1356"/>
    <w:rsid w:val="000C18D0"/>
    <w:rsid w:val="000C1FB5"/>
    <w:rsid w:val="000C20E9"/>
    <w:rsid w:val="000C2555"/>
    <w:rsid w:val="000C25C3"/>
    <w:rsid w:val="000C2BC6"/>
    <w:rsid w:val="000C2DF1"/>
    <w:rsid w:val="000C3692"/>
    <w:rsid w:val="000C37AC"/>
    <w:rsid w:val="000C3B1F"/>
    <w:rsid w:val="000C43D9"/>
    <w:rsid w:val="000C44B7"/>
    <w:rsid w:val="000C458C"/>
    <w:rsid w:val="000C4D1E"/>
    <w:rsid w:val="000C5329"/>
    <w:rsid w:val="000C5D43"/>
    <w:rsid w:val="000C5F42"/>
    <w:rsid w:val="000C60E6"/>
    <w:rsid w:val="000C6548"/>
    <w:rsid w:val="000C6591"/>
    <w:rsid w:val="000C6D2E"/>
    <w:rsid w:val="000C709F"/>
    <w:rsid w:val="000C72CA"/>
    <w:rsid w:val="000C7872"/>
    <w:rsid w:val="000C7AFF"/>
    <w:rsid w:val="000C7BA9"/>
    <w:rsid w:val="000C7C7C"/>
    <w:rsid w:val="000C7CAA"/>
    <w:rsid w:val="000D03B6"/>
    <w:rsid w:val="000D0476"/>
    <w:rsid w:val="000D04C1"/>
    <w:rsid w:val="000D0624"/>
    <w:rsid w:val="000D0DF7"/>
    <w:rsid w:val="000D0E50"/>
    <w:rsid w:val="000D1171"/>
    <w:rsid w:val="000D13A6"/>
    <w:rsid w:val="000D18D3"/>
    <w:rsid w:val="000D2113"/>
    <w:rsid w:val="000D2266"/>
    <w:rsid w:val="000D2736"/>
    <w:rsid w:val="000D2C27"/>
    <w:rsid w:val="000D30E7"/>
    <w:rsid w:val="000D35F7"/>
    <w:rsid w:val="000D3646"/>
    <w:rsid w:val="000D3760"/>
    <w:rsid w:val="000D3BCC"/>
    <w:rsid w:val="000D43AC"/>
    <w:rsid w:val="000D44DB"/>
    <w:rsid w:val="000D4645"/>
    <w:rsid w:val="000D467B"/>
    <w:rsid w:val="000D58C9"/>
    <w:rsid w:val="000D5DA8"/>
    <w:rsid w:val="000D5F42"/>
    <w:rsid w:val="000D62F3"/>
    <w:rsid w:val="000D6630"/>
    <w:rsid w:val="000D682D"/>
    <w:rsid w:val="000D7E24"/>
    <w:rsid w:val="000D7EAD"/>
    <w:rsid w:val="000E06CA"/>
    <w:rsid w:val="000E07FC"/>
    <w:rsid w:val="000E0B79"/>
    <w:rsid w:val="000E0C92"/>
    <w:rsid w:val="000E0D69"/>
    <w:rsid w:val="000E0ECF"/>
    <w:rsid w:val="000E0F57"/>
    <w:rsid w:val="000E12A8"/>
    <w:rsid w:val="000E184E"/>
    <w:rsid w:val="000E1A44"/>
    <w:rsid w:val="000E1DE0"/>
    <w:rsid w:val="000E21D3"/>
    <w:rsid w:val="000E247B"/>
    <w:rsid w:val="000E247C"/>
    <w:rsid w:val="000E27E9"/>
    <w:rsid w:val="000E2A6C"/>
    <w:rsid w:val="000E2DC9"/>
    <w:rsid w:val="000E2E4B"/>
    <w:rsid w:val="000E2FF1"/>
    <w:rsid w:val="000E3DFD"/>
    <w:rsid w:val="000E4477"/>
    <w:rsid w:val="000E45E9"/>
    <w:rsid w:val="000E4A24"/>
    <w:rsid w:val="000E4E6D"/>
    <w:rsid w:val="000E5217"/>
    <w:rsid w:val="000E5C17"/>
    <w:rsid w:val="000E6471"/>
    <w:rsid w:val="000E69A5"/>
    <w:rsid w:val="000E721B"/>
    <w:rsid w:val="000E74D2"/>
    <w:rsid w:val="000E789D"/>
    <w:rsid w:val="000F0055"/>
    <w:rsid w:val="000F0481"/>
    <w:rsid w:val="000F04BF"/>
    <w:rsid w:val="000F0699"/>
    <w:rsid w:val="000F078E"/>
    <w:rsid w:val="000F0BA2"/>
    <w:rsid w:val="000F0F98"/>
    <w:rsid w:val="000F1485"/>
    <w:rsid w:val="000F19E1"/>
    <w:rsid w:val="000F1B61"/>
    <w:rsid w:val="000F2032"/>
    <w:rsid w:val="000F22ED"/>
    <w:rsid w:val="000F2362"/>
    <w:rsid w:val="000F35A9"/>
    <w:rsid w:val="000F377A"/>
    <w:rsid w:val="000F3964"/>
    <w:rsid w:val="000F3BFE"/>
    <w:rsid w:val="000F3C1E"/>
    <w:rsid w:val="000F3DE4"/>
    <w:rsid w:val="000F3EC1"/>
    <w:rsid w:val="000F40FF"/>
    <w:rsid w:val="000F4AF2"/>
    <w:rsid w:val="000F4C32"/>
    <w:rsid w:val="000F4C9B"/>
    <w:rsid w:val="000F52A7"/>
    <w:rsid w:val="000F58A1"/>
    <w:rsid w:val="000F5AA4"/>
    <w:rsid w:val="000F5AC6"/>
    <w:rsid w:val="000F5C5A"/>
    <w:rsid w:val="000F5D25"/>
    <w:rsid w:val="000F613C"/>
    <w:rsid w:val="000F6985"/>
    <w:rsid w:val="000F715A"/>
    <w:rsid w:val="000F72CB"/>
    <w:rsid w:val="000F7AE5"/>
    <w:rsid w:val="000F7B5F"/>
    <w:rsid w:val="001007E8"/>
    <w:rsid w:val="0010093F"/>
    <w:rsid w:val="00100AA8"/>
    <w:rsid w:val="00100B3E"/>
    <w:rsid w:val="0010109D"/>
    <w:rsid w:val="00101327"/>
    <w:rsid w:val="001017B0"/>
    <w:rsid w:val="0010229B"/>
    <w:rsid w:val="00102869"/>
    <w:rsid w:val="00102BB5"/>
    <w:rsid w:val="001036A5"/>
    <w:rsid w:val="001044CC"/>
    <w:rsid w:val="00104591"/>
    <w:rsid w:val="00104765"/>
    <w:rsid w:val="00104B62"/>
    <w:rsid w:val="00104CAF"/>
    <w:rsid w:val="00104F3E"/>
    <w:rsid w:val="00105230"/>
    <w:rsid w:val="001054D4"/>
    <w:rsid w:val="00105520"/>
    <w:rsid w:val="0010589B"/>
    <w:rsid w:val="00105BB1"/>
    <w:rsid w:val="00105C0B"/>
    <w:rsid w:val="00105CAF"/>
    <w:rsid w:val="0010629A"/>
    <w:rsid w:val="00106609"/>
    <w:rsid w:val="00106691"/>
    <w:rsid w:val="00107637"/>
    <w:rsid w:val="001079F5"/>
    <w:rsid w:val="00107B0A"/>
    <w:rsid w:val="00107BCE"/>
    <w:rsid w:val="00107E98"/>
    <w:rsid w:val="00110139"/>
    <w:rsid w:val="00110B0E"/>
    <w:rsid w:val="00110D86"/>
    <w:rsid w:val="00110E83"/>
    <w:rsid w:val="00110F6A"/>
    <w:rsid w:val="00111092"/>
    <w:rsid w:val="00111226"/>
    <w:rsid w:val="00111231"/>
    <w:rsid w:val="00111769"/>
    <w:rsid w:val="00111903"/>
    <w:rsid w:val="001119E0"/>
    <w:rsid w:val="001122A8"/>
    <w:rsid w:val="00112340"/>
    <w:rsid w:val="00112FE4"/>
    <w:rsid w:val="0011301C"/>
    <w:rsid w:val="0011309C"/>
    <w:rsid w:val="00113644"/>
    <w:rsid w:val="00113D17"/>
    <w:rsid w:val="00113E55"/>
    <w:rsid w:val="00113F26"/>
    <w:rsid w:val="0011452F"/>
    <w:rsid w:val="001146D7"/>
    <w:rsid w:val="00114791"/>
    <w:rsid w:val="001149FA"/>
    <w:rsid w:val="00114A1E"/>
    <w:rsid w:val="00114AB9"/>
    <w:rsid w:val="00114DA9"/>
    <w:rsid w:val="00114EBA"/>
    <w:rsid w:val="00114F6B"/>
    <w:rsid w:val="0011546D"/>
    <w:rsid w:val="001155CF"/>
    <w:rsid w:val="00115872"/>
    <w:rsid w:val="00116043"/>
    <w:rsid w:val="001160C4"/>
    <w:rsid w:val="00116463"/>
    <w:rsid w:val="00116637"/>
    <w:rsid w:val="001168CC"/>
    <w:rsid w:val="001169DD"/>
    <w:rsid w:val="00116AB3"/>
    <w:rsid w:val="0011771E"/>
    <w:rsid w:val="001200DD"/>
    <w:rsid w:val="0012045D"/>
    <w:rsid w:val="001209AC"/>
    <w:rsid w:val="00120B32"/>
    <w:rsid w:val="0012143F"/>
    <w:rsid w:val="00122124"/>
    <w:rsid w:val="001221E3"/>
    <w:rsid w:val="0012226D"/>
    <w:rsid w:val="0012281C"/>
    <w:rsid w:val="00122966"/>
    <w:rsid w:val="00122EC3"/>
    <w:rsid w:val="00123512"/>
    <w:rsid w:val="00123811"/>
    <w:rsid w:val="00123C6D"/>
    <w:rsid w:val="00123FBB"/>
    <w:rsid w:val="001241B1"/>
    <w:rsid w:val="00124603"/>
    <w:rsid w:val="0012477A"/>
    <w:rsid w:val="00124CBF"/>
    <w:rsid w:val="00124FE3"/>
    <w:rsid w:val="0012683D"/>
    <w:rsid w:val="00126CCD"/>
    <w:rsid w:val="00126E8C"/>
    <w:rsid w:val="00127081"/>
    <w:rsid w:val="001271F3"/>
    <w:rsid w:val="0012736E"/>
    <w:rsid w:val="00127A3E"/>
    <w:rsid w:val="00130301"/>
    <w:rsid w:val="001304D0"/>
    <w:rsid w:val="00130543"/>
    <w:rsid w:val="00130B6B"/>
    <w:rsid w:val="00130D1C"/>
    <w:rsid w:val="001314D3"/>
    <w:rsid w:val="001314E0"/>
    <w:rsid w:val="0013190B"/>
    <w:rsid w:val="00131942"/>
    <w:rsid w:val="00131B41"/>
    <w:rsid w:val="00131B76"/>
    <w:rsid w:val="00131CFA"/>
    <w:rsid w:val="00131D4C"/>
    <w:rsid w:val="001325E6"/>
    <w:rsid w:val="0013261A"/>
    <w:rsid w:val="00132D15"/>
    <w:rsid w:val="001338F8"/>
    <w:rsid w:val="00134027"/>
    <w:rsid w:val="0013460E"/>
    <w:rsid w:val="00134DB3"/>
    <w:rsid w:val="00134DB5"/>
    <w:rsid w:val="00135434"/>
    <w:rsid w:val="00135B8B"/>
    <w:rsid w:val="00135D8F"/>
    <w:rsid w:val="00136298"/>
    <w:rsid w:val="00136887"/>
    <w:rsid w:val="00136EE3"/>
    <w:rsid w:val="00136FC4"/>
    <w:rsid w:val="001370F3"/>
    <w:rsid w:val="001373C5"/>
    <w:rsid w:val="001375C8"/>
    <w:rsid w:val="00137605"/>
    <w:rsid w:val="00137C23"/>
    <w:rsid w:val="00137EA2"/>
    <w:rsid w:val="00140395"/>
    <w:rsid w:val="00140724"/>
    <w:rsid w:val="0014076F"/>
    <w:rsid w:val="00140EF1"/>
    <w:rsid w:val="0014109C"/>
    <w:rsid w:val="001410D6"/>
    <w:rsid w:val="00141635"/>
    <w:rsid w:val="00141796"/>
    <w:rsid w:val="001429B9"/>
    <w:rsid w:val="00142EAA"/>
    <w:rsid w:val="00144258"/>
    <w:rsid w:val="00144425"/>
    <w:rsid w:val="0014519F"/>
    <w:rsid w:val="00145426"/>
    <w:rsid w:val="001455B3"/>
    <w:rsid w:val="00145984"/>
    <w:rsid w:val="001459AF"/>
    <w:rsid w:val="00145A91"/>
    <w:rsid w:val="00145B63"/>
    <w:rsid w:val="00145CFD"/>
    <w:rsid w:val="00145DFA"/>
    <w:rsid w:val="00146059"/>
    <w:rsid w:val="001460E1"/>
    <w:rsid w:val="00146C32"/>
    <w:rsid w:val="00147159"/>
    <w:rsid w:val="00147177"/>
    <w:rsid w:val="001473E8"/>
    <w:rsid w:val="001474FC"/>
    <w:rsid w:val="00147874"/>
    <w:rsid w:val="00147DEE"/>
    <w:rsid w:val="00147E5F"/>
    <w:rsid w:val="00150038"/>
    <w:rsid w:val="00150095"/>
    <w:rsid w:val="00150374"/>
    <w:rsid w:val="00150648"/>
    <w:rsid w:val="001507BD"/>
    <w:rsid w:val="001508D4"/>
    <w:rsid w:val="001509A6"/>
    <w:rsid w:val="00150AB6"/>
    <w:rsid w:val="0015194F"/>
    <w:rsid w:val="0015213C"/>
    <w:rsid w:val="001521A6"/>
    <w:rsid w:val="001524B9"/>
    <w:rsid w:val="00153126"/>
    <w:rsid w:val="00153942"/>
    <w:rsid w:val="00153ECC"/>
    <w:rsid w:val="00154281"/>
    <w:rsid w:val="0015493E"/>
    <w:rsid w:val="0015496C"/>
    <w:rsid w:val="00154F9D"/>
    <w:rsid w:val="00155081"/>
    <w:rsid w:val="001552E6"/>
    <w:rsid w:val="0015546F"/>
    <w:rsid w:val="00155BD9"/>
    <w:rsid w:val="00155D5A"/>
    <w:rsid w:val="00156078"/>
    <w:rsid w:val="00156870"/>
    <w:rsid w:val="00156AAF"/>
    <w:rsid w:val="00156CE9"/>
    <w:rsid w:val="00157445"/>
    <w:rsid w:val="001575AB"/>
    <w:rsid w:val="00157760"/>
    <w:rsid w:val="00157B8C"/>
    <w:rsid w:val="00157C96"/>
    <w:rsid w:val="00160A03"/>
    <w:rsid w:val="00160C3F"/>
    <w:rsid w:val="00160C4D"/>
    <w:rsid w:val="00160CE3"/>
    <w:rsid w:val="00161702"/>
    <w:rsid w:val="00161AC5"/>
    <w:rsid w:val="00162022"/>
    <w:rsid w:val="0016202E"/>
    <w:rsid w:val="001620E8"/>
    <w:rsid w:val="00162453"/>
    <w:rsid w:val="00162626"/>
    <w:rsid w:val="00162C56"/>
    <w:rsid w:val="0016413C"/>
    <w:rsid w:val="001642D5"/>
    <w:rsid w:val="00164CA0"/>
    <w:rsid w:val="00164FB6"/>
    <w:rsid w:val="001650FE"/>
    <w:rsid w:val="001655B0"/>
    <w:rsid w:val="001655B4"/>
    <w:rsid w:val="001655F0"/>
    <w:rsid w:val="00165695"/>
    <w:rsid w:val="0016571D"/>
    <w:rsid w:val="00165736"/>
    <w:rsid w:val="001659BD"/>
    <w:rsid w:val="001659E9"/>
    <w:rsid w:val="0016613D"/>
    <w:rsid w:val="00166961"/>
    <w:rsid w:val="00166A99"/>
    <w:rsid w:val="00166B54"/>
    <w:rsid w:val="00166B7F"/>
    <w:rsid w:val="00166E75"/>
    <w:rsid w:val="00166FC3"/>
    <w:rsid w:val="00167172"/>
    <w:rsid w:val="00167697"/>
    <w:rsid w:val="0016788F"/>
    <w:rsid w:val="001678DC"/>
    <w:rsid w:val="00167A77"/>
    <w:rsid w:val="00167B77"/>
    <w:rsid w:val="00167C18"/>
    <w:rsid w:val="00167E9C"/>
    <w:rsid w:val="001705BD"/>
    <w:rsid w:val="00170609"/>
    <w:rsid w:val="00170759"/>
    <w:rsid w:val="001709F6"/>
    <w:rsid w:val="00170A84"/>
    <w:rsid w:val="00170FE8"/>
    <w:rsid w:val="0017100D"/>
    <w:rsid w:val="001714C4"/>
    <w:rsid w:val="00171709"/>
    <w:rsid w:val="00171736"/>
    <w:rsid w:val="001719DC"/>
    <w:rsid w:val="00171B78"/>
    <w:rsid w:val="00171F52"/>
    <w:rsid w:val="0017278A"/>
    <w:rsid w:val="001731F8"/>
    <w:rsid w:val="00173504"/>
    <w:rsid w:val="001736EE"/>
    <w:rsid w:val="001738EB"/>
    <w:rsid w:val="00173AE7"/>
    <w:rsid w:val="00173BE6"/>
    <w:rsid w:val="00173F9E"/>
    <w:rsid w:val="00174031"/>
    <w:rsid w:val="00174144"/>
    <w:rsid w:val="001745D3"/>
    <w:rsid w:val="00174929"/>
    <w:rsid w:val="0017531D"/>
    <w:rsid w:val="00175832"/>
    <w:rsid w:val="00175908"/>
    <w:rsid w:val="00175B07"/>
    <w:rsid w:val="001760AF"/>
    <w:rsid w:val="0017623C"/>
    <w:rsid w:val="00176569"/>
    <w:rsid w:val="001765B1"/>
    <w:rsid w:val="001766A3"/>
    <w:rsid w:val="00176A18"/>
    <w:rsid w:val="00176C78"/>
    <w:rsid w:val="00176D60"/>
    <w:rsid w:val="00176FAB"/>
    <w:rsid w:val="00177544"/>
    <w:rsid w:val="0017769E"/>
    <w:rsid w:val="0017782F"/>
    <w:rsid w:val="00177EF9"/>
    <w:rsid w:val="0018042E"/>
    <w:rsid w:val="001804CD"/>
    <w:rsid w:val="00180B42"/>
    <w:rsid w:val="00180D2E"/>
    <w:rsid w:val="00180F31"/>
    <w:rsid w:val="00181004"/>
    <w:rsid w:val="001812E2"/>
    <w:rsid w:val="001817C8"/>
    <w:rsid w:val="00181854"/>
    <w:rsid w:val="001819C5"/>
    <w:rsid w:val="00181FA9"/>
    <w:rsid w:val="00182666"/>
    <w:rsid w:val="001826A7"/>
    <w:rsid w:val="00182900"/>
    <w:rsid w:val="00183709"/>
    <w:rsid w:val="00183750"/>
    <w:rsid w:val="001844DA"/>
    <w:rsid w:val="00184F1D"/>
    <w:rsid w:val="00185114"/>
    <w:rsid w:val="0018553B"/>
    <w:rsid w:val="00185C20"/>
    <w:rsid w:val="00185D40"/>
    <w:rsid w:val="0018631D"/>
    <w:rsid w:val="00186487"/>
    <w:rsid w:val="0018699B"/>
    <w:rsid w:val="00186C48"/>
    <w:rsid w:val="00186F8A"/>
    <w:rsid w:val="001873D4"/>
    <w:rsid w:val="001877D8"/>
    <w:rsid w:val="0018793A"/>
    <w:rsid w:val="00187A70"/>
    <w:rsid w:val="00187BB1"/>
    <w:rsid w:val="00187C58"/>
    <w:rsid w:val="00187CDB"/>
    <w:rsid w:val="00190171"/>
    <w:rsid w:val="001905A1"/>
    <w:rsid w:val="00190606"/>
    <w:rsid w:val="00190876"/>
    <w:rsid w:val="00190C73"/>
    <w:rsid w:val="00190CC6"/>
    <w:rsid w:val="00190DD4"/>
    <w:rsid w:val="00191B7B"/>
    <w:rsid w:val="00191C5D"/>
    <w:rsid w:val="00192083"/>
    <w:rsid w:val="00192383"/>
    <w:rsid w:val="00192F26"/>
    <w:rsid w:val="00193B7B"/>
    <w:rsid w:val="00193CF3"/>
    <w:rsid w:val="00193F5C"/>
    <w:rsid w:val="00194127"/>
    <w:rsid w:val="00194410"/>
    <w:rsid w:val="00194557"/>
    <w:rsid w:val="001948CB"/>
    <w:rsid w:val="00194D95"/>
    <w:rsid w:val="00194D9C"/>
    <w:rsid w:val="00194F99"/>
    <w:rsid w:val="00195377"/>
    <w:rsid w:val="00195A3C"/>
    <w:rsid w:val="00195D18"/>
    <w:rsid w:val="00195E3A"/>
    <w:rsid w:val="0019676F"/>
    <w:rsid w:val="0019683F"/>
    <w:rsid w:val="00196A61"/>
    <w:rsid w:val="00196A8B"/>
    <w:rsid w:val="0019715F"/>
    <w:rsid w:val="001972B1"/>
    <w:rsid w:val="001974D4"/>
    <w:rsid w:val="001975FB"/>
    <w:rsid w:val="001977EC"/>
    <w:rsid w:val="001978AE"/>
    <w:rsid w:val="00197BE4"/>
    <w:rsid w:val="001A0763"/>
    <w:rsid w:val="001A1339"/>
    <w:rsid w:val="001A1527"/>
    <w:rsid w:val="001A1555"/>
    <w:rsid w:val="001A1661"/>
    <w:rsid w:val="001A175F"/>
    <w:rsid w:val="001A19B4"/>
    <w:rsid w:val="001A1B68"/>
    <w:rsid w:val="001A1BB2"/>
    <w:rsid w:val="001A27B9"/>
    <w:rsid w:val="001A2A37"/>
    <w:rsid w:val="001A2B11"/>
    <w:rsid w:val="001A2F36"/>
    <w:rsid w:val="001A2FFF"/>
    <w:rsid w:val="001A31FA"/>
    <w:rsid w:val="001A3496"/>
    <w:rsid w:val="001A381D"/>
    <w:rsid w:val="001A3DFA"/>
    <w:rsid w:val="001A3EF1"/>
    <w:rsid w:val="001A4093"/>
    <w:rsid w:val="001A42CE"/>
    <w:rsid w:val="001A43F6"/>
    <w:rsid w:val="001A453A"/>
    <w:rsid w:val="001A46DA"/>
    <w:rsid w:val="001A4757"/>
    <w:rsid w:val="001A4D97"/>
    <w:rsid w:val="001A4FB3"/>
    <w:rsid w:val="001A501A"/>
    <w:rsid w:val="001A52CF"/>
    <w:rsid w:val="001A5914"/>
    <w:rsid w:val="001A5BFF"/>
    <w:rsid w:val="001A5E41"/>
    <w:rsid w:val="001A6195"/>
    <w:rsid w:val="001A62CD"/>
    <w:rsid w:val="001A639A"/>
    <w:rsid w:val="001A6519"/>
    <w:rsid w:val="001A6715"/>
    <w:rsid w:val="001A6A70"/>
    <w:rsid w:val="001A6F06"/>
    <w:rsid w:val="001A719C"/>
    <w:rsid w:val="001A7C03"/>
    <w:rsid w:val="001A7CE0"/>
    <w:rsid w:val="001A7D50"/>
    <w:rsid w:val="001A7E97"/>
    <w:rsid w:val="001B0F05"/>
    <w:rsid w:val="001B10C5"/>
    <w:rsid w:val="001B12D9"/>
    <w:rsid w:val="001B12FB"/>
    <w:rsid w:val="001B16C8"/>
    <w:rsid w:val="001B1A60"/>
    <w:rsid w:val="001B1CF8"/>
    <w:rsid w:val="001B20B3"/>
    <w:rsid w:val="001B20EC"/>
    <w:rsid w:val="001B3187"/>
    <w:rsid w:val="001B322B"/>
    <w:rsid w:val="001B3587"/>
    <w:rsid w:val="001B364C"/>
    <w:rsid w:val="001B38ED"/>
    <w:rsid w:val="001B3B03"/>
    <w:rsid w:val="001B3C11"/>
    <w:rsid w:val="001B3C27"/>
    <w:rsid w:val="001B3C2A"/>
    <w:rsid w:val="001B4020"/>
    <w:rsid w:val="001B406D"/>
    <w:rsid w:val="001B40C8"/>
    <w:rsid w:val="001B42D3"/>
    <w:rsid w:val="001B5580"/>
    <w:rsid w:val="001B5808"/>
    <w:rsid w:val="001B5AEE"/>
    <w:rsid w:val="001B5E4E"/>
    <w:rsid w:val="001B5EBE"/>
    <w:rsid w:val="001B608F"/>
    <w:rsid w:val="001B6210"/>
    <w:rsid w:val="001B630E"/>
    <w:rsid w:val="001B6498"/>
    <w:rsid w:val="001B6EB6"/>
    <w:rsid w:val="001B700A"/>
    <w:rsid w:val="001B7294"/>
    <w:rsid w:val="001B7AC1"/>
    <w:rsid w:val="001B7C4F"/>
    <w:rsid w:val="001B7CFF"/>
    <w:rsid w:val="001C0985"/>
    <w:rsid w:val="001C0BB4"/>
    <w:rsid w:val="001C0CFC"/>
    <w:rsid w:val="001C0F6D"/>
    <w:rsid w:val="001C12DF"/>
    <w:rsid w:val="001C162D"/>
    <w:rsid w:val="001C19C1"/>
    <w:rsid w:val="001C21C3"/>
    <w:rsid w:val="001C2379"/>
    <w:rsid w:val="001C24D1"/>
    <w:rsid w:val="001C26D4"/>
    <w:rsid w:val="001C29D1"/>
    <w:rsid w:val="001C304B"/>
    <w:rsid w:val="001C3113"/>
    <w:rsid w:val="001C3616"/>
    <w:rsid w:val="001C372A"/>
    <w:rsid w:val="001C38E9"/>
    <w:rsid w:val="001C3A55"/>
    <w:rsid w:val="001C3A64"/>
    <w:rsid w:val="001C3A6B"/>
    <w:rsid w:val="001C42F0"/>
    <w:rsid w:val="001C44CF"/>
    <w:rsid w:val="001C4891"/>
    <w:rsid w:val="001C491E"/>
    <w:rsid w:val="001C51D6"/>
    <w:rsid w:val="001C52EB"/>
    <w:rsid w:val="001C53CD"/>
    <w:rsid w:val="001C5587"/>
    <w:rsid w:val="001C5C58"/>
    <w:rsid w:val="001C5F2F"/>
    <w:rsid w:val="001C6350"/>
    <w:rsid w:val="001C6762"/>
    <w:rsid w:val="001C6A94"/>
    <w:rsid w:val="001C6F75"/>
    <w:rsid w:val="001C7BB7"/>
    <w:rsid w:val="001C7F0D"/>
    <w:rsid w:val="001D00BE"/>
    <w:rsid w:val="001D059B"/>
    <w:rsid w:val="001D0BAA"/>
    <w:rsid w:val="001D194C"/>
    <w:rsid w:val="001D19F8"/>
    <w:rsid w:val="001D1AC6"/>
    <w:rsid w:val="001D1BE1"/>
    <w:rsid w:val="001D1C22"/>
    <w:rsid w:val="001D1CB8"/>
    <w:rsid w:val="001D1EE8"/>
    <w:rsid w:val="001D25F7"/>
    <w:rsid w:val="001D2869"/>
    <w:rsid w:val="001D3504"/>
    <w:rsid w:val="001D3E33"/>
    <w:rsid w:val="001D44A9"/>
    <w:rsid w:val="001D477C"/>
    <w:rsid w:val="001D48C2"/>
    <w:rsid w:val="001D4F72"/>
    <w:rsid w:val="001D5156"/>
    <w:rsid w:val="001D51EE"/>
    <w:rsid w:val="001D553A"/>
    <w:rsid w:val="001D56D8"/>
    <w:rsid w:val="001D5D63"/>
    <w:rsid w:val="001D5E32"/>
    <w:rsid w:val="001D662A"/>
    <w:rsid w:val="001D6674"/>
    <w:rsid w:val="001D68A9"/>
    <w:rsid w:val="001D69F6"/>
    <w:rsid w:val="001D6ED1"/>
    <w:rsid w:val="001D739B"/>
    <w:rsid w:val="001D73E9"/>
    <w:rsid w:val="001D7529"/>
    <w:rsid w:val="001D7622"/>
    <w:rsid w:val="001D7849"/>
    <w:rsid w:val="001E0988"/>
    <w:rsid w:val="001E0B4B"/>
    <w:rsid w:val="001E1104"/>
    <w:rsid w:val="001E17EE"/>
    <w:rsid w:val="001E2057"/>
    <w:rsid w:val="001E3126"/>
    <w:rsid w:val="001E342F"/>
    <w:rsid w:val="001E3641"/>
    <w:rsid w:val="001E3BB7"/>
    <w:rsid w:val="001E3BBE"/>
    <w:rsid w:val="001E4075"/>
    <w:rsid w:val="001E4458"/>
    <w:rsid w:val="001E4A4E"/>
    <w:rsid w:val="001E4EC8"/>
    <w:rsid w:val="001E5296"/>
    <w:rsid w:val="001E52D0"/>
    <w:rsid w:val="001E5458"/>
    <w:rsid w:val="001E5898"/>
    <w:rsid w:val="001E679C"/>
    <w:rsid w:val="001E6E9B"/>
    <w:rsid w:val="001E74A2"/>
    <w:rsid w:val="001E7571"/>
    <w:rsid w:val="001E79EC"/>
    <w:rsid w:val="001E7C9C"/>
    <w:rsid w:val="001E7D80"/>
    <w:rsid w:val="001F0064"/>
    <w:rsid w:val="001F019D"/>
    <w:rsid w:val="001F02C9"/>
    <w:rsid w:val="001F04C1"/>
    <w:rsid w:val="001F066B"/>
    <w:rsid w:val="001F06CB"/>
    <w:rsid w:val="001F0917"/>
    <w:rsid w:val="001F0E07"/>
    <w:rsid w:val="001F10BF"/>
    <w:rsid w:val="001F1264"/>
    <w:rsid w:val="001F265E"/>
    <w:rsid w:val="001F27EF"/>
    <w:rsid w:val="001F2A08"/>
    <w:rsid w:val="001F2AF4"/>
    <w:rsid w:val="001F2BDD"/>
    <w:rsid w:val="001F2EC3"/>
    <w:rsid w:val="001F3A14"/>
    <w:rsid w:val="001F3F6B"/>
    <w:rsid w:val="001F4031"/>
    <w:rsid w:val="001F4041"/>
    <w:rsid w:val="001F4283"/>
    <w:rsid w:val="001F4BC4"/>
    <w:rsid w:val="001F4FE5"/>
    <w:rsid w:val="001F51FB"/>
    <w:rsid w:val="001F526D"/>
    <w:rsid w:val="001F6054"/>
    <w:rsid w:val="001F608A"/>
    <w:rsid w:val="001F6640"/>
    <w:rsid w:val="001F668A"/>
    <w:rsid w:val="001F692A"/>
    <w:rsid w:val="001F6A76"/>
    <w:rsid w:val="001F6B79"/>
    <w:rsid w:val="001F70B0"/>
    <w:rsid w:val="001F7219"/>
    <w:rsid w:val="001F7299"/>
    <w:rsid w:val="001F7365"/>
    <w:rsid w:val="001F739B"/>
    <w:rsid w:val="001F73A1"/>
    <w:rsid w:val="001F74EC"/>
    <w:rsid w:val="001F7675"/>
    <w:rsid w:val="001F78C4"/>
    <w:rsid w:val="001F7A57"/>
    <w:rsid w:val="001F7BE1"/>
    <w:rsid w:val="001F7FE3"/>
    <w:rsid w:val="0020001D"/>
    <w:rsid w:val="00200066"/>
    <w:rsid w:val="0020021E"/>
    <w:rsid w:val="00200846"/>
    <w:rsid w:val="002008F6"/>
    <w:rsid w:val="00200ACA"/>
    <w:rsid w:val="00200FAF"/>
    <w:rsid w:val="0020101A"/>
    <w:rsid w:val="002012D2"/>
    <w:rsid w:val="002014B8"/>
    <w:rsid w:val="002014D6"/>
    <w:rsid w:val="002017E2"/>
    <w:rsid w:val="00201CE7"/>
    <w:rsid w:val="0020209C"/>
    <w:rsid w:val="00202205"/>
    <w:rsid w:val="002025B5"/>
    <w:rsid w:val="00202618"/>
    <w:rsid w:val="0020266D"/>
    <w:rsid w:val="00202F0E"/>
    <w:rsid w:val="002032D7"/>
    <w:rsid w:val="002035D3"/>
    <w:rsid w:val="00203771"/>
    <w:rsid w:val="00203EAB"/>
    <w:rsid w:val="00203EED"/>
    <w:rsid w:val="0020407D"/>
    <w:rsid w:val="002048E5"/>
    <w:rsid w:val="00205930"/>
    <w:rsid w:val="00206439"/>
    <w:rsid w:val="00206457"/>
    <w:rsid w:val="00206A85"/>
    <w:rsid w:val="00206B8C"/>
    <w:rsid w:val="00206B91"/>
    <w:rsid w:val="00206F96"/>
    <w:rsid w:val="00207716"/>
    <w:rsid w:val="00210012"/>
    <w:rsid w:val="002103DD"/>
    <w:rsid w:val="00210665"/>
    <w:rsid w:val="00210E29"/>
    <w:rsid w:val="002116E1"/>
    <w:rsid w:val="00211AEA"/>
    <w:rsid w:val="00211DBE"/>
    <w:rsid w:val="00211E03"/>
    <w:rsid w:val="00211E9E"/>
    <w:rsid w:val="002122ED"/>
    <w:rsid w:val="0021263C"/>
    <w:rsid w:val="002129BF"/>
    <w:rsid w:val="00212C2D"/>
    <w:rsid w:val="002136A6"/>
    <w:rsid w:val="00213AAA"/>
    <w:rsid w:val="0021490D"/>
    <w:rsid w:val="00214A82"/>
    <w:rsid w:val="00214C79"/>
    <w:rsid w:val="00214D19"/>
    <w:rsid w:val="00214DE3"/>
    <w:rsid w:val="00215003"/>
    <w:rsid w:val="002152D9"/>
    <w:rsid w:val="00215812"/>
    <w:rsid w:val="00215CD2"/>
    <w:rsid w:val="00215D95"/>
    <w:rsid w:val="002164C7"/>
    <w:rsid w:val="0021683B"/>
    <w:rsid w:val="00216A24"/>
    <w:rsid w:val="00216A67"/>
    <w:rsid w:val="00216AC5"/>
    <w:rsid w:val="002170B5"/>
    <w:rsid w:val="00217308"/>
    <w:rsid w:val="002173B6"/>
    <w:rsid w:val="00217568"/>
    <w:rsid w:val="00217608"/>
    <w:rsid w:val="002176E7"/>
    <w:rsid w:val="00217885"/>
    <w:rsid w:val="002178E0"/>
    <w:rsid w:val="00217AF0"/>
    <w:rsid w:val="00217B22"/>
    <w:rsid w:val="00217C37"/>
    <w:rsid w:val="00217D57"/>
    <w:rsid w:val="00217E5F"/>
    <w:rsid w:val="00217E76"/>
    <w:rsid w:val="00220199"/>
    <w:rsid w:val="00221008"/>
    <w:rsid w:val="00221168"/>
    <w:rsid w:val="00221460"/>
    <w:rsid w:val="00221936"/>
    <w:rsid w:val="002222EC"/>
    <w:rsid w:val="00222562"/>
    <w:rsid w:val="00222611"/>
    <w:rsid w:val="0022269C"/>
    <w:rsid w:val="00223048"/>
    <w:rsid w:val="002230B3"/>
    <w:rsid w:val="00223499"/>
    <w:rsid w:val="00223525"/>
    <w:rsid w:val="00223BD2"/>
    <w:rsid w:val="002243B2"/>
    <w:rsid w:val="00224558"/>
    <w:rsid w:val="002250B5"/>
    <w:rsid w:val="00225968"/>
    <w:rsid w:val="00226AC8"/>
    <w:rsid w:val="00226B8B"/>
    <w:rsid w:val="00227007"/>
    <w:rsid w:val="00227831"/>
    <w:rsid w:val="00227D77"/>
    <w:rsid w:val="00227D9A"/>
    <w:rsid w:val="00227EE4"/>
    <w:rsid w:val="0023026E"/>
    <w:rsid w:val="002306DA"/>
    <w:rsid w:val="002308E6"/>
    <w:rsid w:val="00230AC9"/>
    <w:rsid w:val="00230ADF"/>
    <w:rsid w:val="00230D85"/>
    <w:rsid w:val="00230ED9"/>
    <w:rsid w:val="002313E1"/>
    <w:rsid w:val="0023181D"/>
    <w:rsid w:val="0023182B"/>
    <w:rsid w:val="00231D41"/>
    <w:rsid w:val="00232009"/>
    <w:rsid w:val="00232690"/>
    <w:rsid w:val="00232775"/>
    <w:rsid w:val="002328B4"/>
    <w:rsid w:val="00232CE9"/>
    <w:rsid w:val="00233281"/>
    <w:rsid w:val="00233467"/>
    <w:rsid w:val="002337E3"/>
    <w:rsid w:val="00233F46"/>
    <w:rsid w:val="002344C2"/>
    <w:rsid w:val="00234984"/>
    <w:rsid w:val="00234F01"/>
    <w:rsid w:val="002351A0"/>
    <w:rsid w:val="002352DC"/>
    <w:rsid w:val="00235925"/>
    <w:rsid w:val="00235CCC"/>
    <w:rsid w:val="00236081"/>
    <w:rsid w:val="00236831"/>
    <w:rsid w:val="00236B8C"/>
    <w:rsid w:val="00236D6E"/>
    <w:rsid w:val="00236DF8"/>
    <w:rsid w:val="00236F7D"/>
    <w:rsid w:val="00237301"/>
    <w:rsid w:val="00237491"/>
    <w:rsid w:val="002375C3"/>
    <w:rsid w:val="00237742"/>
    <w:rsid w:val="002377CA"/>
    <w:rsid w:val="00237E30"/>
    <w:rsid w:val="002401AA"/>
    <w:rsid w:val="002403AB"/>
    <w:rsid w:val="00240540"/>
    <w:rsid w:val="002406C1"/>
    <w:rsid w:val="00240970"/>
    <w:rsid w:val="002413F9"/>
    <w:rsid w:val="002418C5"/>
    <w:rsid w:val="00241952"/>
    <w:rsid w:val="00241CE5"/>
    <w:rsid w:val="00242508"/>
    <w:rsid w:val="002428CD"/>
    <w:rsid w:val="00242E99"/>
    <w:rsid w:val="0024358F"/>
    <w:rsid w:val="002436C3"/>
    <w:rsid w:val="0024378C"/>
    <w:rsid w:val="002439FD"/>
    <w:rsid w:val="00243B48"/>
    <w:rsid w:val="002442D2"/>
    <w:rsid w:val="002446F5"/>
    <w:rsid w:val="002452CD"/>
    <w:rsid w:val="00245778"/>
    <w:rsid w:val="002459A7"/>
    <w:rsid w:val="00245CD4"/>
    <w:rsid w:val="002461A0"/>
    <w:rsid w:val="00246381"/>
    <w:rsid w:val="0024647E"/>
    <w:rsid w:val="00246488"/>
    <w:rsid w:val="002464D6"/>
    <w:rsid w:val="00246D42"/>
    <w:rsid w:val="002474BB"/>
    <w:rsid w:val="00247547"/>
    <w:rsid w:val="0024757C"/>
    <w:rsid w:val="0024791E"/>
    <w:rsid w:val="00247DA9"/>
    <w:rsid w:val="00247EEF"/>
    <w:rsid w:val="00250008"/>
    <w:rsid w:val="00250197"/>
    <w:rsid w:val="00250199"/>
    <w:rsid w:val="00250BBC"/>
    <w:rsid w:val="0025166D"/>
    <w:rsid w:val="002517D6"/>
    <w:rsid w:val="00251857"/>
    <w:rsid w:val="00251CAD"/>
    <w:rsid w:val="00251CDB"/>
    <w:rsid w:val="00251F27"/>
    <w:rsid w:val="0025288D"/>
    <w:rsid w:val="0025295F"/>
    <w:rsid w:val="00252CAC"/>
    <w:rsid w:val="00252F03"/>
    <w:rsid w:val="00253938"/>
    <w:rsid w:val="00254068"/>
    <w:rsid w:val="00254132"/>
    <w:rsid w:val="0025437F"/>
    <w:rsid w:val="002543B7"/>
    <w:rsid w:val="002543E4"/>
    <w:rsid w:val="0025491D"/>
    <w:rsid w:val="00254C66"/>
    <w:rsid w:val="00254F01"/>
    <w:rsid w:val="00255EE8"/>
    <w:rsid w:val="00255FCE"/>
    <w:rsid w:val="00256194"/>
    <w:rsid w:val="002561EB"/>
    <w:rsid w:val="002562FC"/>
    <w:rsid w:val="0025655B"/>
    <w:rsid w:val="00256DF7"/>
    <w:rsid w:val="0025779A"/>
    <w:rsid w:val="0025779D"/>
    <w:rsid w:val="0026029A"/>
    <w:rsid w:val="00260D15"/>
    <w:rsid w:val="00260E67"/>
    <w:rsid w:val="00260F20"/>
    <w:rsid w:val="00261176"/>
    <w:rsid w:val="00261393"/>
    <w:rsid w:val="002613DB"/>
    <w:rsid w:val="002618A3"/>
    <w:rsid w:val="00262123"/>
    <w:rsid w:val="00262646"/>
    <w:rsid w:val="00262D2B"/>
    <w:rsid w:val="002636FF"/>
    <w:rsid w:val="002645DA"/>
    <w:rsid w:val="00264E7D"/>
    <w:rsid w:val="002657DE"/>
    <w:rsid w:val="002664C8"/>
    <w:rsid w:val="00266664"/>
    <w:rsid w:val="00266C14"/>
    <w:rsid w:val="00266FD1"/>
    <w:rsid w:val="00267219"/>
    <w:rsid w:val="002676F0"/>
    <w:rsid w:val="002678EF"/>
    <w:rsid w:val="00270446"/>
    <w:rsid w:val="002709C0"/>
    <w:rsid w:val="00270D16"/>
    <w:rsid w:val="00270ED1"/>
    <w:rsid w:val="0027103B"/>
    <w:rsid w:val="0027108A"/>
    <w:rsid w:val="0027121E"/>
    <w:rsid w:val="00271908"/>
    <w:rsid w:val="002719B4"/>
    <w:rsid w:val="00271DA3"/>
    <w:rsid w:val="00271F91"/>
    <w:rsid w:val="00272180"/>
    <w:rsid w:val="00272224"/>
    <w:rsid w:val="0027239D"/>
    <w:rsid w:val="00272821"/>
    <w:rsid w:val="00272AB6"/>
    <w:rsid w:val="00272F4D"/>
    <w:rsid w:val="0027343A"/>
    <w:rsid w:val="0027364E"/>
    <w:rsid w:val="00273CD5"/>
    <w:rsid w:val="00274631"/>
    <w:rsid w:val="00274945"/>
    <w:rsid w:val="00274BBF"/>
    <w:rsid w:val="0027520A"/>
    <w:rsid w:val="00275496"/>
    <w:rsid w:val="0027561D"/>
    <w:rsid w:val="0027585D"/>
    <w:rsid w:val="00275FB4"/>
    <w:rsid w:val="00276E24"/>
    <w:rsid w:val="002772ED"/>
    <w:rsid w:val="00277358"/>
    <w:rsid w:val="00277383"/>
    <w:rsid w:val="0027787A"/>
    <w:rsid w:val="00277E59"/>
    <w:rsid w:val="00277F37"/>
    <w:rsid w:val="00277FA6"/>
    <w:rsid w:val="002803B0"/>
    <w:rsid w:val="0028083E"/>
    <w:rsid w:val="002808C0"/>
    <w:rsid w:val="00280A17"/>
    <w:rsid w:val="002810C1"/>
    <w:rsid w:val="0028153E"/>
    <w:rsid w:val="00281667"/>
    <w:rsid w:val="00281697"/>
    <w:rsid w:val="00281FAA"/>
    <w:rsid w:val="00281FDB"/>
    <w:rsid w:val="0028231C"/>
    <w:rsid w:val="002823E7"/>
    <w:rsid w:val="002824CF"/>
    <w:rsid w:val="002832D4"/>
    <w:rsid w:val="00283478"/>
    <w:rsid w:val="002837EC"/>
    <w:rsid w:val="00283911"/>
    <w:rsid w:val="00283CB0"/>
    <w:rsid w:val="00283F18"/>
    <w:rsid w:val="00283F7A"/>
    <w:rsid w:val="00283F89"/>
    <w:rsid w:val="00284054"/>
    <w:rsid w:val="00284309"/>
    <w:rsid w:val="0028484C"/>
    <w:rsid w:val="00284A2D"/>
    <w:rsid w:val="00284AC3"/>
    <w:rsid w:val="00284BAB"/>
    <w:rsid w:val="00284BEB"/>
    <w:rsid w:val="00285217"/>
    <w:rsid w:val="00285391"/>
    <w:rsid w:val="00285468"/>
    <w:rsid w:val="00285C95"/>
    <w:rsid w:val="00285DB7"/>
    <w:rsid w:val="0028600C"/>
    <w:rsid w:val="00286614"/>
    <w:rsid w:val="0028663B"/>
    <w:rsid w:val="002872FD"/>
    <w:rsid w:val="002873A1"/>
    <w:rsid w:val="00287719"/>
    <w:rsid w:val="00287779"/>
    <w:rsid w:val="002879F7"/>
    <w:rsid w:val="00287E8A"/>
    <w:rsid w:val="00290279"/>
    <w:rsid w:val="00290C6C"/>
    <w:rsid w:val="002910D9"/>
    <w:rsid w:val="00291C64"/>
    <w:rsid w:val="00291ECE"/>
    <w:rsid w:val="00292281"/>
    <w:rsid w:val="002922FD"/>
    <w:rsid w:val="002928CE"/>
    <w:rsid w:val="00292D97"/>
    <w:rsid w:val="00293126"/>
    <w:rsid w:val="002931D4"/>
    <w:rsid w:val="00293C95"/>
    <w:rsid w:val="00293CD8"/>
    <w:rsid w:val="002941AC"/>
    <w:rsid w:val="00294DEF"/>
    <w:rsid w:val="00295028"/>
    <w:rsid w:val="00295262"/>
    <w:rsid w:val="002955A7"/>
    <w:rsid w:val="002958D3"/>
    <w:rsid w:val="00295902"/>
    <w:rsid w:val="00295BB7"/>
    <w:rsid w:val="00295F1E"/>
    <w:rsid w:val="00295FEA"/>
    <w:rsid w:val="00296333"/>
    <w:rsid w:val="00296462"/>
    <w:rsid w:val="0029646F"/>
    <w:rsid w:val="00296630"/>
    <w:rsid w:val="00296802"/>
    <w:rsid w:val="002968A9"/>
    <w:rsid w:val="00296B5F"/>
    <w:rsid w:val="00296BAF"/>
    <w:rsid w:val="00296FDD"/>
    <w:rsid w:val="0029703E"/>
    <w:rsid w:val="002970D6"/>
    <w:rsid w:val="002970ED"/>
    <w:rsid w:val="00297669"/>
    <w:rsid w:val="00297711"/>
    <w:rsid w:val="00297BDD"/>
    <w:rsid w:val="00297D57"/>
    <w:rsid w:val="002A005D"/>
    <w:rsid w:val="002A0275"/>
    <w:rsid w:val="002A07F1"/>
    <w:rsid w:val="002A0C6D"/>
    <w:rsid w:val="002A0DC3"/>
    <w:rsid w:val="002A113E"/>
    <w:rsid w:val="002A13AA"/>
    <w:rsid w:val="002A1658"/>
    <w:rsid w:val="002A1691"/>
    <w:rsid w:val="002A1C66"/>
    <w:rsid w:val="002A1C73"/>
    <w:rsid w:val="002A2277"/>
    <w:rsid w:val="002A27A0"/>
    <w:rsid w:val="002A3751"/>
    <w:rsid w:val="002A38A0"/>
    <w:rsid w:val="002A3F2C"/>
    <w:rsid w:val="002A4093"/>
    <w:rsid w:val="002A4128"/>
    <w:rsid w:val="002A4668"/>
    <w:rsid w:val="002A48F7"/>
    <w:rsid w:val="002A4A88"/>
    <w:rsid w:val="002A5138"/>
    <w:rsid w:val="002A5147"/>
    <w:rsid w:val="002A552B"/>
    <w:rsid w:val="002A55E2"/>
    <w:rsid w:val="002A56EA"/>
    <w:rsid w:val="002A57FC"/>
    <w:rsid w:val="002A5875"/>
    <w:rsid w:val="002A59D9"/>
    <w:rsid w:val="002A6072"/>
    <w:rsid w:val="002A64C7"/>
    <w:rsid w:val="002A6761"/>
    <w:rsid w:val="002A6BD3"/>
    <w:rsid w:val="002A6DA7"/>
    <w:rsid w:val="002A72AF"/>
    <w:rsid w:val="002A72DE"/>
    <w:rsid w:val="002A75FA"/>
    <w:rsid w:val="002A7722"/>
    <w:rsid w:val="002A7C62"/>
    <w:rsid w:val="002A7FD3"/>
    <w:rsid w:val="002B0125"/>
    <w:rsid w:val="002B0601"/>
    <w:rsid w:val="002B0C0C"/>
    <w:rsid w:val="002B0D66"/>
    <w:rsid w:val="002B10C1"/>
    <w:rsid w:val="002B10D7"/>
    <w:rsid w:val="002B1B71"/>
    <w:rsid w:val="002B1C28"/>
    <w:rsid w:val="002B1D1D"/>
    <w:rsid w:val="002B2009"/>
    <w:rsid w:val="002B20ED"/>
    <w:rsid w:val="002B23C6"/>
    <w:rsid w:val="002B2526"/>
    <w:rsid w:val="002B28AE"/>
    <w:rsid w:val="002B2EDF"/>
    <w:rsid w:val="002B2FC0"/>
    <w:rsid w:val="002B2FD5"/>
    <w:rsid w:val="002B30EB"/>
    <w:rsid w:val="002B31A3"/>
    <w:rsid w:val="002B336E"/>
    <w:rsid w:val="002B34B2"/>
    <w:rsid w:val="002B38F1"/>
    <w:rsid w:val="002B3C01"/>
    <w:rsid w:val="002B3D58"/>
    <w:rsid w:val="002B435F"/>
    <w:rsid w:val="002B43A2"/>
    <w:rsid w:val="002B43C9"/>
    <w:rsid w:val="002B5110"/>
    <w:rsid w:val="002B51FD"/>
    <w:rsid w:val="002B5479"/>
    <w:rsid w:val="002B5C09"/>
    <w:rsid w:val="002B602B"/>
    <w:rsid w:val="002B64DB"/>
    <w:rsid w:val="002B6B56"/>
    <w:rsid w:val="002B6C12"/>
    <w:rsid w:val="002B72BD"/>
    <w:rsid w:val="002B7E68"/>
    <w:rsid w:val="002B7FAB"/>
    <w:rsid w:val="002C002D"/>
    <w:rsid w:val="002C029E"/>
    <w:rsid w:val="002C02C7"/>
    <w:rsid w:val="002C0380"/>
    <w:rsid w:val="002C077D"/>
    <w:rsid w:val="002C0931"/>
    <w:rsid w:val="002C10CE"/>
    <w:rsid w:val="002C1246"/>
    <w:rsid w:val="002C1393"/>
    <w:rsid w:val="002C179E"/>
    <w:rsid w:val="002C1B55"/>
    <w:rsid w:val="002C1C98"/>
    <w:rsid w:val="002C1ED9"/>
    <w:rsid w:val="002C2AC0"/>
    <w:rsid w:val="002C362D"/>
    <w:rsid w:val="002C3BCC"/>
    <w:rsid w:val="002C420F"/>
    <w:rsid w:val="002C426A"/>
    <w:rsid w:val="002C47BE"/>
    <w:rsid w:val="002C48CD"/>
    <w:rsid w:val="002C4ACD"/>
    <w:rsid w:val="002C51FF"/>
    <w:rsid w:val="002C5267"/>
    <w:rsid w:val="002C5279"/>
    <w:rsid w:val="002C5815"/>
    <w:rsid w:val="002C5863"/>
    <w:rsid w:val="002C5BCB"/>
    <w:rsid w:val="002C5C27"/>
    <w:rsid w:val="002C5EC5"/>
    <w:rsid w:val="002C6327"/>
    <w:rsid w:val="002C656E"/>
    <w:rsid w:val="002C686F"/>
    <w:rsid w:val="002C6B91"/>
    <w:rsid w:val="002C6BA2"/>
    <w:rsid w:val="002C6CA2"/>
    <w:rsid w:val="002C6F2A"/>
    <w:rsid w:val="002C70B9"/>
    <w:rsid w:val="002C716C"/>
    <w:rsid w:val="002C78F7"/>
    <w:rsid w:val="002C7C1C"/>
    <w:rsid w:val="002D02AE"/>
    <w:rsid w:val="002D06D3"/>
    <w:rsid w:val="002D074A"/>
    <w:rsid w:val="002D07FE"/>
    <w:rsid w:val="002D0A34"/>
    <w:rsid w:val="002D13A2"/>
    <w:rsid w:val="002D1513"/>
    <w:rsid w:val="002D1592"/>
    <w:rsid w:val="002D1932"/>
    <w:rsid w:val="002D194C"/>
    <w:rsid w:val="002D1A4A"/>
    <w:rsid w:val="002D202D"/>
    <w:rsid w:val="002D219F"/>
    <w:rsid w:val="002D2223"/>
    <w:rsid w:val="002D2442"/>
    <w:rsid w:val="002D26ED"/>
    <w:rsid w:val="002D2901"/>
    <w:rsid w:val="002D2BDD"/>
    <w:rsid w:val="002D2D26"/>
    <w:rsid w:val="002D2F9B"/>
    <w:rsid w:val="002D3267"/>
    <w:rsid w:val="002D33E0"/>
    <w:rsid w:val="002D3400"/>
    <w:rsid w:val="002D3674"/>
    <w:rsid w:val="002D4119"/>
    <w:rsid w:val="002D424E"/>
    <w:rsid w:val="002D432D"/>
    <w:rsid w:val="002D4FCA"/>
    <w:rsid w:val="002D53FA"/>
    <w:rsid w:val="002D5439"/>
    <w:rsid w:val="002D5710"/>
    <w:rsid w:val="002D57DD"/>
    <w:rsid w:val="002D582F"/>
    <w:rsid w:val="002D5B8B"/>
    <w:rsid w:val="002D5BE6"/>
    <w:rsid w:val="002D655C"/>
    <w:rsid w:val="002D69C3"/>
    <w:rsid w:val="002D6EB1"/>
    <w:rsid w:val="002D7226"/>
    <w:rsid w:val="002D779F"/>
    <w:rsid w:val="002D77A7"/>
    <w:rsid w:val="002D7C5E"/>
    <w:rsid w:val="002E070D"/>
    <w:rsid w:val="002E073E"/>
    <w:rsid w:val="002E0DCF"/>
    <w:rsid w:val="002E1352"/>
    <w:rsid w:val="002E1417"/>
    <w:rsid w:val="002E1873"/>
    <w:rsid w:val="002E2774"/>
    <w:rsid w:val="002E27E7"/>
    <w:rsid w:val="002E29CE"/>
    <w:rsid w:val="002E2B15"/>
    <w:rsid w:val="002E30EE"/>
    <w:rsid w:val="002E3651"/>
    <w:rsid w:val="002E367B"/>
    <w:rsid w:val="002E43EB"/>
    <w:rsid w:val="002E44A8"/>
    <w:rsid w:val="002E4627"/>
    <w:rsid w:val="002E4B6E"/>
    <w:rsid w:val="002E4E4E"/>
    <w:rsid w:val="002E5146"/>
    <w:rsid w:val="002E5748"/>
    <w:rsid w:val="002E57CF"/>
    <w:rsid w:val="002E595A"/>
    <w:rsid w:val="002E5991"/>
    <w:rsid w:val="002E5A66"/>
    <w:rsid w:val="002E5CE7"/>
    <w:rsid w:val="002E64B4"/>
    <w:rsid w:val="002E64FC"/>
    <w:rsid w:val="002E701E"/>
    <w:rsid w:val="002E7020"/>
    <w:rsid w:val="002E73C6"/>
    <w:rsid w:val="002E7CC8"/>
    <w:rsid w:val="002F0135"/>
    <w:rsid w:val="002F0446"/>
    <w:rsid w:val="002F0A87"/>
    <w:rsid w:val="002F0EA1"/>
    <w:rsid w:val="002F0EF4"/>
    <w:rsid w:val="002F2242"/>
    <w:rsid w:val="002F244C"/>
    <w:rsid w:val="002F24CE"/>
    <w:rsid w:val="002F24D8"/>
    <w:rsid w:val="002F27FC"/>
    <w:rsid w:val="002F299B"/>
    <w:rsid w:val="002F2A3F"/>
    <w:rsid w:val="002F2C51"/>
    <w:rsid w:val="002F3890"/>
    <w:rsid w:val="002F3B20"/>
    <w:rsid w:val="002F4ABE"/>
    <w:rsid w:val="002F4AE9"/>
    <w:rsid w:val="002F51E1"/>
    <w:rsid w:val="002F561B"/>
    <w:rsid w:val="002F5B3D"/>
    <w:rsid w:val="002F697E"/>
    <w:rsid w:val="002F6A2E"/>
    <w:rsid w:val="002F6B4E"/>
    <w:rsid w:val="002F73AB"/>
    <w:rsid w:val="002F73AD"/>
    <w:rsid w:val="00300059"/>
    <w:rsid w:val="00300393"/>
    <w:rsid w:val="00300520"/>
    <w:rsid w:val="00300AE4"/>
    <w:rsid w:val="00300C62"/>
    <w:rsid w:val="0030117F"/>
    <w:rsid w:val="00301756"/>
    <w:rsid w:val="0030185F"/>
    <w:rsid w:val="00302229"/>
    <w:rsid w:val="00302636"/>
    <w:rsid w:val="0030267A"/>
    <w:rsid w:val="00302715"/>
    <w:rsid w:val="00302957"/>
    <w:rsid w:val="00302C9E"/>
    <w:rsid w:val="00303444"/>
    <w:rsid w:val="003034DA"/>
    <w:rsid w:val="0030355A"/>
    <w:rsid w:val="00303866"/>
    <w:rsid w:val="00303CC6"/>
    <w:rsid w:val="00303CF1"/>
    <w:rsid w:val="0030453B"/>
    <w:rsid w:val="00304577"/>
    <w:rsid w:val="00304656"/>
    <w:rsid w:val="003048BD"/>
    <w:rsid w:val="00304ABA"/>
    <w:rsid w:val="00304D42"/>
    <w:rsid w:val="0030564B"/>
    <w:rsid w:val="00305A04"/>
    <w:rsid w:val="00305AD9"/>
    <w:rsid w:val="00305EBD"/>
    <w:rsid w:val="00305F70"/>
    <w:rsid w:val="0030645D"/>
    <w:rsid w:val="00306641"/>
    <w:rsid w:val="003069A8"/>
    <w:rsid w:val="0030711A"/>
    <w:rsid w:val="003073A2"/>
    <w:rsid w:val="003078C4"/>
    <w:rsid w:val="00307E91"/>
    <w:rsid w:val="003102EC"/>
    <w:rsid w:val="00310786"/>
    <w:rsid w:val="00310BC1"/>
    <w:rsid w:val="003111E6"/>
    <w:rsid w:val="00311634"/>
    <w:rsid w:val="003117DF"/>
    <w:rsid w:val="00311D65"/>
    <w:rsid w:val="0031223E"/>
    <w:rsid w:val="00312ECF"/>
    <w:rsid w:val="003136F0"/>
    <w:rsid w:val="00313BDB"/>
    <w:rsid w:val="00314148"/>
    <w:rsid w:val="00314648"/>
    <w:rsid w:val="0031470E"/>
    <w:rsid w:val="00314B94"/>
    <w:rsid w:val="0031590F"/>
    <w:rsid w:val="00315B98"/>
    <w:rsid w:val="00315BBF"/>
    <w:rsid w:val="00316376"/>
    <w:rsid w:val="003163DD"/>
    <w:rsid w:val="00316455"/>
    <w:rsid w:val="003168F4"/>
    <w:rsid w:val="00316FBB"/>
    <w:rsid w:val="00317A0A"/>
    <w:rsid w:val="00317A9A"/>
    <w:rsid w:val="00317AE6"/>
    <w:rsid w:val="00317CEC"/>
    <w:rsid w:val="0032048A"/>
    <w:rsid w:val="003206E0"/>
    <w:rsid w:val="003209CB"/>
    <w:rsid w:val="00320BAD"/>
    <w:rsid w:val="00320D0B"/>
    <w:rsid w:val="00320FE8"/>
    <w:rsid w:val="0032121F"/>
    <w:rsid w:val="00321788"/>
    <w:rsid w:val="00321BE4"/>
    <w:rsid w:val="00322892"/>
    <w:rsid w:val="0032292D"/>
    <w:rsid w:val="0032298C"/>
    <w:rsid w:val="003237A6"/>
    <w:rsid w:val="0032395B"/>
    <w:rsid w:val="00323C16"/>
    <w:rsid w:val="00323C42"/>
    <w:rsid w:val="00323E89"/>
    <w:rsid w:val="00324107"/>
    <w:rsid w:val="003244A5"/>
    <w:rsid w:val="00324521"/>
    <w:rsid w:val="003247C9"/>
    <w:rsid w:val="00324E8B"/>
    <w:rsid w:val="00325027"/>
    <w:rsid w:val="0032527A"/>
    <w:rsid w:val="00325376"/>
    <w:rsid w:val="003253C8"/>
    <w:rsid w:val="00325C4E"/>
    <w:rsid w:val="00325D50"/>
    <w:rsid w:val="00325E0B"/>
    <w:rsid w:val="00325E3B"/>
    <w:rsid w:val="00325E42"/>
    <w:rsid w:val="00326A49"/>
    <w:rsid w:val="00326D45"/>
    <w:rsid w:val="0032718E"/>
    <w:rsid w:val="003271F0"/>
    <w:rsid w:val="00327D5E"/>
    <w:rsid w:val="003304C7"/>
    <w:rsid w:val="00330516"/>
    <w:rsid w:val="00330519"/>
    <w:rsid w:val="003309C5"/>
    <w:rsid w:val="00330CB0"/>
    <w:rsid w:val="003316AF"/>
    <w:rsid w:val="00331E19"/>
    <w:rsid w:val="00332332"/>
    <w:rsid w:val="0033241E"/>
    <w:rsid w:val="003324DE"/>
    <w:rsid w:val="003326CC"/>
    <w:rsid w:val="003327C5"/>
    <w:rsid w:val="003328E3"/>
    <w:rsid w:val="00332D03"/>
    <w:rsid w:val="0033305D"/>
    <w:rsid w:val="003339B9"/>
    <w:rsid w:val="00333F11"/>
    <w:rsid w:val="0033402E"/>
    <w:rsid w:val="0033461F"/>
    <w:rsid w:val="003349B3"/>
    <w:rsid w:val="00334CFD"/>
    <w:rsid w:val="00334E1E"/>
    <w:rsid w:val="00335004"/>
    <w:rsid w:val="0033521F"/>
    <w:rsid w:val="00335FB8"/>
    <w:rsid w:val="00336166"/>
    <w:rsid w:val="003361B1"/>
    <w:rsid w:val="00336E33"/>
    <w:rsid w:val="00336EBB"/>
    <w:rsid w:val="0033762D"/>
    <w:rsid w:val="003379BA"/>
    <w:rsid w:val="00340303"/>
    <w:rsid w:val="0034038D"/>
    <w:rsid w:val="0034089C"/>
    <w:rsid w:val="00340BEA"/>
    <w:rsid w:val="00340F89"/>
    <w:rsid w:val="00341B3D"/>
    <w:rsid w:val="00341B8F"/>
    <w:rsid w:val="00341CA3"/>
    <w:rsid w:val="00341E5D"/>
    <w:rsid w:val="003420C4"/>
    <w:rsid w:val="00342233"/>
    <w:rsid w:val="00342728"/>
    <w:rsid w:val="00342C76"/>
    <w:rsid w:val="00342D6B"/>
    <w:rsid w:val="00343340"/>
    <w:rsid w:val="00343361"/>
    <w:rsid w:val="00343912"/>
    <w:rsid w:val="00343C82"/>
    <w:rsid w:val="0034409F"/>
    <w:rsid w:val="00344407"/>
    <w:rsid w:val="00344B74"/>
    <w:rsid w:val="00344C48"/>
    <w:rsid w:val="00344F44"/>
    <w:rsid w:val="00344FE7"/>
    <w:rsid w:val="00345955"/>
    <w:rsid w:val="00345C33"/>
    <w:rsid w:val="00345FAA"/>
    <w:rsid w:val="00346459"/>
    <w:rsid w:val="0034649F"/>
    <w:rsid w:val="003468F1"/>
    <w:rsid w:val="00346C32"/>
    <w:rsid w:val="00347072"/>
    <w:rsid w:val="00347414"/>
    <w:rsid w:val="003475C1"/>
    <w:rsid w:val="00347782"/>
    <w:rsid w:val="003479AF"/>
    <w:rsid w:val="00350390"/>
    <w:rsid w:val="003508FF"/>
    <w:rsid w:val="00350B83"/>
    <w:rsid w:val="00350E61"/>
    <w:rsid w:val="003512E5"/>
    <w:rsid w:val="0035147C"/>
    <w:rsid w:val="00351B63"/>
    <w:rsid w:val="00352144"/>
    <w:rsid w:val="003523AB"/>
    <w:rsid w:val="00352581"/>
    <w:rsid w:val="00352EA7"/>
    <w:rsid w:val="00353DAF"/>
    <w:rsid w:val="0035474A"/>
    <w:rsid w:val="00354CC4"/>
    <w:rsid w:val="00354D0C"/>
    <w:rsid w:val="00354DAE"/>
    <w:rsid w:val="00355241"/>
    <w:rsid w:val="0035528E"/>
    <w:rsid w:val="003552FF"/>
    <w:rsid w:val="0035578E"/>
    <w:rsid w:val="00355825"/>
    <w:rsid w:val="00355A16"/>
    <w:rsid w:val="00355B51"/>
    <w:rsid w:val="00355BB2"/>
    <w:rsid w:val="00356626"/>
    <w:rsid w:val="00357023"/>
    <w:rsid w:val="003574E3"/>
    <w:rsid w:val="003575E6"/>
    <w:rsid w:val="00357885"/>
    <w:rsid w:val="00357E81"/>
    <w:rsid w:val="0036014A"/>
    <w:rsid w:val="00360153"/>
    <w:rsid w:val="00360316"/>
    <w:rsid w:val="00360AE9"/>
    <w:rsid w:val="00360D29"/>
    <w:rsid w:val="00360F70"/>
    <w:rsid w:val="003610ED"/>
    <w:rsid w:val="00361DC0"/>
    <w:rsid w:val="00361F12"/>
    <w:rsid w:val="00362096"/>
    <w:rsid w:val="003620D8"/>
    <w:rsid w:val="00362421"/>
    <w:rsid w:val="00362C25"/>
    <w:rsid w:val="003630CC"/>
    <w:rsid w:val="0036312D"/>
    <w:rsid w:val="003634C1"/>
    <w:rsid w:val="00363BA7"/>
    <w:rsid w:val="0036427D"/>
    <w:rsid w:val="00364875"/>
    <w:rsid w:val="00364C1A"/>
    <w:rsid w:val="00365813"/>
    <w:rsid w:val="00365B22"/>
    <w:rsid w:val="00365B95"/>
    <w:rsid w:val="003661C5"/>
    <w:rsid w:val="003662E5"/>
    <w:rsid w:val="003666DC"/>
    <w:rsid w:val="00366B6A"/>
    <w:rsid w:val="00366D64"/>
    <w:rsid w:val="00367233"/>
    <w:rsid w:val="0036771C"/>
    <w:rsid w:val="0036792E"/>
    <w:rsid w:val="00367A5E"/>
    <w:rsid w:val="00367B65"/>
    <w:rsid w:val="00367BB1"/>
    <w:rsid w:val="00367D24"/>
    <w:rsid w:val="00367DB9"/>
    <w:rsid w:val="0037050D"/>
    <w:rsid w:val="003709D5"/>
    <w:rsid w:val="00370AA8"/>
    <w:rsid w:val="00370AE9"/>
    <w:rsid w:val="00370C38"/>
    <w:rsid w:val="00371254"/>
    <w:rsid w:val="003713AE"/>
    <w:rsid w:val="0037198B"/>
    <w:rsid w:val="003719D1"/>
    <w:rsid w:val="0037277E"/>
    <w:rsid w:val="0037294B"/>
    <w:rsid w:val="003729AD"/>
    <w:rsid w:val="00372E11"/>
    <w:rsid w:val="00372FAB"/>
    <w:rsid w:val="0037308D"/>
    <w:rsid w:val="003730B9"/>
    <w:rsid w:val="00373885"/>
    <w:rsid w:val="00373EB0"/>
    <w:rsid w:val="00374017"/>
    <w:rsid w:val="003745F4"/>
    <w:rsid w:val="00374661"/>
    <w:rsid w:val="00374992"/>
    <w:rsid w:val="00374C53"/>
    <w:rsid w:val="00374E6B"/>
    <w:rsid w:val="00375D55"/>
    <w:rsid w:val="00375FF5"/>
    <w:rsid w:val="0037627E"/>
    <w:rsid w:val="003762D9"/>
    <w:rsid w:val="003765F0"/>
    <w:rsid w:val="00376A21"/>
    <w:rsid w:val="00376DA8"/>
    <w:rsid w:val="003770B5"/>
    <w:rsid w:val="003771CB"/>
    <w:rsid w:val="0037766D"/>
    <w:rsid w:val="00377B1E"/>
    <w:rsid w:val="00377BFB"/>
    <w:rsid w:val="00377DA9"/>
    <w:rsid w:val="0038016B"/>
    <w:rsid w:val="0038022C"/>
    <w:rsid w:val="00380683"/>
    <w:rsid w:val="003809C8"/>
    <w:rsid w:val="00380F9F"/>
    <w:rsid w:val="00381607"/>
    <w:rsid w:val="00381643"/>
    <w:rsid w:val="003818C6"/>
    <w:rsid w:val="0038195D"/>
    <w:rsid w:val="00382698"/>
    <w:rsid w:val="003826DB"/>
    <w:rsid w:val="00382762"/>
    <w:rsid w:val="00382D32"/>
    <w:rsid w:val="00382E6A"/>
    <w:rsid w:val="00382F7E"/>
    <w:rsid w:val="00383059"/>
    <w:rsid w:val="003834DF"/>
    <w:rsid w:val="00383A8F"/>
    <w:rsid w:val="00383C0F"/>
    <w:rsid w:val="00383CAB"/>
    <w:rsid w:val="00383D55"/>
    <w:rsid w:val="00383E25"/>
    <w:rsid w:val="00384120"/>
    <w:rsid w:val="0038419E"/>
    <w:rsid w:val="00384865"/>
    <w:rsid w:val="00384C56"/>
    <w:rsid w:val="00384CE5"/>
    <w:rsid w:val="003857F4"/>
    <w:rsid w:val="00385BC6"/>
    <w:rsid w:val="00385EF9"/>
    <w:rsid w:val="00386415"/>
    <w:rsid w:val="003865C8"/>
    <w:rsid w:val="00386C60"/>
    <w:rsid w:val="00386D01"/>
    <w:rsid w:val="00387529"/>
    <w:rsid w:val="0039035E"/>
    <w:rsid w:val="003903F6"/>
    <w:rsid w:val="00390620"/>
    <w:rsid w:val="0039065B"/>
    <w:rsid w:val="00390732"/>
    <w:rsid w:val="00390AEA"/>
    <w:rsid w:val="0039104A"/>
    <w:rsid w:val="0039143C"/>
    <w:rsid w:val="0039174F"/>
    <w:rsid w:val="0039199B"/>
    <w:rsid w:val="003921FB"/>
    <w:rsid w:val="00392300"/>
    <w:rsid w:val="0039255E"/>
    <w:rsid w:val="00392796"/>
    <w:rsid w:val="00392C21"/>
    <w:rsid w:val="00393210"/>
    <w:rsid w:val="0039331E"/>
    <w:rsid w:val="00393882"/>
    <w:rsid w:val="003946D6"/>
    <w:rsid w:val="0039479A"/>
    <w:rsid w:val="00394B90"/>
    <w:rsid w:val="0039578A"/>
    <w:rsid w:val="00395D20"/>
    <w:rsid w:val="00395D28"/>
    <w:rsid w:val="003962B1"/>
    <w:rsid w:val="003962EA"/>
    <w:rsid w:val="00396F81"/>
    <w:rsid w:val="003972DA"/>
    <w:rsid w:val="0039753D"/>
    <w:rsid w:val="003976A2"/>
    <w:rsid w:val="003978EB"/>
    <w:rsid w:val="00397951"/>
    <w:rsid w:val="00397BEA"/>
    <w:rsid w:val="003A073D"/>
    <w:rsid w:val="003A0CDC"/>
    <w:rsid w:val="003A0D57"/>
    <w:rsid w:val="003A0E08"/>
    <w:rsid w:val="003A1183"/>
    <w:rsid w:val="003A120F"/>
    <w:rsid w:val="003A1A56"/>
    <w:rsid w:val="003A25AD"/>
    <w:rsid w:val="003A26E3"/>
    <w:rsid w:val="003A2CE5"/>
    <w:rsid w:val="003A2F62"/>
    <w:rsid w:val="003A2F68"/>
    <w:rsid w:val="003A33D8"/>
    <w:rsid w:val="003A3782"/>
    <w:rsid w:val="003A37C9"/>
    <w:rsid w:val="003A39AA"/>
    <w:rsid w:val="003A3C8A"/>
    <w:rsid w:val="003A3F32"/>
    <w:rsid w:val="003A40BC"/>
    <w:rsid w:val="003A4BD5"/>
    <w:rsid w:val="003A4BE5"/>
    <w:rsid w:val="003A4F03"/>
    <w:rsid w:val="003A4FAF"/>
    <w:rsid w:val="003A4FDF"/>
    <w:rsid w:val="003A5141"/>
    <w:rsid w:val="003A5689"/>
    <w:rsid w:val="003A56A2"/>
    <w:rsid w:val="003A6049"/>
    <w:rsid w:val="003A6B12"/>
    <w:rsid w:val="003A6D26"/>
    <w:rsid w:val="003A6E2C"/>
    <w:rsid w:val="003A715A"/>
    <w:rsid w:val="003A71D6"/>
    <w:rsid w:val="003A7594"/>
    <w:rsid w:val="003A7659"/>
    <w:rsid w:val="003A7B3A"/>
    <w:rsid w:val="003A7D64"/>
    <w:rsid w:val="003B0061"/>
    <w:rsid w:val="003B014D"/>
    <w:rsid w:val="003B0537"/>
    <w:rsid w:val="003B0D57"/>
    <w:rsid w:val="003B0E1F"/>
    <w:rsid w:val="003B169B"/>
    <w:rsid w:val="003B1A50"/>
    <w:rsid w:val="003B23DC"/>
    <w:rsid w:val="003B2687"/>
    <w:rsid w:val="003B2A0B"/>
    <w:rsid w:val="003B2C6B"/>
    <w:rsid w:val="003B2E04"/>
    <w:rsid w:val="003B2FCA"/>
    <w:rsid w:val="003B36CB"/>
    <w:rsid w:val="003B37EE"/>
    <w:rsid w:val="003B3A4F"/>
    <w:rsid w:val="003B3C7C"/>
    <w:rsid w:val="003B3DE4"/>
    <w:rsid w:val="003B3F00"/>
    <w:rsid w:val="003B442D"/>
    <w:rsid w:val="003B4BAE"/>
    <w:rsid w:val="003B4DE1"/>
    <w:rsid w:val="003B4F0F"/>
    <w:rsid w:val="003B4F75"/>
    <w:rsid w:val="003B5210"/>
    <w:rsid w:val="003B5364"/>
    <w:rsid w:val="003B5410"/>
    <w:rsid w:val="003B55B3"/>
    <w:rsid w:val="003B56ED"/>
    <w:rsid w:val="003B5A9C"/>
    <w:rsid w:val="003B5BC4"/>
    <w:rsid w:val="003B5E5E"/>
    <w:rsid w:val="003B5F5B"/>
    <w:rsid w:val="003B60A5"/>
    <w:rsid w:val="003B61F9"/>
    <w:rsid w:val="003B6275"/>
    <w:rsid w:val="003B6519"/>
    <w:rsid w:val="003B6568"/>
    <w:rsid w:val="003B6AC6"/>
    <w:rsid w:val="003B755C"/>
    <w:rsid w:val="003B7E25"/>
    <w:rsid w:val="003B7ECB"/>
    <w:rsid w:val="003C010A"/>
    <w:rsid w:val="003C0C11"/>
    <w:rsid w:val="003C12D1"/>
    <w:rsid w:val="003C12E3"/>
    <w:rsid w:val="003C1324"/>
    <w:rsid w:val="003C2148"/>
    <w:rsid w:val="003C2320"/>
    <w:rsid w:val="003C236F"/>
    <w:rsid w:val="003C27A5"/>
    <w:rsid w:val="003C2BDF"/>
    <w:rsid w:val="003C2DC1"/>
    <w:rsid w:val="003C2E43"/>
    <w:rsid w:val="003C2F9E"/>
    <w:rsid w:val="003C32C5"/>
    <w:rsid w:val="003C3604"/>
    <w:rsid w:val="003C3631"/>
    <w:rsid w:val="003C3893"/>
    <w:rsid w:val="003C39C7"/>
    <w:rsid w:val="003C3AAC"/>
    <w:rsid w:val="003C404C"/>
    <w:rsid w:val="003C41CE"/>
    <w:rsid w:val="003C44AD"/>
    <w:rsid w:val="003C4624"/>
    <w:rsid w:val="003C49A2"/>
    <w:rsid w:val="003C4C7E"/>
    <w:rsid w:val="003C4FFE"/>
    <w:rsid w:val="003C5049"/>
    <w:rsid w:val="003C558A"/>
    <w:rsid w:val="003C55C6"/>
    <w:rsid w:val="003C55E3"/>
    <w:rsid w:val="003C5C3F"/>
    <w:rsid w:val="003C5E38"/>
    <w:rsid w:val="003C6397"/>
    <w:rsid w:val="003C6399"/>
    <w:rsid w:val="003C63C2"/>
    <w:rsid w:val="003C652A"/>
    <w:rsid w:val="003C665E"/>
    <w:rsid w:val="003C69FB"/>
    <w:rsid w:val="003C71DE"/>
    <w:rsid w:val="003C7209"/>
    <w:rsid w:val="003C730A"/>
    <w:rsid w:val="003C7384"/>
    <w:rsid w:val="003C767E"/>
    <w:rsid w:val="003C78AA"/>
    <w:rsid w:val="003C79C7"/>
    <w:rsid w:val="003C7B15"/>
    <w:rsid w:val="003C7DAE"/>
    <w:rsid w:val="003C7F87"/>
    <w:rsid w:val="003C7FC2"/>
    <w:rsid w:val="003D000D"/>
    <w:rsid w:val="003D006D"/>
    <w:rsid w:val="003D014E"/>
    <w:rsid w:val="003D033A"/>
    <w:rsid w:val="003D051B"/>
    <w:rsid w:val="003D0A61"/>
    <w:rsid w:val="003D0FB8"/>
    <w:rsid w:val="003D1616"/>
    <w:rsid w:val="003D16EF"/>
    <w:rsid w:val="003D17BF"/>
    <w:rsid w:val="003D1CFF"/>
    <w:rsid w:val="003D1D84"/>
    <w:rsid w:val="003D2023"/>
    <w:rsid w:val="003D21E7"/>
    <w:rsid w:val="003D23FD"/>
    <w:rsid w:val="003D2477"/>
    <w:rsid w:val="003D2826"/>
    <w:rsid w:val="003D2915"/>
    <w:rsid w:val="003D298E"/>
    <w:rsid w:val="003D2E40"/>
    <w:rsid w:val="003D2ECA"/>
    <w:rsid w:val="003D3467"/>
    <w:rsid w:val="003D3668"/>
    <w:rsid w:val="003D3A89"/>
    <w:rsid w:val="003D3AF3"/>
    <w:rsid w:val="003D42F1"/>
    <w:rsid w:val="003D4486"/>
    <w:rsid w:val="003D4D1D"/>
    <w:rsid w:val="003D4EDC"/>
    <w:rsid w:val="003D4FF9"/>
    <w:rsid w:val="003D507F"/>
    <w:rsid w:val="003D5368"/>
    <w:rsid w:val="003D5530"/>
    <w:rsid w:val="003D560C"/>
    <w:rsid w:val="003D5961"/>
    <w:rsid w:val="003D5A56"/>
    <w:rsid w:val="003D5CE8"/>
    <w:rsid w:val="003D5E09"/>
    <w:rsid w:val="003D62F9"/>
    <w:rsid w:val="003D64A6"/>
    <w:rsid w:val="003D6C63"/>
    <w:rsid w:val="003D6D36"/>
    <w:rsid w:val="003D6ED6"/>
    <w:rsid w:val="003D7151"/>
    <w:rsid w:val="003D751B"/>
    <w:rsid w:val="003D76E5"/>
    <w:rsid w:val="003D781E"/>
    <w:rsid w:val="003D782B"/>
    <w:rsid w:val="003D7A02"/>
    <w:rsid w:val="003D7C32"/>
    <w:rsid w:val="003D7C90"/>
    <w:rsid w:val="003E06F6"/>
    <w:rsid w:val="003E079F"/>
    <w:rsid w:val="003E097D"/>
    <w:rsid w:val="003E0FBF"/>
    <w:rsid w:val="003E10D0"/>
    <w:rsid w:val="003E1131"/>
    <w:rsid w:val="003E137F"/>
    <w:rsid w:val="003E14C9"/>
    <w:rsid w:val="003E18C3"/>
    <w:rsid w:val="003E26ED"/>
    <w:rsid w:val="003E2A10"/>
    <w:rsid w:val="003E2CE5"/>
    <w:rsid w:val="003E2D28"/>
    <w:rsid w:val="003E2FF0"/>
    <w:rsid w:val="003E337B"/>
    <w:rsid w:val="003E3AB7"/>
    <w:rsid w:val="003E479B"/>
    <w:rsid w:val="003E4923"/>
    <w:rsid w:val="003E4D74"/>
    <w:rsid w:val="003E504F"/>
    <w:rsid w:val="003E51A4"/>
    <w:rsid w:val="003E5319"/>
    <w:rsid w:val="003E58C2"/>
    <w:rsid w:val="003E5916"/>
    <w:rsid w:val="003E5A76"/>
    <w:rsid w:val="003E6376"/>
    <w:rsid w:val="003E6687"/>
    <w:rsid w:val="003E6B27"/>
    <w:rsid w:val="003E6B9D"/>
    <w:rsid w:val="003E72B1"/>
    <w:rsid w:val="003E764F"/>
    <w:rsid w:val="003E7A12"/>
    <w:rsid w:val="003E7DC6"/>
    <w:rsid w:val="003F00DF"/>
    <w:rsid w:val="003F02CB"/>
    <w:rsid w:val="003F0522"/>
    <w:rsid w:val="003F0FD9"/>
    <w:rsid w:val="003F12EC"/>
    <w:rsid w:val="003F14FD"/>
    <w:rsid w:val="003F172A"/>
    <w:rsid w:val="003F1C3D"/>
    <w:rsid w:val="003F1FDA"/>
    <w:rsid w:val="003F23D3"/>
    <w:rsid w:val="003F25E9"/>
    <w:rsid w:val="003F2602"/>
    <w:rsid w:val="003F2678"/>
    <w:rsid w:val="003F2797"/>
    <w:rsid w:val="003F2FAE"/>
    <w:rsid w:val="003F33C3"/>
    <w:rsid w:val="003F37AB"/>
    <w:rsid w:val="003F387F"/>
    <w:rsid w:val="003F3ABA"/>
    <w:rsid w:val="003F3E96"/>
    <w:rsid w:val="003F452D"/>
    <w:rsid w:val="003F45D6"/>
    <w:rsid w:val="003F4BFE"/>
    <w:rsid w:val="003F4F25"/>
    <w:rsid w:val="003F5BE6"/>
    <w:rsid w:val="003F60FD"/>
    <w:rsid w:val="003F6D16"/>
    <w:rsid w:val="003F6D25"/>
    <w:rsid w:val="003F6F5A"/>
    <w:rsid w:val="003F7603"/>
    <w:rsid w:val="003F788F"/>
    <w:rsid w:val="003F797D"/>
    <w:rsid w:val="003F7A45"/>
    <w:rsid w:val="0040000C"/>
    <w:rsid w:val="004001E8"/>
    <w:rsid w:val="00400302"/>
    <w:rsid w:val="004009D9"/>
    <w:rsid w:val="00400F52"/>
    <w:rsid w:val="00401764"/>
    <w:rsid w:val="0040189C"/>
    <w:rsid w:val="00401C21"/>
    <w:rsid w:val="00402A89"/>
    <w:rsid w:val="00403293"/>
    <w:rsid w:val="0040338B"/>
    <w:rsid w:val="004035DD"/>
    <w:rsid w:val="004038B3"/>
    <w:rsid w:val="0040398A"/>
    <w:rsid w:val="00403CA0"/>
    <w:rsid w:val="00403E2F"/>
    <w:rsid w:val="00404BDC"/>
    <w:rsid w:val="00404D7B"/>
    <w:rsid w:val="00404E4D"/>
    <w:rsid w:val="00405871"/>
    <w:rsid w:val="00405CD9"/>
    <w:rsid w:val="0040653F"/>
    <w:rsid w:val="00406651"/>
    <w:rsid w:val="00406703"/>
    <w:rsid w:val="00406B25"/>
    <w:rsid w:val="00406BCD"/>
    <w:rsid w:val="0040736D"/>
    <w:rsid w:val="00407382"/>
    <w:rsid w:val="0040745B"/>
    <w:rsid w:val="0040758D"/>
    <w:rsid w:val="00407E97"/>
    <w:rsid w:val="00410065"/>
    <w:rsid w:val="00411FC4"/>
    <w:rsid w:val="0041234E"/>
    <w:rsid w:val="0041253D"/>
    <w:rsid w:val="00412813"/>
    <w:rsid w:val="004129C0"/>
    <w:rsid w:val="00412EE0"/>
    <w:rsid w:val="0041338E"/>
    <w:rsid w:val="004133C3"/>
    <w:rsid w:val="00413660"/>
    <w:rsid w:val="00413762"/>
    <w:rsid w:val="004137F1"/>
    <w:rsid w:val="0041384B"/>
    <w:rsid w:val="004138A4"/>
    <w:rsid w:val="00414055"/>
    <w:rsid w:val="004143E8"/>
    <w:rsid w:val="004144CF"/>
    <w:rsid w:val="0041463A"/>
    <w:rsid w:val="0041476E"/>
    <w:rsid w:val="00414823"/>
    <w:rsid w:val="004152CD"/>
    <w:rsid w:val="0041555C"/>
    <w:rsid w:val="00415A63"/>
    <w:rsid w:val="00415AC4"/>
    <w:rsid w:val="00415ED1"/>
    <w:rsid w:val="0041620C"/>
    <w:rsid w:val="00416BBD"/>
    <w:rsid w:val="00416C06"/>
    <w:rsid w:val="00416C36"/>
    <w:rsid w:val="004172A8"/>
    <w:rsid w:val="0041733C"/>
    <w:rsid w:val="0041772B"/>
    <w:rsid w:val="004179DB"/>
    <w:rsid w:val="004179EA"/>
    <w:rsid w:val="00417D4E"/>
    <w:rsid w:val="004200C3"/>
    <w:rsid w:val="00420212"/>
    <w:rsid w:val="00420865"/>
    <w:rsid w:val="00420A55"/>
    <w:rsid w:val="00420A5C"/>
    <w:rsid w:val="00420E60"/>
    <w:rsid w:val="0042178F"/>
    <w:rsid w:val="0042190C"/>
    <w:rsid w:val="004219A7"/>
    <w:rsid w:val="00422049"/>
    <w:rsid w:val="00422232"/>
    <w:rsid w:val="0042226E"/>
    <w:rsid w:val="004222F3"/>
    <w:rsid w:val="00423192"/>
    <w:rsid w:val="00423816"/>
    <w:rsid w:val="00423B70"/>
    <w:rsid w:val="00423BE9"/>
    <w:rsid w:val="00423D75"/>
    <w:rsid w:val="0042453A"/>
    <w:rsid w:val="0042465E"/>
    <w:rsid w:val="00424683"/>
    <w:rsid w:val="004246C9"/>
    <w:rsid w:val="00424B98"/>
    <w:rsid w:val="00424B9C"/>
    <w:rsid w:val="00425006"/>
    <w:rsid w:val="004255E5"/>
    <w:rsid w:val="00425DEC"/>
    <w:rsid w:val="004263BC"/>
    <w:rsid w:val="004270FE"/>
    <w:rsid w:val="0042793F"/>
    <w:rsid w:val="00427D7C"/>
    <w:rsid w:val="00430378"/>
    <w:rsid w:val="00430858"/>
    <w:rsid w:val="00430BD9"/>
    <w:rsid w:val="0043106B"/>
    <w:rsid w:val="0043119A"/>
    <w:rsid w:val="004312B6"/>
    <w:rsid w:val="0043178A"/>
    <w:rsid w:val="004317C7"/>
    <w:rsid w:val="00431A22"/>
    <w:rsid w:val="00432196"/>
    <w:rsid w:val="0043230A"/>
    <w:rsid w:val="0043233C"/>
    <w:rsid w:val="00432422"/>
    <w:rsid w:val="004324FB"/>
    <w:rsid w:val="00432B97"/>
    <w:rsid w:val="004336E6"/>
    <w:rsid w:val="004337C6"/>
    <w:rsid w:val="0043393D"/>
    <w:rsid w:val="00433998"/>
    <w:rsid w:val="00433D25"/>
    <w:rsid w:val="00433D3E"/>
    <w:rsid w:val="00433F16"/>
    <w:rsid w:val="00434140"/>
    <w:rsid w:val="00434275"/>
    <w:rsid w:val="004346A9"/>
    <w:rsid w:val="00434904"/>
    <w:rsid w:val="00434B5B"/>
    <w:rsid w:val="00434B6E"/>
    <w:rsid w:val="00434EAB"/>
    <w:rsid w:val="004352A1"/>
    <w:rsid w:val="00435761"/>
    <w:rsid w:val="00435AD6"/>
    <w:rsid w:val="004362B0"/>
    <w:rsid w:val="00436464"/>
    <w:rsid w:val="0043651B"/>
    <w:rsid w:val="004367C1"/>
    <w:rsid w:val="00436EBA"/>
    <w:rsid w:val="00436F1D"/>
    <w:rsid w:val="00436F32"/>
    <w:rsid w:val="00436F50"/>
    <w:rsid w:val="004373A2"/>
    <w:rsid w:val="0043747D"/>
    <w:rsid w:val="0043769C"/>
    <w:rsid w:val="004376DB"/>
    <w:rsid w:val="004376EE"/>
    <w:rsid w:val="00437764"/>
    <w:rsid w:val="00437925"/>
    <w:rsid w:val="00437AA7"/>
    <w:rsid w:val="00437ABF"/>
    <w:rsid w:val="00437E05"/>
    <w:rsid w:val="00440608"/>
    <w:rsid w:val="004406EE"/>
    <w:rsid w:val="00440855"/>
    <w:rsid w:val="00440F2E"/>
    <w:rsid w:val="00441251"/>
    <w:rsid w:val="00441324"/>
    <w:rsid w:val="004413AD"/>
    <w:rsid w:val="00441419"/>
    <w:rsid w:val="004414B8"/>
    <w:rsid w:val="0044178A"/>
    <w:rsid w:val="004418A6"/>
    <w:rsid w:val="00441A2F"/>
    <w:rsid w:val="00441F70"/>
    <w:rsid w:val="004426B8"/>
    <w:rsid w:val="004428CE"/>
    <w:rsid w:val="00442EC7"/>
    <w:rsid w:val="00442F62"/>
    <w:rsid w:val="00443120"/>
    <w:rsid w:val="00443D7E"/>
    <w:rsid w:val="00443E53"/>
    <w:rsid w:val="00443E6D"/>
    <w:rsid w:val="0044411D"/>
    <w:rsid w:val="004442B5"/>
    <w:rsid w:val="00444A3B"/>
    <w:rsid w:val="00444C15"/>
    <w:rsid w:val="00444DE6"/>
    <w:rsid w:val="00444FE2"/>
    <w:rsid w:val="00445828"/>
    <w:rsid w:val="00445954"/>
    <w:rsid w:val="00445DC2"/>
    <w:rsid w:val="00445F43"/>
    <w:rsid w:val="004467D3"/>
    <w:rsid w:val="00446B0F"/>
    <w:rsid w:val="00446DC5"/>
    <w:rsid w:val="00446E09"/>
    <w:rsid w:val="00446EBD"/>
    <w:rsid w:val="00447030"/>
    <w:rsid w:val="00447884"/>
    <w:rsid w:val="00447B74"/>
    <w:rsid w:val="00447E6B"/>
    <w:rsid w:val="00447E88"/>
    <w:rsid w:val="00447EB2"/>
    <w:rsid w:val="00447F8E"/>
    <w:rsid w:val="00450AEA"/>
    <w:rsid w:val="00450FDD"/>
    <w:rsid w:val="0045175C"/>
    <w:rsid w:val="00451C3D"/>
    <w:rsid w:val="0045206B"/>
    <w:rsid w:val="00452298"/>
    <w:rsid w:val="00452518"/>
    <w:rsid w:val="004526DA"/>
    <w:rsid w:val="00452C33"/>
    <w:rsid w:val="00452C7B"/>
    <w:rsid w:val="00452CD6"/>
    <w:rsid w:val="0045334B"/>
    <w:rsid w:val="0045456C"/>
    <w:rsid w:val="004545B7"/>
    <w:rsid w:val="00454ADC"/>
    <w:rsid w:val="00454FF5"/>
    <w:rsid w:val="004551A9"/>
    <w:rsid w:val="0045595B"/>
    <w:rsid w:val="004559AE"/>
    <w:rsid w:val="00455D79"/>
    <w:rsid w:val="00455F0E"/>
    <w:rsid w:val="00456453"/>
    <w:rsid w:val="00456B6B"/>
    <w:rsid w:val="00456BE5"/>
    <w:rsid w:val="00456DFE"/>
    <w:rsid w:val="004573E5"/>
    <w:rsid w:val="00457544"/>
    <w:rsid w:val="00457999"/>
    <w:rsid w:val="00457A73"/>
    <w:rsid w:val="00457E4A"/>
    <w:rsid w:val="00457F43"/>
    <w:rsid w:val="004602A6"/>
    <w:rsid w:val="00460642"/>
    <w:rsid w:val="00460A31"/>
    <w:rsid w:val="00460B3B"/>
    <w:rsid w:val="00460B68"/>
    <w:rsid w:val="00461033"/>
    <w:rsid w:val="00461CC8"/>
    <w:rsid w:val="00462038"/>
    <w:rsid w:val="0046286D"/>
    <w:rsid w:val="004629AB"/>
    <w:rsid w:val="00463171"/>
    <w:rsid w:val="004633E0"/>
    <w:rsid w:val="0046387D"/>
    <w:rsid w:val="004638DB"/>
    <w:rsid w:val="004642B4"/>
    <w:rsid w:val="0046486E"/>
    <w:rsid w:val="00464A42"/>
    <w:rsid w:val="00464CAE"/>
    <w:rsid w:val="00464E42"/>
    <w:rsid w:val="0046502C"/>
    <w:rsid w:val="004650E4"/>
    <w:rsid w:val="004655C6"/>
    <w:rsid w:val="00465634"/>
    <w:rsid w:val="004656BF"/>
    <w:rsid w:val="00465D17"/>
    <w:rsid w:val="004664DB"/>
    <w:rsid w:val="0046658D"/>
    <w:rsid w:val="00466FB5"/>
    <w:rsid w:val="004703E1"/>
    <w:rsid w:val="004709B2"/>
    <w:rsid w:val="00470BAF"/>
    <w:rsid w:val="00470C96"/>
    <w:rsid w:val="00470D00"/>
    <w:rsid w:val="00471510"/>
    <w:rsid w:val="00471B00"/>
    <w:rsid w:val="00472AE1"/>
    <w:rsid w:val="00472EA9"/>
    <w:rsid w:val="00473157"/>
    <w:rsid w:val="00473176"/>
    <w:rsid w:val="004734B6"/>
    <w:rsid w:val="004734C5"/>
    <w:rsid w:val="0047364B"/>
    <w:rsid w:val="0047374E"/>
    <w:rsid w:val="00473B3D"/>
    <w:rsid w:val="00473E7E"/>
    <w:rsid w:val="00473E90"/>
    <w:rsid w:val="00473EBB"/>
    <w:rsid w:val="004741F7"/>
    <w:rsid w:val="004742BB"/>
    <w:rsid w:val="004744DB"/>
    <w:rsid w:val="0047477B"/>
    <w:rsid w:val="0047497B"/>
    <w:rsid w:val="00474C6B"/>
    <w:rsid w:val="00475321"/>
    <w:rsid w:val="0047565B"/>
    <w:rsid w:val="0047634F"/>
    <w:rsid w:val="00476358"/>
    <w:rsid w:val="00476B07"/>
    <w:rsid w:val="00476C35"/>
    <w:rsid w:val="00476FD3"/>
    <w:rsid w:val="00477808"/>
    <w:rsid w:val="004779D0"/>
    <w:rsid w:val="00477C19"/>
    <w:rsid w:val="00477DBB"/>
    <w:rsid w:val="004801E0"/>
    <w:rsid w:val="00480BB7"/>
    <w:rsid w:val="00480EE3"/>
    <w:rsid w:val="004812FB"/>
    <w:rsid w:val="004816CA"/>
    <w:rsid w:val="004817BE"/>
    <w:rsid w:val="00481E5F"/>
    <w:rsid w:val="00481E92"/>
    <w:rsid w:val="004826AF"/>
    <w:rsid w:val="0048272F"/>
    <w:rsid w:val="00482D54"/>
    <w:rsid w:val="00483271"/>
    <w:rsid w:val="004835C2"/>
    <w:rsid w:val="0048384B"/>
    <w:rsid w:val="00483859"/>
    <w:rsid w:val="00483B46"/>
    <w:rsid w:val="00483D0C"/>
    <w:rsid w:val="00483D3B"/>
    <w:rsid w:val="004845F1"/>
    <w:rsid w:val="004850B3"/>
    <w:rsid w:val="004857E7"/>
    <w:rsid w:val="00486130"/>
    <w:rsid w:val="004865A8"/>
    <w:rsid w:val="00486ADC"/>
    <w:rsid w:val="00486B96"/>
    <w:rsid w:val="00486C58"/>
    <w:rsid w:val="0048777D"/>
    <w:rsid w:val="004879AF"/>
    <w:rsid w:val="00487D18"/>
    <w:rsid w:val="00490038"/>
    <w:rsid w:val="00490059"/>
    <w:rsid w:val="00490162"/>
    <w:rsid w:val="004904F7"/>
    <w:rsid w:val="00490A5D"/>
    <w:rsid w:val="00491030"/>
    <w:rsid w:val="004910AC"/>
    <w:rsid w:val="004914D8"/>
    <w:rsid w:val="004919E8"/>
    <w:rsid w:val="00491E18"/>
    <w:rsid w:val="00491F91"/>
    <w:rsid w:val="00491FF6"/>
    <w:rsid w:val="00492145"/>
    <w:rsid w:val="004928CE"/>
    <w:rsid w:val="00492A2F"/>
    <w:rsid w:val="00492BA1"/>
    <w:rsid w:val="00492D7E"/>
    <w:rsid w:val="00493540"/>
    <w:rsid w:val="00493607"/>
    <w:rsid w:val="004939E4"/>
    <w:rsid w:val="00493D36"/>
    <w:rsid w:val="00493E35"/>
    <w:rsid w:val="00494AD6"/>
    <w:rsid w:val="00494E4C"/>
    <w:rsid w:val="00495120"/>
    <w:rsid w:val="00495E67"/>
    <w:rsid w:val="004963F9"/>
    <w:rsid w:val="0049698A"/>
    <w:rsid w:val="00496B4E"/>
    <w:rsid w:val="00496DE2"/>
    <w:rsid w:val="00497448"/>
    <w:rsid w:val="004975AA"/>
    <w:rsid w:val="00497645"/>
    <w:rsid w:val="00497935"/>
    <w:rsid w:val="004A034A"/>
    <w:rsid w:val="004A0476"/>
    <w:rsid w:val="004A07D7"/>
    <w:rsid w:val="004A0A69"/>
    <w:rsid w:val="004A0F9E"/>
    <w:rsid w:val="004A10D4"/>
    <w:rsid w:val="004A1130"/>
    <w:rsid w:val="004A1219"/>
    <w:rsid w:val="004A1A77"/>
    <w:rsid w:val="004A1DAA"/>
    <w:rsid w:val="004A23D2"/>
    <w:rsid w:val="004A25A0"/>
    <w:rsid w:val="004A285D"/>
    <w:rsid w:val="004A2D1D"/>
    <w:rsid w:val="004A302B"/>
    <w:rsid w:val="004A3242"/>
    <w:rsid w:val="004A3838"/>
    <w:rsid w:val="004A4467"/>
    <w:rsid w:val="004A4957"/>
    <w:rsid w:val="004A5258"/>
    <w:rsid w:val="004A5467"/>
    <w:rsid w:val="004A5AE2"/>
    <w:rsid w:val="004A5BB1"/>
    <w:rsid w:val="004A5CB1"/>
    <w:rsid w:val="004A5E3E"/>
    <w:rsid w:val="004A5EAA"/>
    <w:rsid w:val="004A638D"/>
    <w:rsid w:val="004A64EC"/>
    <w:rsid w:val="004A695F"/>
    <w:rsid w:val="004A697B"/>
    <w:rsid w:val="004A6A35"/>
    <w:rsid w:val="004A6EA6"/>
    <w:rsid w:val="004A7550"/>
    <w:rsid w:val="004A7966"/>
    <w:rsid w:val="004A7A54"/>
    <w:rsid w:val="004B0239"/>
    <w:rsid w:val="004B0379"/>
    <w:rsid w:val="004B0A69"/>
    <w:rsid w:val="004B0D1E"/>
    <w:rsid w:val="004B0E2E"/>
    <w:rsid w:val="004B1604"/>
    <w:rsid w:val="004B1701"/>
    <w:rsid w:val="004B1804"/>
    <w:rsid w:val="004B18CC"/>
    <w:rsid w:val="004B2609"/>
    <w:rsid w:val="004B2722"/>
    <w:rsid w:val="004B2F3D"/>
    <w:rsid w:val="004B32A0"/>
    <w:rsid w:val="004B36C1"/>
    <w:rsid w:val="004B3A60"/>
    <w:rsid w:val="004B3FCD"/>
    <w:rsid w:val="004B4C62"/>
    <w:rsid w:val="004B4D15"/>
    <w:rsid w:val="004B5064"/>
    <w:rsid w:val="004B5078"/>
    <w:rsid w:val="004B5096"/>
    <w:rsid w:val="004B51DA"/>
    <w:rsid w:val="004B54EF"/>
    <w:rsid w:val="004B592E"/>
    <w:rsid w:val="004B5CE2"/>
    <w:rsid w:val="004B5DAC"/>
    <w:rsid w:val="004B6147"/>
    <w:rsid w:val="004B6184"/>
    <w:rsid w:val="004B6634"/>
    <w:rsid w:val="004B67BB"/>
    <w:rsid w:val="004B67F1"/>
    <w:rsid w:val="004B6812"/>
    <w:rsid w:val="004B7293"/>
    <w:rsid w:val="004B7379"/>
    <w:rsid w:val="004B7DD1"/>
    <w:rsid w:val="004C0096"/>
    <w:rsid w:val="004C00A3"/>
    <w:rsid w:val="004C00F4"/>
    <w:rsid w:val="004C037B"/>
    <w:rsid w:val="004C082A"/>
    <w:rsid w:val="004C0830"/>
    <w:rsid w:val="004C085B"/>
    <w:rsid w:val="004C0BDA"/>
    <w:rsid w:val="004C1472"/>
    <w:rsid w:val="004C165E"/>
    <w:rsid w:val="004C1BF9"/>
    <w:rsid w:val="004C1C3E"/>
    <w:rsid w:val="004C1DAA"/>
    <w:rsid w:val="004C23BD"/>
    <w:rsid w:val="004C2498"/>
    <w:rsid w:val="004C2F9B"/>
    <w:rsid w:val="004C331E"/>
    <w:rsid w:val="004C333F"/>
    <w:rsid w:val="004C33BC"/>
    <w:rsid w:val="004C3D19"/>
    <w:rsid w:val="004C3FC0"/>
    <w:rsid w:val="004C42C9"/>
    <w:rsid w:val="004C42E6"/>
    <w:rsid w:val="004C4D54"/>
    <w:rsid w:val="004C5B42"/>
    <w:rsid w:val="004C5ECB"/>
    <w:rsid w:val="004C6109"/>
    <w:rsid w:val="004C6672"/>
    <w:rsid w:val="004C68B6"/>
    <w:rsid w:val="004C74F1"/>
    <w:rsid w:val="004D039F"/>
    <w:rsid w:val="004D04F6"/>
    <w:rsid w:val="004D0ED5"/>
    <w:rsid w:val="004D12A8"/>
    <w:rsid w:val="004D1906"/>
    <w:rsid w:val="004D1C16"/>
    <w:rsid w:val="004D203B"/>
    <w:rsid w:val="004D240F"/>
    <w:rsid w:val="004D2434"/>
    <w:rsid w:val="004D2710"/>
    <w:rsid w:val="004D29CC"/>
    <w:rsid w:val="004D2AB8"/>
    <w:rsid w:val="004D2D7A"/>
    <w:rsid w:val="004D37B3"/>
    <w:rsid w:val="004D391B"/>
    <w:rsid w:val="004D3E11"/>
    <w:rsid w:val="004D4043"/>
    <w:rsid w:val="004D4304"/>
    <w:rsid w:val="004D470B"/>
    <w:rsid w:val="004D4CD1"/>
    <w:rsid w:val="004D4E73"/>
    <w:rsid w:val="004D503B"/>
    <w:rsid w:val="004D50AB"/>
    <w:rsid w:val="004D514C"/>
    <w:rsid w:val="004D524E"/>
    <w:rsid w:val="004D5266"/>
    <w:rsid w:val="004D54B7"/>
    <w:rsid w:val="004D5ACA"/>
    <w:rsid w:val="004D60DF"/>
    <w:rsid w:val="004D6786"/>
    <w:rsid w:val="004D69E1"/>
    <w:rsid w:val="004D7869"/>
    <w:rsid w:val="004D7EE4"/>
    <w:rsid w:val="004E0137"/>
    <w:rsid w:val="004E11CF"/>
    <w:rsid w:val="004E121B"/>
    <w:rsid w:val="004E18E7"/>
    <w:rsid w:val="004E1E29"/>
    <w:rsid w:val="004E1ECE"/>
    <w:rsid w:val="004E1EF5"/>
    <w:rsid w:val="004E23F7"/>
    <w:rsid w:val="004E24D1"/>
    <w:rsid w:val="004E2A73"/>
    <w:rsid w:val="004E2B5D"/>
    <w:rsid w:val="004E3268"/>
    <w:rsid w:val="004E33F8"/>
    <w:rsid w:val="004E368A"/>
    <w:rsid w:val="004E3801"/>
    <w:rsid w:val="004E39C9"/>
    <w:rsid w:val="004E417F"/>
    <w:rsid w:val="004E41A1"/>
    <w:rsid w:val="004E4391"/>
    <w:rsid w:val="004E46F5"/>
    <w:rsid w:val="004E4CA8"/>
    <w:rsid w:val="004E4D78"/>
    <w:rsid w:val="004E4E20"/>
    <w:rsid w:val="004E500B"/>
    <w:rsid w:val="004E5153"/>
    <w:rsid w:val="004E5BC4"/>
    <w:rsid w:val="004E5C65"/>
    <w:rsid w:val="004E687B"/>
    <w:rsid w:val="004E70F3"/>
    <w:rsid w:val="004E713A"/>
    <w:rsid w:val="004E7649"/>
    <w:rsid w:val="004E79EC"/>
    <w:rsid w:val="004E7AD7"/>
    <w:rsid w:val="004E7B2E"/>
    <w:rsid w:val="004E7BDD"/>
    <w:rsid w:val="004F01D5"/>
    <w:rsid w:val="004F0439"/>
    <w:rsid w:val="004F0738"/>
    <w:rsid w:val="004F0A17"/>
    <w:rsid w:val="004F115C"/>
    <w:rsid w:val="004F13A0"/>
    <w:rsid w:val="004F17D0"/>
    <w:rsid w:val="004F1BB6"/>
    <w:rsid w:val="004F2044"/>
    <w:rsid w:val="004F20DC"/>
    <w:rsid w:val="004F23BA"/>
    <w:rsid w:val="004F33A6"/>
    <w:rsid w:val="004F35B2"/>
    <w:rsid w:val="004F35D6"/>
    <w:rsid w:val="004F3982"/>
    <w:rsid w:val="004F3A47"/>
    <w:rsid w:val="004F3AE1"/>
    <w:rsid w:val="004F3C71"/>
    <w:rsid w:val="004F3CDC"/>
    <w:rsid w:val="004F4537"/>
    <w:rsid w:val="004F4797"/>
    <w:rsid w:val="004F5068"/>
    <w:rsid w:val="004F51E9"/>
    <w:rsid w:val="004F54F5"/>
    <w:rsid w:val="004F551A"/>
    <w:rsid w:val="004F5C06"/>
    <w:rsid w:val="004F5FCC"/>
    <w:rsid w:val="004F63CD"/>
    <w:rsid w:val="004F63D5"/>
    <w:rsid w:val="004F64E4"/>
    <w:rsid w:val="004F662E"/>
    <w:rsid w:val="004F6A3A"/>
    <w:rsid w:val="004F6D13"/>
    <w:rsid w:val="004F6D20"/>
    <w:rsid w:val="004F6E61"/>
    <w:rsid w:val="004F71AC"/>
    <w:rsid w:val="004F75B7"/>
    <w:rsid w:val="004F783D"/>
    <w:rsid w:val="004F798E"/>
    <w:rsid w:val="00500262"/>
    <w:rsid w:val="005004E2"/>
    <w:rsid w:val="005009D1"/>
    <w:rsid w:val="005012E6"/>
    <w:rsid w:val="00501B88"/>
    <w:rsid w:val="0050246A"/>
    <w:rsid w:val="005025AD"/>
    <w:rsid w:val="005029B4"/>
    <w:rsid w:val="005033B1"/>
    <w:rsid w:val="0050348C"/>
    <w:rsid w:val="005039C8"/>
    <w:rsid w:val="00503A7E"/>
    <w:rsid w:val="00503ADE"/>
    <w:rsid w:val="00503BA8"/>
    <w:rsid w:val="00504660"/>
    <w:rsid w:val="00504D6A"/>
    <w:rsid w:val="00505BCC"/>
    <w:rsid w:val="00505CD4"/>
    <w:rsid w:val="00506869"/>
    <w:rsid w:val="00506974"/>
    <w:rsid w:val="00506E52"/>
    <w:rsid w:val="005072C5"/>
    <w:rsid w:val="005078D1"/>
    <w:rsid w:val="00510003"/>
    <w:rsid w:val="00510174"/>
    <w:rsid w:val="005104D5"/>
    <w:rsid w:val="0051091F"/>
    <w:rsid w:val="00510AC0"/>
    <w:rsid w:val="00511028"/>
    <w:rsid w:val="0051115B"/>
    <w:rsid w:val="00511482"/>
    <w:rsid w:val="00511611"/>
    <w:rsid w:val="005117FB"/>
    <w:rsid w:val="00511A63"/>
    <w:rsid w:val="00511A77"/>
    <w:rsid w:val="00511AC5"/>
    <w:rsid w:val="00512305"/>
    <w:rsid w:val="00512844"/>
    <w:rsid w:val="00512B6C"/>
    <w:rsid w:val="00512C52"/>
    <w:rsid w:val="00512FFF"/>
    <w:rsid w:val="00513075"/>
    <w:rsid w:val="0051350B"/>
    <w:rsid w:val="00513592"/>
    <w:rsid w:val="00513851"/>
    <w:rsid w:val="00513D9B"/>
    <w:rsid w:val="00514152"/>
    <w:rsid w:val="0051436F"/>
    <w:rsid w:val="0051498D"/>
    <w:rsid w:val="00514D56"/>
    <w:rsid w:val="00514F71"/>
    <w:rsid w:val="005158B6"/>
    <w:rsid w:val="005158C0"/>
    <w:rsid w:val="005159D9"/>
    <w:rsid w:val="00515A24"/>
    <w:rsid w:val="00515DD3"/>
    <w:rsid w:val="00515E0B"/>
    <w:rsid w:val="00515ED5"/>
    <w:rsid w:val="00516523"/>
    <w:rsid w:val="005166CD"/>
    <w:rsid w:val="00516705"/>
    <w:rsid w:val="005169BC"/>
    <w:rsid w:val="00516B0E"/>
    <w:rsid w:val="00517A06"/>
    <w:rsid w:val="00517BD2"/>
    <w:rsid w:val="00517CD1"/>
    <w:rsid w:val="00517FA7"/>
    <w:rsid w:val="0052026F"/>
    <w:rsid w:val="005203C5"/>
    <w:rsid w:val="0052042A"/>
    <w:rsid w:val="00520AA1"/>
    <w:rsid w:val="00520ECF"/>
    <w:rsid w:val="005213EA"/>
    <w:rsid w:val="00521578"/>
    <w:rsid w:val="00521BA2"/>
    <w:rsid w:val="0052217F"/>
    <w:rsid w:val="00522204"/>
    <w:rsid w:val="0052237E"/>
    <w:rsid w:val="0052269D"/>
    <w:rsid w:val="00522B02"/>
    <w:rsid w:val="00522E94"/>
    <w:rsid w:val="00522EEE"/>
    <w:rsid w:val="005231EC"/>
    <w:rsid w:val="005233DC"/>
    <w:rsid w:val="00523E4B"/>
    <w:rsid w:val="005241BC"/>
    <w:rsid w:val="00524468"/>
    <w:rsid w:val="00524EDE"/>
    <w:rsid w:val="0052534A"/>
    <w:rsid w:val="005255A6"/>
    <w:rsid w:val="005255B4"/>
    <w:rsid w:val="00526648"/>
    <w:rsid w:val="005266F3"/>
    <w:rsid w:val="0052770D"/>
    <w:rsid w:val="005278DC"/>
    <w:rsid w:val="00527EBA"/>
    <w:rsid w:val="00527FDA"/>
    <w:rsid w:val="00530135"/>
    <w:rsid w:val="005302FC"/>
    <w:rsid w:val="00530B8F"/>
    <w:rsid w:val="0053131B"/>
    <w:rsid w:val="005315C8"/>
    <w:rsid w:val="005315E4"/>
    <w:rsid w:val="005316DB"/>
    <w:rsid w:val="00531966"/>
    <w:rsid w:val="00532066"/>
    <w:rsid w:val="005321A2"/>
    <w:rsid w:val="0053222A"/>
    <w:rsid w:val="00532396"/>
    <w:rsid w:val="00532417"/>
    <w:rsid w:val="00532418"/>
    <w:rsid w:val="0053254C"/>
    <w:rsid w:val="00532933"/>
    <w:rsid w:val="00532A29"/>
    <w:rsid w:val="00532BC4"/>
    <w:rsid w:val="00533380"/>
    <w:rsid w:val="005337F7"/>
    <w:rsid w:val="00533A0B"/>
    <w:rsid w:val="00533C23"/>
    <w:rsid w:val="00533C90"/>
    <w:rsid w:val="00534950"/>
    <w:rsid w:val="00534A0C"/>
    <w:rsid w:val="00534B75"/>
    <w:rsid w:val="00534E2E"/>
    <w:rsid w:val="005351E4"/>
    <w:rsid w:val="00535465"/>
    <w:rsid w:val="005355A6"/>
    <w:rsid w:val="0053561B"/>
    <w:rsid w:val="00535AC6"/>
    <w:rsid w:val="00535BD2"/>
    <w:rsid w:val="00535FD3"/>
    <w:rsid w:val="005360FC"/>
    <w:rsid w:val="005363F4"/>
    <w:rsid w:val="00536F72"/>
    <w:rsid w:val="00537690"/>
    <w:rsid w:val="00537A6F"/>
    <w:rsid w:val="00537B0E"/>
    <w:rsid w:val="00537EFF"/>
    <w:rsid w:val="00540565"/>
    <w:rsid w:val="00540AA0"/>
    <w:rsid w:val="0054113C"/>
    <w:rsid w:val="0054195C"/>
    <w:rsid w:val="00541BCD"/>
    <w:rsid w:val="00541CAA"/>
    <w:rsid w:val="00542522"/>
    <w:rsid w:val="00542AA2"/>
    <w:rsid w:val="00542B06"/>
    <w:rsid w:val="00542B7D"/>
    <w:rsid w:val="00542BCC"/>
    <w:rsid w:val="00542E14"/>
    <w:rsid w:val="00542FA8"/>
    <w:rsid w:val="00543058"/>
    <w:rsid w:val="00543BA1"/>
    <w:rsid w:val="00543FFA"/>
    <w:rsid w:val="00544148"/>
    <w:rsid w:val="00544398"/>
    <w:rsid w:val="0054463A"/>
    <w:rsid w:val="00544845"/>
    <w:rsid w:val="005448C9"/>
    <w:rsid w:val="00544B14"/>
    <w:rsid w:val="0054518F"/>
    <w:rsid w:val="00545300"/>
    <w:rsid w:val="0054571A"/>
    <w:rsid w:val="005457D4"/>
    <w:rsid w:val="0054591C"/>
    <w:rsid w:val="00545B9B"/>
    <w:rsid w:val="00545CBC"/>
    <w:rsid w:val="00545DF4"/>
    <w:rsid w:val="00545FB6"/>
    <w:rsid w:val="005463A2"/>
    <w:rsid w:val="0054677C"/>
    <w:rsid w:val="005469A6"/>
    <w:rsid w:val="00546B77"/>
    <w:rsid w:val="00547AA9"/>
    <w:rsid w:val="00550112"/>
    <w:rsid w:val="0055100A"/>
    <w:rsid w:val="005516B3"/>
    <w:rsid w:val="00551800"/>
    <w:rsid w:val="00551AE2"/>
    <w:rsid w:val="00551B81"/>
    <w:rsid w:val="00551C21"/>
    <w:rsid w:val="0055250F"/>
    <w:rsid w:val="00552BF6"/>
    <w:rsid w:val="005534FA"/>
    <w:rsid w:val="00553CA4"/>
    <w:rsid w:val="00554897"/>
    <w:rsid w:val="005550CA"/>
    <w:rsid w:val="0055522B"/>
    <w:rsid w:val="00555785"/>
    <w:rsid w:val="00555BDF"/>
    <w:rsid w:val="00555D4A"/>
    <w:rsid w:val="00555FBA"/>
    <w:rsid w:val="00556368"/>
    <w:rsid w:val="0055742C"/>
    <w:rsid w:val="00557471"/>
    <w:rsid w:val="005578D0"/>
    <w:rsid w:val="00557AA6"/>
    <w:rsid w:val="00560BA8"/>
    <w:rsid w:val="005610E1"/>
    <w:rsid w:val="005618E0"/>
    <w:rsid w:val="005619AA"/>
    <w:rsid w:val="00561B6E"/>
    <w:rsid w:val="00562394"/>
    <w:rsid w:val="00562BE1"/>
    <w:rsid w:val="00563106"/>
    <w:rsid w:val="00563255"/>
    <w:rsid w:val="00563563"/>
    <w:rsid w:val="005635AA"/>
    <w:rsid w:val="00563762"/>
    <w:rsid w:val="00563C9E"/>
    <w:rsid w:val="005640B5"/>
    <w:rsid w:val="005644F1"/>
    <w:rsid w:val="0056462D"/>
    <w:rsid w:val="00564A38"/>
    <w:rsid w:val="00564B47"/>
    <w:rsid w:val="00564B73"/>
    <w:rsid w:val="00564E65"/>
    <w:rsid w:val="00564E90"/>
    <w:rsid w:val="00564F88"/>
    <w:rsid w:val="00565212"/>
    <w:rsid w:val="005652AF"/>
    <w:rsid w:val="005652C6"/>
    <w:rsid w:val="00565929"/>
    <w:rsid w:val="00565AF7"/>
    <w:rsid w:val="00565E5B"/>
    <w:rsid w:val="00565E87"/>
    <w:rsid w:val="00566273"/>
    <w:rsid w:val="005662BC"/>
    <w:rsid w:val="005665DB"/>
    <w:rsid w:val="00566A09"/>
    <w:rsid w:val="00566A47"/>
    <w:rsid w:val="00566ACF"/>
    <w:rsid w:val="00566AE8"/>
    <w:rsid w:val="00566DA7"/>
    <w:rsid w:val="0057069F"/>
    <w:rsid w:val="00570776"/>
    <w:rsid w:val="00570FAD"/>
    <w:rsid w:val="00570FE4"/>
    <w:rsid w:val="00571B29"/>
    <w:rsid w:val="00571E28"/>
    <w:rsid w:val="0057277D"/>
    <w:rsid w:val="00572ACB"/>
    <w:rsid w:val="00572CEF"/>
    <w:rsid w:val="00572E2C"/>
    <w:rsid w:val="00573117"/>
    <w:rsid w:val="0057350C"/>
    <w:rsid w:val="00573BD3"/>
    <w:rsid w:val="00573D00"/>
    <w:rsid w:val="00573E67"/>
    <w:rsid w:val="00573F30"/>
    <w:rsid w:val="00574AA0"/>
    <w:rsid w:val="00574FCC"/>
    <w:rsid w:val="00575234"/>
    <w:rsid w:val="00575587"/>
    <w:rsid w:val="00575AAB"/>
    <w:rsid w:val="005769B5"/>
    <w:rsid w:val="00576CC9"/>
    <w:rsid w:val="00577116"/>
    <w:rsid w:val="00577515"/>
    <w:rsid w:val="005775E2"/>
    <w:rsid w:val="00577816"/>
    <w:rsid w:val="00577A1C"/>
    <w:rsid w:val="00577B64"/>
    <w:rsid w:val="005800B7"/>
    <w:rsid w:val="005802D0"/>
    <w:rsid w:val="005804DF"/>
    <w:rsid w:val="005807D8"/>
    <w:rsid w:val="00580CE8"/>
    <w:rsid w:val="00580D6B"/>
    <w:rsid w:val="00581383"/>
    <w:rsid w:val="005814ED"/>
    <w:rsid w:val="00581737"/>
    <w:rsid w:val="00581C48"/>
    <w:rsid w:val="00581FC5"/>
    <w:rsid w:val="005820A6"/>
    <w:rsid w:val="0058212D"/>
    <w:rsid w:val="00582229"/>
    <w:rsid w:val="005822C5"/>
    <w:rsid w:val="00582516"/>
    <w:rsid w:val="00582C63"/>
    <w:rsid w:val="0058361C"/>
    <w:rsid w:val="00583778"/>
    <w:rsid w:val="0058383C"/>
    <w:rsid w:val="005838B8"/>
    <w:rsid w:val="0058391D"/>
    <w:rsid w:val="0058398E"/>
    <w:rsid w:val="00583C90"/>
    <w:rsid w:val="00584505"/>
    <w:rsid w:val="00584604"/>
    <w:rsid w:val="005846A8"/>
    <w:rsid w:val="005847E6"/>
    <w:rsid w:val="00584806"/>
    <w:rsid w:val="00584831"/>
    <w:rsid w:val="00584A09"/>
    <w:rsid w:val="00584A21"/>
    <w:rsid w:val="00584AB8"/>
    <w:rsid w:val="00584D83"/>
    <w:rsid w:val="005852EB"/>
    <w:rsid w:val="00585768"/>
    <w:rsid w:val="00585A42"/>
    <w:rsid w:val="00585F27"/>
    <w:rsid w:val="00586120"/>
    <w:rsid w:val="00586531"/>
    <w:rsid w:val="00586A0A"/>
    <w:rsid w:val="00586E21"/>
    <w:rsid w:val="00586EA1"/>
    <w:rsid w:val="00586EA5"/>
    <w:rsid w:val="00586F35"/>
    <w:rsid w:val="0058704D"/>
    <w:rsid w:val="00587430"/>
    <w:rsid w:val="0058746A"/>
    <w:rsid w:val="005874A3"/>
    <w:rsid w:val="00587C9D"/>
    <w:rsid w:val="00587D7C"/>
    <w:rsid w:val="00587DC2"/>
    <w:rsid w:val="00590176"/>
    <w:rsid w:val="00590567"/>
    <w:rsid w:val="00590750"/>
    <w:rsid w:val="00590BDF"/>
    <w:rsid w:val="00590F26"/>
    <w:rsid w:val="005913B3"/>
    <w:rsid w:val="00591656"/>
    <w:rsid w:val="00592157"/>
    <w:rsid w:val="005929EA"/>
    <w:rsid w:val="005929EC"/>
    <w:rsid w:val="00592CF7"/>
    <w:rsid w:val="00592EB2"/>
    <w:rsid w:val="00592F94"/>
    <w:rsid w:val="005934AC"/>
    <w:rsid w:val="0059365F"/>
    <w:rsid w:val="00593788"/>
    <w:rsid w:val="0059391A"/>
    <w:rsid w:val="00593A5A"/>
    <w:rsid w:val="00593C45"/>
    <w:rsid w:val="0059453A"/>
    <w:rsid w:val="00594AE8"/>
    <w:rsid w:val="00594B4B"/>
    <w:rsid w:val="00594BDC"/>
    <w:rsid w:val="005953E3"/>
    <w:rsid w:val="0059564B"/>
    <w:rsid w:val="005956AF"/>
    <w:rsid w:val="00595C9E"/>
    <w:rsid w:val="005960EF"/>
    <w:rsid w:val="0059610D"/>
    <w:rsid w:val="005961D5"/>
    <w:rsid w:val="005962B7"/>
    <w:rsid w:val="00596420"/>
    <w:rsid w:val="005969C4"/>
    <w:rsid w:val="005969EC"/>
    <w:rsid w:val="005972A7"/>
    <w:rsid w:val="00597639"/>
    <w:rsid w:val="0059772F"/>
    <w:rsid w:val="00597DBA"/>
    <w:rsid w:val="005A02B1"/>
    <w:rsid w:val="005A057F"/>
    <w:rsid w:val="005A059E"/>
    <w:rsid w:val="005A05B4"/>
    <w:rsid w:val="005A06B0"/>
    <w:rsid w:val="005A08EE"/>
    <w:rsid w:val="005A0A58"/>
    <w:rsid w:val="005A0C38"/>
    <w:rsid w:val="005A0F4F"/>
    <w:rsid w:val="005A0FCF"/>
    <w:rsid w:val="005A183D"/>
    <w:rsid w:val="005A1A1F"/>
    <w:rsid w:val="005A1AF5"/>
    <w:rsid w:val="005A1D6F"/>
    <w:rsid w:val="005A242A"/>
    <w:rsid w:val="005A26CC"/>
    <w:rsid w:val="005A2B28"/>
    <w:rsid w:val="005A31F6"/>
    <w:rsid w:val="005A39B7"/>
    <w:rsid w:val="005A3AAC"/>
    <w:rsid w:val="005A4ACE"/>
    <w:rsid w:val="005A4E51"/>
    <w:rsid w:val="005A4FD2"/>
    <w:rsid w:val="005A5104"/>
    <w:rsid w:val="005A52C4"/>
    <w:rsid w:val="005A5975"/>
    <w:rsid w:val="005A59E3"/>
    <w:rsid w:val="005A663A"/>
    <w:rsid w:val="005A69B8"/>
    <w:rsid w:val="005A6B60"/>
    <w:rsid w:val="005A6DB1"/>
    <w:rsid w:val="005A729F"/>
    <w:rsid w:val="005A7396"/>
    <w:rsid w:val="005A73F3"/>
    <w:rsid w:val="005A7824"/>
    <w:rsid w:val="005A7E09"/>
    <w:rsid w:val="005A7E81"/>
    <w:rsid w:val="005A7F44"/>
    <w:rsid w:val="005B08FF"/>
    <w:rsid w:val="005B0F65"/>
    <w:rsid w:val="005B1334"/>
    <w:rsid w:val="005B19CD"/>
    <w:rsid w:val="005B2C14"/>
    <w:rsid w:val="005B2C54"/>
    <w:rsid w:val="005B3B48"/>
    <w:rsid w:val="005B3EC3"/>
    <w:rsid w:val="005B4580"/>
    <w:rsid w:val="005B489D"/>
    <w:rsid w:val="005B4A6E"/>
    <w:rsid w:val="005B4C2D"/>
    <w:rsid w:val="005B5739"/>
    <w:rsid w:val="005B5791"/>
    <w:rsid w:val="005B6005"/>
    <w:rsid w:val="005B6213"/>
    <w:rsid w:val="005B62F3"/>
    <w:rsid w:val="005B7047"/>
    <w:rsid w:val="005B711D"/>
    <w:rsid w:val="005B7276"/>
    <w:rsid w:val="005B785B"/>
    <w:rsid w:val="005B7BD0"/>
    <w:rsid w:val="005B7BEE"/>
    <w:rsid w:val="005B7D6D"/>
    <w:rsid w:val="005C0072"/>
    <w:rsid w:val="005C009B"/>
    <w:rsid w:val="005C01D9"/>
    <w:rsid w:val="005C0ACF"/>
    <w:rsid w:val="005C0C7B"/>
    <w:rsid w:val="005C0D5D"/>
    <w:rsid w:val="005C118D"/>
    <w:rsid w:val="005C126B"/>
    <w:rsid w:val="005C18B8"/>
    <w:rsid w:val="005C1B14"/>
    <w:rsid w:val="005C1F09"/>
    <w:rsid w:val="005C216F"/>
    <w:rsid w:val="005C244F"/>
    <w:rsid w:val="005C2625"/>
    <w:rsid w:val="005C26BE"/>
    <w:rsid w:val="005C29F5"/>
    <w:rsid w:val="005C2E8B"/>
    <w:rsid w:val="005C3959"/>
    <w:rsid w:val="005C3ADC"/>
    <w:rsid w:val="005C4A8B"/>
    <w:rsid w:val="005C4D91"/>
    <w:rsid w:val="005C6369"/>
    <w:rsid w:val="005C7170"/>
    <w:rsid w:val="005C743D"/>
    <w:rsid w:val="005D05B7"/>
    <w:rsid w:val="005D17FB"/>
    <w:rsid w:val="005D1956"/>
    <w:rsid w:val="005D1973"/>
    <w:rsid w:val="005D1E51"/>
    <w:rsid w:val="005D24BC"/>
    <w:rsid w:val="005D26BD"/>
    <w:rsid w:val="005D28C6"/>
    <w:rsid w:val="005D2D22"/>
    <w:rsid w:val="005D34C9"/>
    <w:rsid w:val="005D34D5"/>
    <w:rsid w:val="005D37C7"/>
    <w:rsid w:val="005D41AA"/>
    <w:rsid w:val="005D4771"/>
    <w:rsid w:val="005D47AD"/>
    <w:rsid w:val="005D47E4"/>
    <w:rsid w:val="005D485D"/>
    <w:rsid w:val="005D4955"/>
    <w:rsid w:val="005D4DAC"/>
    <w:rsid w:val="005D51CD"/>
    <w:rsid w:val="005D5337"/>
    <w:rsid w:val="005D53B1"/>
    <w:rsid w:val="005D53BB"/>
    <w:rsid w:val="005D562A"/>
    <w:rsid w:val="005D5685"/>
    <w:rsid w:val="005D5831"/>
    <w:rsid w:val="005D589A"/>
    <w:rsid w:val="005D5ADE"/>
    <w:rsid w:val="005D5DC7"/>
    <w:rsid w:val="005D60F5"/>
    <w:rsid w:val="005D6411"/>
    <w:rsid w:val="005D6595"/>
    <w:rsid w:val="005D68E0"/>
    <w:rsid w:val="005D6C85"/>
    <w:rsid w:val="005D6D4E"/>
    <w:rsid w:val="005D707A"/>
    <w:rsid w:val="005D7268"/>
    <w:rsid w:val="005D7480"/>
    <w:rsid w:val="005D7556"/>
    <w:rsid w:val="005D7702"/>
    <w:rsid w:val="005D78D0"/>
    <w:rsid w:val="005D7CCD"/>
    <w:rsid w:val="005D7D5E"/>
    <w:rsid w:val="005E0545"/>
    <w:rsid w:val="005E0829"/>
    <w:rsid w:val="005E08C6"/>
    <w:rsid w:val="005E08F5"/>
    <w:rsid w:val="005E0A98"/>
    <w:rsid w:val="005E0CA4"/>
    <w:rsid w:val="005E10A1"/>
    <w:rsid w:val="005E1164"/>
    <w:rsid w:val="005E11A1"/>
    <w:rsid w:val="005E12A3"/>
    <w:rsid w:val="005E1625"/>
    <w:rsid w:val="005E18E3"/>
    <w:rsid w:val="005E20EE"/>
    <w:rsid w:val="005E29DC"/>
    <w:rsid w:val="005E2C13"/>
    <w:rsid w:val="005E2DA3"/>
    <w:rsid w:val="005E3316"/>
    <w:rsid w:val="005E33FF"/>
    <w:rsid w:val="005E3455"/>
    <w:rsid w:val="005E365F"/>
    <w:rsid w:val="005E3A8B"/>
    <w:rsid w:val="005E3D47"/>
    <w:rsid w:val="005E3D69"/>
    <w:rsid w:val="005E413B"/>
    <w:rsid w:val="005E4150"/>
    <w:rsid w:val="005E4453"/>
    <w:rsid w:val="005E473D"/>
    <w:rsid w:val="005E4779"/>
    <w:rsid w:val="005E4916"/>
    <w:rsid w:val="005E50A7"/>
    <w:rsid w:val="005E50F0"/>
    <w:rsid w:val="005E633F"/>
    <w:rsid w:val="005E653B"/>
    <w:rsid w:val="005E6D07"/>
    <w:rsid w:val="005E6F38"/>
    <w:rsid w:val="005E6F3B"/>
    <w:rsid w:val="005E7606"/>
    <w:rsid w:val="005E7E61"/>
    <w:rsid w:val="005E7F69"/>
    <w:rsid w:val="005F00AF"/>
    <w:rsid w:val="005F00B0"/>
    <w:rsid w:val="005F0960"/>
    <w:rsid w:val="005F0CB7"/>
    <w:rsid w:val="005F0EF2"/>
    <w:rsid w:val="005F1083"/>
    <w:rsid w:val="005F1784"/>
    <w:rsid w:val="005F17B1"/>
    <w:rsid w:val="005F2955"/>
    <w:rsid w:val="005F3115"/>
    <w:rsid w:val="005F31C7"/>
    <w:rsid w:val="005F3411"/>
    <w:rsid w:val="005F3517"/>
    <w:rsid w:val="005F3555"/>
    <w:rsid w:val="005F3752"/>
    <w:rsid w:val="005F380F"/>
    <w:rsid w:val="005F40C3"/>
    <w:rsid w:val="005F4128"/>
    <w:rsid w:val="005F42F9"/>
    <w:rsid w:val="005F4347"/>
    <w:rsid w:val="005F435C"/>
    <w:rsid w:val="005F49A9"/>
    <w:rsid w:val="005F4ABE"/>
    <w:rsid w:val="005F4C78"/>
    <w:rsid w:val="005F4F1D"/>
    <w:rsid w:val="005F5735"/>
    <w:rsid w:val="005F5A1F"/>
    <w:rsid w:val="005F65BC"/>
    <w:rsid w:val="005F6645"/>
    <w:rsid w:val="005F67A3"/>
    <w:rsid w:val="005F6C8C"/>
    <w:rsid w:val="005F6CE5"/>
    <w:rsid w:val="005F6D92"/>
    <w:rsid w:val="005F7012"/>
    <w:rsid w:val="005F7017"/>
    <w:rsid w:val="005F7A87"/>
    <w:rsid w:val="005F7AD7"/>
    <w:rsid w:val="005F7DD2"/>
    <w:rsid w:val="006004F3"/>
    <w:rsid w:val="00600653"/>
    <w:rsid w:val="00600996"/>
    <w:rsid w:val="0060184C"/>
    <w:rsid w:val="00601E0D"/>
    <w:rsid w:val="006020F1"/>
    <w:rsid w:val="006022C7"/>
    <w:rsid w:val="00602778"/>
    <w:rsid w:val="00602D87"/>
    <w:rsid w:val="00602F91"/>
    <w:rsid w:val="00603232"/>
    <w:rsid w:val="006036B2"/>
    <w:rsid w:val="00603754"/>
    <w:rsid w:val="00603E5C"/>
    <w:rsid w:val="00603F06"/>
    <w:rsid w:val="0060439D"/>
    <w:rsid w:val="006043A8"/>
    <w:rsid w:val="00604BBE"/>
    <w:rsid w:val="0060605D"/>
    <w:rsid w:val="00606236"/>
    <w:rsid w:val="00606886"/>
    <w:rsid w:val="00606B99"/>
    <w:rsid w:val="00606CB7"/>
    <w:rsid w:val="00607705"/>
    <w:rsid w:val="00607B52"/>
    <w:rsid w:val="00607F14"/>
    <w:rsid w:val="006109BB"/>
    <w:rsid w:val="00610C38"/>
    <w:rsid w:val="0061106D"/>
    <w:rsid w:val="0061109B"/>
    <w:rsid w:val="0061134E"/>
    <w:rsid w:val="006113BD"/>
    <w:rsid w:val="006113CC"/>
    <w:rsid w:val="006117B4"/>
    <w:rsid w:val="00611953"/>
    <w:rsid w:val="00611C90"/>
    <w:rsid w:val="00611F6C"/>
    <w:rsid w:val="00612578"/>
    <w:rsid w:val="0061258B"/>
    <w:rsid w:val="006127BF"/>
    <w:rsid w:val="006128F8"/>
    <w:rsid w:val="00612A80"/>
    <w:rsid w:val="00612F0B"/>
    <w:rsid w:val="006130A6"/>
    <w:rsid w:val="0061356B"/>
    <w:rsid w:val="006137F8"/>
    <w:rsid w:val="006137FE"/>
    <w:rsid w:val="0061394D"/>
    <w:rsid w:val="006139BF"/>
    <w:rsid w:val="00613C48"/>
    <w:rsid w:val="00613E3B"/>
    <w:rsid w:val="00613F1E"/>
    <w:rsid w:val="00614695"/>
    <w:rsid w:val="00614A56"/>
    <w:rsid w:val="00614CC2"/>
    <w:rsid w:val="00615085"/>
    <w:rsid w:val="0061540E"/>
    <w:rsid w:val="00615C24"/>
    <w:rsid w:val="00615D1F"/>
    <w:rsid w:val="00616442"/>
    <w:rsid w:val="006164D9"/>
    <w:rsid w:val="006164F3"/>
    <w:rsid w:val="00616661"/>
    <w:rsid w:val="00616747"/>
    <w:rsid w:val="00616BDB"/>
    <w:rsid w:val="00616C25"/>
    <w:rsid w:val="00616CE0"/>
    <w:rsid w:val="00616D73"/>
    <w:rsid w:val="00617728"/>
    <w:rsid w:val="006177F6"/>
    <w:rsid w:val="00617B24"/>
    <w:rsid w:val="00617D7E"/>
    <w:rsid w:val="00617F8D"/>
    <w:rsid w:val="0062124C"/>
    <w:rsid w:val="0062157E"/>
    <w:rsid w:val="006218CE"/>
    <w:rsid w:val="006219C5"/>
    <w:rsid w:val="00621AEC"/>
    <w:rsid w:val="00621C16"/>
    <w:rsid w:val="00622144"/>
    <w:rsid w:val="006231ED"/>
    <w:rsid w:val="0062388A"/>
    <w:rsid w:val="006238CC"/>
    <w:rsid w:val="006243E7"/>
    <w:rsid w:val="006245CA"/>
    <w:rsid w:val="00624EEE"/>
    <w:rsid w:val="00624F7C"/>
    <w:rsid w:val="00625077"/>
    <w:rsid w:val="0062521A"/>
    <w:rsid w:val="00625DC4"/>
    <w:rsid w:val="00626112"/>
    <w:rsid w:val="006262C6"/>
    <w:rsid w:val="0062643E"/>
    <w:rsid w:val="00626D56"/>
    <w:rsid w:val="00627100"/>
    <w:rsid w:val="00627384"/>
    <w:rsid w:val="006276AF"/>
    <w:rsid w:val="00627745"/>
    <w:rsid w:val="0062791F"/>
    <w:rsid w:val="00627B83"/>
    <w:rsid w:val="00627E57"/>
    <w:rsid w:val="00631C65"/>
    <w:rsid w:val="00631E20"/>
    <w:rsid w:val="00632A22"/>
    <w:rsid w:val="00632C95"/>
    <w:rsid w:val="006332A7"/>
    <w:rsid w:val="006336AF"/>
    <w:rsid w:val="00633874"/>
    <w:rsid w:val="00633889"/>
    <w:rsid w:val="006339D0"/>
    <w:rsid w:val="00633EAA"/>
    <w:rsid w:val="006340C6"/>
    <w:rsid w:val="006341ED"/>
    <w:rsid w:val="00634454"/>
    <w:rsid w:val="0063447D"/>
    <w:rsid w:val="00634937"/>
    <w:rsid w:val="00634D37"/>
    <w:rsid w:val="00635016"/>
    <w:rsid w:val="0063506E"/>
    <w:rsid w:val="0063573E"/>
    <w:rsid w:val="00636005"/>
    <w:rsid w:val="006360B8"/>
    <w:rsid w:val="006360F9"/>
    <w:rsid w:val="00636168"/>
    <w:rsid w:val="00636241"/>
    <w:rsid w:val="006362D3"/>
    <w:rsid w:val="00636812"/>
    <w:rsid w:val="00636BBD"/>
    <w:rsid w:val="0063767F"/>
    <w:rsid w:val="00637827"/>
    <w:rsid w:val="00637D54"/>
    <w:rsid w:val="00640005"/>
    <w:rsid w:val="00640498"/>
    <w:rsid w:val="006405D7"/>
    <w:rsid w:val="00640834"/>
    <w:rsid w:val="006416F0"/>
    <w:rsid w:val="00641707"/>
    <w:rsid w:val="00641B8D"/>
    <w:rsid w:val="00641BA2"/>
    <w:rsid w:val="00642092"/>
    <w:rsid w:val="006421AD"/>
    <w:rsid w:val="0064283F"/>
    <w:rsid w:val="00642A9B"/>
    <w:rsid w:val="00642D02"/>
    <w:rsid w:val="00642EB6"/>
    <w:rsid w:val="0064301A"/>
    <w:rsid w:val="006435FD"/>
    <w:rsid w:val="00643AA2"/>
    <w:rsid w:val="00643BDB"/>
    <w:rsid w:val="00643DE7"/>
    <w:rsid w:val="00644900"/>
    <w:rsid w:val="006449E0"/>
    <w:rsid w:val="00644DFE"/>
    <w:rsid w:val="00644ED1"/>
    <w:rsid w:val="00645360"/>
    <w:rsid w:val="00645458"/>
    <w:rsid w:val="006455AE"/>
    <w:rsid w:val="006457D8"/>
    <w:rsid w:val="00645B7E"/>
    <w:rsid w:val="00645D75"/>
    <w:rsid w:val="00645DBA"/>
    <w:rsid w:val="006461EB"/>
    <w:rsid w:val="006467A3"/>
    <w:rsid w:val="00646CCB"/>
    <w:rsid w:val="006471E1"/>
    <w:rsid w:val="0064734F"/>
    <w:rsid w:val="006475B9"/>
    <w:rsid w:val="00647C50"/>
    <w:rsid w:val="00647D2A"/>
    <w:rsid w:val="00647D74"/>
    <w:rsid w:val="006500A7"/>
    <w:rsid w:val="00650265"/>
    <w:rsid w:val="006503F5"/>
    <w:rsid w:val="006504E2"/>
    <w:rsid w:val="00650FEF"/>
    <w:rsid w:val="006511C7"/>
    <w:rsid w:val="006512F6"/>
    <w:rsid w:val="0065169A"/>
    <w:rsid w:val="006517D6"/>
    <w:rsid w:val="0065193C"/>
    <w:rsid w:val="00652167"/>
    <w:rsid w:val="00652396"/>
    <w:rsid w:val="00652DEF"/>
    <w:rsid w:val="00653332"/>
    <w:rsid w:val="00653422"/>
    <w:rsid w:val="00653476"/>
    <w:rsid w:val="006534CF"/>
    <w:rsid w:val="0065370B"/>
    <w:rsid w:val="00653EA6"/>
    <w:rsid w:val="0065404E"/>
    <w:rsid w:val="006540D0"/>
    <w:rsid w:val="006540FC"/>
    <w:rsid w:val="006544AC"/>
    <w:rsid w:val="006544F2"/>
    <w:rsid w:val="00654D04"/>
    <w:rsid w:val="00655518"/>
    <w:rsid w:val="00655BCB"/>
    <w:rsid w:val="00655F5B"/>
    <w:rsid w:val="0065646A"/>
    <w:rsid w:val="006565CD"/>
    <w:rsid w:val="00656770"/>
    <w:rsid w:val="00656B4A"/>
    <w:rsid w:val="00656B78"/>
    <w:rsid w:val="00656CB2"/>
    <w:rsid w:val="00657024"/>
    <w:rsid w:val="006575CD"/>
    <w:rsid w:val="006578EA"/>
    <w:rsid w:val="00657AA5"/>
    <w:rsid w:val="00657B78"/>
    <w:rsid w:val="00657C90"/>
    <w:rsid w:val="0066003A"/>
    <w:rsid w:val="00660633"/>
    <w:rsid w:val="0066082F"/>
    <w:rsid w:val="006609D4"/>
    <w:rsid w:val="00660B05"/>
    <w:rsid w:val="00660E90"/>
    <w:rsid w:val="006611BE"/>
    <w:rsid w:val="00661248"/>
    <w:rsid w:val="00661277"/>
    <w:rsid w:val="00661D96"/>
    <w:rsid w:val="00661E48"/>
    <w:rsid w:val="00662122"/>
    <w:rsid w:val="006621A9"/>
    <w:rsid w:val="006626C6"/>
    <w:rsid w:val="006628A0"/>
    <w:rsid w:val="00662E06"/>
    <w:rsid w:val="0066382F"/>
    <w:rsid w:val="006638A6"/>
    <w:rsid w:val="00663988"/>
    <w:rsid w:val="0066433A"/>
    <w:rsid w:val="00664451"/>
    <w:rsid w:val="006645CA"/>
    <w:rsid w:val="00664AEE"/>
    <w:rsid w:val="00664B59"/>
    <w:rsid w:val="00664BEE"/>
    <w:rsid w:val="00664CBC"/>
    <w:rsid w:val="00664D95"/>
    <w:rsid w:val="0066517F"/>
    <w:rsid w:val="00665353"/>
    <w:rsid w:val="00666221"/>
    <w:rsid w:val="006665C4"/>
    <w:rsid w:val="006666CE"/>
    <w:rsid w:val="006669DB"/>
    <w:rsid w:val="006669F4"/>
    <w:rsid w:val="00666DA4"/>
    <w:rsid w:val="006671C9"/>
    <w:rsid w:val="0066736A"/>
    <w:rsid w:val="0066761D"/>
    <w:rsid w:val="0066762D"/>
    <w:rsid w:val="00667634"/>
    <w:rsid w:val="00667C8A"/>
    <w:rsid w:val="00667ED5"/>
    <w:rsid w:val="00670501"/>
    <w:rsid w:val="00670855"/>
    <w:rsid w:val="00670B9E"/>
    <w:rsid w:val="00670BBD"/>
    <w:rsid w:val="00670BEE"/>
    <w:rsid w:val="00670D0F"/>
    <w:rsid w:val="00670DCE"/>
    <w:rsid w:val="00670F29"/>
    <w:rsid w:val="00670F9D"/>
    <w:rsid w:val="0067115E"/>
    <w:rsid w:val="006716EC"/>
    <w:rsid w:val="00672825"/>
    <w:rsid w:val="0067295B"/>
    <w:rsid w:val="00672A42"/>
    <w:rsid w:val="00672B92"/>
    <w:rsid w:val="00672DD7"/>
    <w:rsid w:val="00673092"/>
    <w:rsid w:val="0067398F"/>
    <w:rsid w:val="00673C4F"/>
    <w:rsid w:val="0067423D"/>
    <w:rsid w:val="00674B54"/>
    <w:rsid w:val="006751ED"/>
    <w:rsid w:val="006751F0"/>
    <w:rsid w:val="00675A29"/>
    <w:rsid w:val="00675E7A"/>
    <w:rsid w:val="00675EF9"/>
    <w:rsid w:val="00676167"/>
    <w:rsid w:val="006762C1"/>
    <w:rsid w:val="006768A0"/>
    <w:rsid w:val="00676931"/>
    <w:rsid w:val="00676D1E"/>
    <w:rsid w:val="00676F7A"/>
    <w:rsid w:val="0067702C"/>
    <w:rsid w:val="00677172"/>
    <w:rsid w:val="00677637"/>
    <w:rsid w:val="00677F91"/>
    <w:rsid w:val="0068009E"/>
    <w:rsid w:val="0068014B"/>
    <w:rsid w:val="006807EC"/>
    <w:rsid w:val="00680991"/>
    <w:rsid w:val="00680E0A"/>
    <w:rsid w:val="00681108"/>
    <w:rsid w:val="00681688"/>
    <w:rsid w:val="00681D9D"/>
    <w:rsid w:val="0068227D"/>
    <w:rsid w:val="006822C1"/>
    <w:rsid w:val="00682346"/>
    <w:rsid w:val="006825BB"/>
    <w:rsid w:val="00682A3E"/>
    <w:rsid w:val="00682F54"/>
    <w:rsid w:val="00683084"/>
    <w:rsid w:val="0068336A"/>
    <w:rsid w:val="00683988"/>
    <w:rsid w:val="006839C4"/>
    <w:rsid w:val="0068426D"/>
    <w:rsid w:val="0068481E"/>
    <w:rsid w:val="00684AA5"/>
    <w:rsid w:val="00684DA6"/>
    <w:rsid w:val="00684FBB"/>
    <w:rsid w:val="00685310"/>
    <w:rsid w:val="0068569E"/>
    <w:rsid w:val="00685B0A"/>
    <w:rsid w:val="00686A94"/>
    <w:rsid w:val="00686F3B"/>
    <w:rsid w:val="00687341"/>
    <w:rsid w:val="00687611"/>
    <w:rsid w:val="00687FB5"/>
    <w:rsid w:val="006901E7"/>
    <w:rsid w:val="006902BA"/>
    <w:rsid w:val="006902EB"/>
    <w:rsid w:val="0069037C"/>
    <w:rsid w:val="00690B8F"/>
    <w:rsid w:val="00690EB0"/>
    <w:rsid w:val="006910C3"/>
    <w:rsid w:val="00691133"/>
    <w:rsid w:val="00691AD0"/>
    <w:rsid w:val="00691BCD"/>
    <w:rsid w:val="00691D8B"/>
    <w:rsid w:val="0069207C"/>
    <w:rsid w:val="00692305"/>
    <w:rsid w:val="006928BA"/>
    <w:rsid w:val="006929A8"/>
    <w:rsid w:val="00692C58"/>
    <w:rsid w:val="0069313E"/>
    <w:rsid w:val="00693C16"/>
    <w:rsid w:val="006941C5"/>
    <w:rsid w:val="006943A3"/>
    <w:rsid w:val="0069492A"/>
    <w:rsid w:val="0069495B"/>
    <w:rsid w:val="00694A7C"/>
    <w:rsid w:val="00694A90"/>
    <w:rsid w:val="00694C07"/>
    <w:rsid w:val="00694CA9"/>
    <w:rsid w:val="006951A5"/>
    <w:rsid w:val="006954B0"/>
    <w:rsid w:val="0069567D"/>
    <w:rsid w:val="00695C8A"/>
    <w:rsid w:val="00695E0E"/>
    <w:rsid w:val="00696680"/>
    <w:rsid w:val="006967E0"/>
    <w:rsid w:val="00696C25"/>
    <w:rsid w:val="00696FCD"/>
    <w:rsid w:val="0069764B"/>
    <w:rsid w:val="00697D72"/>
    <w:rsid w:val="00697DB5"/>
    <w:rsid w:val="00697DDD"/>
    <w:rsid w:val="00697F54"/>
    <w:rsid w:val="006A06A3"/>
    <w:rsid w:val="006A0A11"/>
    <w:rsid w:val="006A0C5B"/>
    <w:rsid w:val="006A0EEF"/>
    <w:rsid w:val="006A11A6"/>
    <w:rsid w:val="006A11E4"/>
    <w:rsid w:val="006A121F"/>
    <w:rsid w:val="006A1BC4"/>
    <w:rsid w:val="006A21E5"/>
    <w:rsid w:val="006A21F4"/>
    <w:rsid w:val="006A22C1"/>
    <w:rsid w:val="006A28B6"/>
    <w:rsid w:val="006A2D65"/>
    <w:rsid w:val="006A300A"/>
    <w:rsid w:val="006A359D"/>
    <w:rsid w:val="006A36AE"/>
    <w:rsid w:val="006A38CF"/>
    <w:rsid w:val="006A3B7B"/>
    <w:rsid w:val="006A3DD4"/>
    <w:rsid w:val="006A4A8C"/>
    <w:rsid w:val="006A4F9B"/>
    <w:rsid w:val="006A5031"/>
    <w:rsid w:val="006A5658"/>
    <w:rsid w:val="006A579F"/>
    <w:rsid w:val="006A57FB"/>
    <w:rsid w:val="006A6168"/>
    <w:rsid w:val="006A61AA"/>
    <w:rsid w:val="006A6377"/>
    <w:rsid w:val="006A6C5B"/>
    <w:rsid w:val="006A748B"/>
    <w:rsid w:val="006A7950"/>
    <w:rsid w:val="006A7D15"/>
    <w:rsid w:val="006B03DF"/>
    <w:rsid w:val="006B0587"/>
    <w:rsid w:val="006B061A"/>
    <w:rsid w:val="006B0F57"/>
    <w:rsid w:val="006B1017"/>
    <w:rsid w:val="006B12A7"/>
    <w:rsid w:val="006B1390"/>
    <w:rsid w:val="006B1499"/>
    <w:rsid w:val="006B157C"/>
    <w:rsid w:val="006B162E"/>
    <w:rsid w:val="006B17AD"/>
    <w:rsid w:val="006B1847"/>
    <w:rsid w:val="006B19C4"/>
    <w:rsid w:val="006B1C99"/>
    <w:rsid w:val="006B1CAE"/>
    <w:rsid w:val="006B204A"/>
    <w:rsid w:val="006B2954"/>
    <w:rsid w:val="006B2A89"/>
    <w:rsid w:val="006B3C78"/>
    <w:rsid w:val="006B40F4"/>
    <w:rsid w:val="006B4337"/>
    <w:rsid w:val="006B4774"/>
    <w:rsid w:val="006B47BE"/>
    <w:rsid w:val="006B4829"/>
    <w:rsid w:val="006B53A4"/>
    <w:rsid w:val="006B5481"/>
    <w:rsid w:val="006B5742"/>
    <w:rsid w:val="006B59E3"/>
    <w:rsid w:val="006B5D8F"/>
    <w:rsid w:val="006B61D0"/>
    <w:rsid w:val="006B62D9"/>
    <w:rsid w:val="006B6E64"/>
    <w:rsid w:val="006B7096"/>
    <w:rsid w:val="006B767C"/>
    <w:rsid w:val="006B79CB"/>
    <w:rsid w:val="006B7F05"/>
    <w:rsid w:val="006B7FD2"/>
    <w:rsid w:val="006C04E7"/>
    <w:rsid w:val="006C069F"/>
    <w:rsid w:val="006C0907"/>
    <w:rsid w:val="006C10E5"/>
    <w:rsid w:val="006C1FD2"/>
    <w:rsid w:val="006C20D0"/>
    <w:rsid w:val="006C28F0"/>
    <w:rsid w:val="006C2E24"/>
    <w:rsid w:val="006C32D8"/>
    <w:rsid w:val="006C35BE"/>
    <w:rsid w:val="006C39D5"/>
    <w:rsid w:val="006C3B47"/>
    <w:rsid w:val="006C3BDD"/>
    <w:rsid w:val="006C3E21"/>
    <w:rsid w:val="006C44F0"/>
    <w:rsid w:val="006C4525"/>
    <w:rsid w:val="006C4717"/>
    <w:rsid w:val="006C5726"/>
    <w:rsid w:val="006C58DA"/>
    <w:rsid w:val="006C5DC5"/>
    <w:rsid w:val="006C607C"/>
    <w:rsid w:val="006C6147"/>
    <w:rsid w:val="006C6364"/>
    <w:rsid w:val="006C642F"/>
    <w:rsid w:val="006C647D"/>
    <w:rsid w:val="006C668E"/>
    <w:rsid w:val="006C67C5"/>
    <w:rsid w:val="006C67CF"/>
    <w:rsid w:val="006C69B2"/>
    <w:rsid w:val="006C6A64"/>
    <w:rsid w:val="006C730B"/>
    <w:rsid w:val="006C7548"/>
    <w:rsid w:val="006C7B7A"/>
    <w:rsid w:val="006C7FC1"/>
    <w:rsid w:val="006D06D3"/>
    <w:rsid w:val="006D1003"/>
    <w:rsid w:val="006D11D6"/>
    <w:rsid w:val="006D163F"/>
    <w:rsid w:val="006D17AB"/>
    <w:rsid w:val="006D17B1"/>
    <w:rsid w:val="006D1F23"/>
    <w:rsid w:val="006D209B"/>
    <w:rsid w:val="006D2420"/>
    <w:rsid w:val="006D25B8"/>
    <w:rsid w:val="006D2602"/>
    <w:rsid w:val="006D2944"/>
    <w:rsid w:val="006D2BB9"/>
    <w:rsid w:val="006D3175"/>
    <w:rsid w:val="006D3280"/>
    <w:rsid w:val="006D3472"/>
    <w:rsid w:val="006D3550"/>
    <w:rsid w:val="006D35A6"/>
    <w:rsid w:val="006D36F5"/>
    <w:rsid w:val="006D374C"/>
    <w:rsid w:val="006D3AC0"/>
    <w:rsid w:val="006D3D8F"/>
    <w:rsid w:val="006D3E5D"/>
    <w:rsid w:val="006D466B"/>
    <w:rsid w:val="006D4759"/>
    <w:rsid w:val="006D48BE"/>
    <w:rsid w:val="006D4B29"/>
    <w:rsid w:val="006D4F5A"/>
    <w:rsid w:val="006D50B4"/>
    <w:rsid w:val="006D52DC"/>
    <w:rsid w:val="006D5332"/>
    <w:rsid w:val="006D5460"/>
    <w:rsid w:val="006D54F5"/>
    <w:rsid w:val="006D5BAB"/>
    <w:rsid w:val="006D6DD3"/>
    <w:rsid w:val="006D7828"/>
    <w:rsid w:val="006D7BCD"/>
    <w:rsid w:val="006D7FA2"/>
    <w:rsid w:val="006E0038"/>
    <w:rsid w:val="006E0125"/>
    <w:rsid w:val="006E0197"/>
    <w:rsid w:val="006E04C4"/>
    <w:rsid w:val="006E0CFD"/>
    <w:rsid w:val="006E1253"/>
    <w:rsid w:val="006E1338"/>
    <w:rsid w:val="006E1592"/>
    <w:rsid w:val="006E15C8"/>
    <w:rsid w:val="006E1614"/>
    <w:rsid w:val="006E1622"/>
    <w:rsid w:val="006E1BEA"/>
    <w:rsid w:val="006E1E35"/>
    <w:rsid w:val="006E2007"/>
    <w:rsid w:val="006E245B"/>
    <w:rsid w:val="006E249C"/>
    <w:rsid w:val="006E2680"/>
    <w:rsid w:val="006E2822"/>
    <w:rsid w:val="006E2A83"/>
    <w:rsid w:val="006E2E7D"/>
    <w:rsid w:val="006E3CAC"/>
    <w:rsid w:val="006E44EC"/>
    <w:rsid w:val="006E4C29"/>
    <w:rsid w:val="006E4DBD"/>
    <w:rsid w:val="006E4EA2"/>
    <w:rsid w:val="006E5545"/>
    <w:rsid w:val="006E5D4C"/>
    <w:rsid w:val="006E6041"/>
    <w:rsid w:val="006E6049"/>
    <w:rsid w:val="006E6419"/>
    <w:rsid w:val="006E695F"/>
    <w:rsid w:val="006E6ED9"/>
    <w:rsid w:val="006E719C"/>
    <w:rsid w:val="006E7271"/>
    <w:rsid w:val="006E76A3"/>
    <w:rsid w:val="006E7B09"/>
    <w:rsid w:val="006E7ED0"/>
    <w:rsid w:val="006E7FD1"/>
    <w:rsid w:val="006F0138"/>
    <w:rsid w:val="006F0480"/>
    <w:rsid w:val="006F0553"/>
    <w:rsid w:val="006F0583"/>
    <w:rsid w:val="006F0889"/>
    <w:rsid w:val="006F0DD8"/>
    <w:rsid w:val="006F10BB"/>
    <w:rsid w:val="006F127E"/>
    <w:rsid w:val="006F15F0"/>
    <w:rsid w:val="006F179F"/>
    <w:rsid w:val="006F1A7B"/>
    <w:rsid w:val="006F2133"/>
    <w:rsid w:val="006F22B9"/>
    <w:rsid w:val="006F2609"/>
    <w:rsid w:val="006F2B36"/>
    <w:rsid w:val="006F3123"/>
    <w:rsid w:val="006F32E8"/>
    <w:rsid w:val="006F446C"/>
    <w:rsid w:val="006F4BAD"/>
    <w:rsid w:val="006F4C36"/>
    <w:rsid w:val="006F51D6"/>
    <w:rsid w:val="006F5232"/>
    <w:rsid w:val="006F59AB"/>
    <w:rsid w:val="006F5B61"/>
    <w:rsid w:val="006F5F27"/>
    <w:rsid w:val="006F61CA"/>
    <w:rsid w:val="006F658F"/>
    <w:rsid w:val="006F6A40"/>
    <w:rsid w:val="006F6B5E"/>
    <w:rsid w:val="006F6BF0"/>
    <w:rsid w:val="006F6F3F"/>
    <w:rsid w:val="006F70E1"/>
    <w:rsid w:val="006F7301"/>
    <w:rsid w:val="006F7AA6"/>
    <w:rsid w:val="006F7B37"/>
    <w:rsid w:val="006F7BB6"/>
    <w:rsid w:val="00700038"/>
    <w:rsid w:val="0070050E"/>
    <w:rsid w:val="00700D7D"/>
    <w:rsid w:val="00701C61"/>
    <w:rsid w:val="00702087"/>
    <w:rsid w:val="007024B9"/>
    <w:rsid w:val="007028BD"/>
    <w:rsid w:val="00702929"/>
    <w:rsid w:val="00702C18"/>
    <w:rsid w:val="00702DC4"/>
    <w:rsid w:val="0070330F"/>
    <w:rsid w:val="00703351"/>
    <w:rsid w:val="00703D71"/>
    <w:rsid w:val="00703DCE"/>
    <w:rsid w:val="00704754"/>
    <w:rsid w:val="00704AA2"/>
    <w:rsid w:val="00704C4A"/>
    <w:rsid w:val="00704EFC"/>
    <w:rsid w:val="0070507B"/>
    <w:rsid w:val="0070543F"/>
    <w:rsid w:val="0070555E"/>
    <w:rsid w:val="00705E66"/>
    <w:rsid w:val="00706047"/>
    <w:rsid w:val="0070633E"/>
    <w:rsid w:val="007073F3"/>
    <w:rsid w:val="00707ABF"/>
    <w:rsid w:val="00707F9A"/>
    <w:rsid w:val="0071061B"/>
    <w:rsid w:val="00710A1C"/>
    <w:rsid w:val="00710AC1"/>
    <w:rsid w:val="00710E84"/>
    <w:rsid w:val="007111FD"/>
    <w:rsid w:val="00711290"/>
    <w:rsid w:val="00711489"/>
    <w:rsid w:val="007114B5"/>
    <w:rsid w:val="0071190A"/>
    <w:rsid w:val="00711B79"/>
    <w:rsid w:val="00711C32"/>
    <w:rsid w:val="00712386"/>
    <w:rsid w:val="0071239A"/>
    <w:rsid w:val="00712607"/>
    <w:rsid w:val="007126C3"/>
    <w:rsid w:val="007129FF"/>
    <w:rsid w:val="0071309D"/>
    <w:rsid w:val="0071314E"/>
    <w:rsid w:val="0071326B"/>
    <w:rsid w:val="00713717"/>
    <w:rsid w:val="00713CEF"/>
    <w:rsid w:val="00713D91"/>
    <w:rsid w:val="00714233"/>
    <w:rsid w:val="007143A4"/>
    <w:rsid w:val="007147E9"/>
    <w:rsid w:val="007149EF"/>
    <w:rsid w:val="00715192"/>
    <w:rsid w:val="007152F9"/>
    <w:rsid w:val="00716296"/>
    <w:rsid w:val="007162D2"/>
    <w:rsid w:val="00716310"/>
    <w:rsid w:val="007165ED"/>
    <w:rsid w:val="00716F0E"/>
    <w:rsid w:val="00716F5A"/>
    <w:rsid w:val="00717404"/>
    <w:rsid w:val="00717B11"/>
    <w:rsid w:val="00717F5C"/>
    <w:rsid w:val="007200F4"/>
    <w:rsid w:val="00720508"/>
    <w:rsid w:val="00720CFB"/>
    <w:rsid w:val="00720DBC"/>
    <w:rsid w:val="00720F9E"/>
    <w:rsid w:val="007216AD"/>
    <w:rsid w:val="00721979"/>
    <w:rsid w:val="00721C39"/>
    <w:rsid w:val="00721E0E"/>
    <w:rsid w:val="00721E59"/>
    <w:rsid w:val="00721F48"/>
    <w:rsid w:val="00721FE3"/>
    <w:rsid w:val="007222C0"/>
    <w:rsid w:val="00722492"/>
    <w:rsid w:val="00722A6F"/>
    <w:rsid w:val="00723718"/>
    <w:rsid w:val="00723804"/>
    <w:rsid w:val="007239DF"/>
    <w:rsid w:val="007239F0"/>
    <w:rsid w:val="00723A5B"/>
    <w:rsid w:val="007240B5"/>
    <w:rsid w:val="00724C16"/>
    <w:rsid w:val="00724DB0"/>
    <w:rsid w:val="00724FFA"/>
    <w:rsid w:val="0072515F"/>
    <w:rsid w:val="00725667"/>
    <w:rsid w:val="00725D10"/>
    <w:rsid w:val="007266AB"/>
    <w:rsid w:val="007266C9"/>
    <w:rsid w:val="00726F37"/>
    <w:rsid w:val="00727412"/>
    <w:rsid w:val="00727574"/>
    <w:rsid w:val="007276AA"/>
    <w:rsid w:val="00727945"/>
    <w:rsid w:val="00727D6A"/>
    <w:rsid w:val="007300AE"/>
    <w:rsid w:val="007307F0"/>
    <w:rsid w:val="007308A7"/>
    <w:rsid w:val="00730A2B"/>
    <w:rsid w:val="007313DB"/>
    <w:rsid w:val="007314D9"/>
    <w:rsid w:val="007318B3"/>
    <w:rsid w:val="00731F81"/>
    <w:rsid w:val="0073224D"/>
    <w:rsid w:val="00732821"/>
    <w:rsid w:val="00732B14"/>
    <w:rsid w:val="00732BF8"/>
    <w:rsid w:val="00732CB5"/>
    <w:rsid w:val="00732FFC"/>
    <w:rsid w:val="0073324D"/>
    <w:rsid w:val="00733251"/>
    <w:rsid w:val="00733268"/>
    <w:rsid w:val="007335E3"/>
    <w:rsid w:val="007344D8"/>
    <w:rsid w:val="007349B7"/>
    <w:rsid w:val="00734BA5"/>
    <w:rsid w:val="007352A1"/>
    <w:rsid w:val="007355BF"/>
    <w:rsid w:val="0073564E"/>
    <w:rsid w:val="00735AD3"/>
    <w:rsid w:val="00735D01"/>
    <w:rsid w:val="00736681"/>
    <w:rsid w:val="0073687D"/>
    <w:rsid w:val="00736F50"/>
    <w:rsid w:val="00737B4A"/>
    <w:rsid w:val="00737DEF"/>
    <w:rsid w:val="00740010"/>
    <w:rsid w:val="00740792"/>
    <w:rsid w:val="00740FC8"/>
    <w:rsid w:val="0074116E"/>
    <w:rsid w:val="00741435"/>
    <w:rsid w:val="00741ED9"/>
    <w:rsid w:val="007420DA"/>
    <w:rsid w:val="007428FB"/>
    <w:rsid w:val="00742B09"/>
    <w:rsid w:val="00742EEF"/>
    <w:rsid w:val="0074320A"/>
    <w:rsid w:val="0074324C"/>
    <w:rsid w:val="00743672"/>
    <w:rsid w:val="00743D92"/>
    <w:rsid w:val="0074432D"/>
    <w:rsid w:val="00744734"/>
    <w:rsid w:val="00744952"/>
    <w:rsid w:val="007452E4"/>
    <w:rsid w:val="007456E9"/>
    <w:rsid w:val="007459DD"/>
    <w:rsid w:val="00745A08"/>
    <w:rsid w:val="00745CDE"/>
    <w:rsid w:val="00745D6A"/>
    <w:rsid w:val="00745E43"/>
    <w:rsid w:val="00745EE1"/>
    <w:rsid w:val="00745F11"/>
    <w:rsid w:val="0074665A"/>
    <w:rsid w:val="00746E70"/>
    <w:rsid w:val="00747176"/>
    <w:rsid w:val="0074747A"/>
    <w:rsid w:val="00747490"/>
    <w:rsid w:val="00750192"/>
    <w:rsid w:val="007504A5"/>
    <w:rsid w:val="007505C2"/>
    <w:rsid w:val="00751158"/>
    <w:rsid w:val="007513C1"/>
    <w:rsid w:val="00751892"/>
    <w:rsid w:val="00751C2D"/>
    <w:rsid w:val="00752816"/>
    <w:rsid w:val="00752D52"/>
    <w:rsid w:val="0075322A"/>
    <w:rsid w:val="0075377E"/>
    <w:rsid w:val="00753CB8"/>
    <w:rsid w:val="007542D4"/>
    <w:rsid w:val="00754CFD"/>
    <w:rsid w:val="00754F18"/>
    <w:rsid w:val="007552AF"/>
    <w:rsid w:val="00755374"/>
    <w:rsid w:val="00755481"/>
    <w:rsid w:val="00755516"/>
    <w:rsid w:val="00755553"/>
    <w:rsid w:val="00755678"/>
    <w:rsid w:val="00755DFE"/>
    <w:rsid w:val="0075625C"/>
    <w:rsid w:val="007575DC"/>
    <w:rsid w:val="007575E8"/>
    <w:rsid w:val="007602A0"/>
    <w:rsid w:val="007604E1"/>
    <w:rsid w:val="00760725"/>
    <w:rsid w:val="00761385"/>
    <w:rsid w:val="00761730"/>
    <w:rsid w:val="0076181A"/>
    <w:rsid w:val="007619C2"/>
    <w:rsid w:val="007619DE"/>
    <w:rsid w:val="00761B35"/>
    <w:rsid w:val="00761B5A"/>
    <w:rsid w:val="0076201F"/>
    <w:rsid w:val="00762372"/>
    <w:rsid w:val="00762837"/>
    <w:rsid w:val="00762AA6"/>
    <w:rsid w:val="00762D57"/>
    <w:rsid w:val="0076318A"/>
    <w:rsid w:val="007637C1"/>
    <w:rsid w:val="0076397D"/>
    <w:rsid w:val="00763A76"/>
    <w:rsid w:val="0076416B"/>
    <w:rsid w:val="00764E4B"/>
    <w:rsid w:val="007653D8"/>
    <w:rsid w:val="00765643"/>
    <w:rsid w:val="00765708"/>
    <w:rsid w:val="00765917"/>
    <w:rsid w:val="007659BA"/>
    <w:rsid w:val="007659EB"/>
    <w:rsid w:val="00765E87"/>
    <w:rsid w:val="007660E3"/>
    <w:rsid w:val="00766384"/>
    <w:rsid w:val="007664FC"/>
    <w:rsid w:val="00766931"/>
    <w:rsid w:val="007669E5"/>
    <w:rsid w:val="00766EC6"/>
    <w:rsid w:val="00767779"/>
    <w:rsid w:val="007678A0"/>
    <w:rsid w:val="00767A1F"/>
    <w:rsid w:val="00767AE4"/>
    <w:rsid w:val="00767BBB"/>
    <w:rsid w:val="00770172"/>
    <w:rsid w:val="00770D87"/>
    <w:rsid w:val="0077105B"/>
    <w:rsid w:val="00771C67"/>
    <w:rsid w:val="00771FEF"/>
    <w:rsid w:val="0077261B"/>
    <w:rsid w:val="00772C12"/>
    <w:rsid w:val="0077321D"/>
    <w:rsid w:val="007735F8"/>
    <w:rsid w:val="00773854"/>
    <w:rsid w:val="00773DB6"/>
    <w:rsid w:val="007740A5"/>
    <w:rsid w:val="007740F7"/>
    <w:rsid w:val="0077410C"/>
    <w:rsid w:val="0077443C"/>
    <w:rsid w:val="00774746"/>
    <w:rsid w:val="00774C25"/>
    <w:rsid w:val="00774FDB"/>
    <w:rsid w:val="0077559D"/>
    <w:rsid w:val="00775AA8"/>
    <w:rsid w:val="00775B75"/>
    <w:rsid w:val="00775E64"/>
    <w:rsid w:val="00776D2B"/>
    <w:rsid w:val="00776E2C"/>
    <w:rsid w:val="007772EF"/>
    <w:rsid w:val="00777432"/>
    <w:rsid w:val="00777986"/>
    <w:rsid w:val="00777BFE"/>
    <w:rsid w:val="00780897"/>
    <w:rsid w:val="007815ED"/>
    <w:rsid w:val="0078192A"/>
    <w:rsid w:val="00781C68"/>
    <w:rsid w:val="00781E69"/>
    <w:rsid w:val="007821C1"/>
    <w:rsid w:val="00782D62"/>
    <w:rsid w:val="007838FF"/>
    <w:rsid w:val="00783EBB"/>
    <w:rsid w:val="0078438B"/>
    <w:rsid w:val="0078451D"/>
    <w:rsid w:val="00784A2B"/>
    <w:rsid w:val="00784CAD"/>
    <w:rsid w:val="00784D68"/>
    <w:rsid w:val="007851A8"/>
    <w:rsid w:val="0078531C"/>
    <w:rsid w:val="0078544D"/>
    <w:rsid w:val="00785788"/>
    <w:rsid w:val="00785862"/>
    <w:rsid w:val="0078649D"/>
    <w:rsid w:val="007864C1"/>
    <w:rsid w:val="007865A6"/>
    <w:rsid w:val="00786A09"/>
    <w:rsid w:val="00786EAA"/>
    <w:rsid w:val="007871CA"/>
    <w:rsid w:val="007874F6"/>
    <w:rsid w:val="00787A69"/>
    <w:rsid w:val="00787EEF"/>
    <w:rsid w:val="0079034C"/>
    <w:rsid w:val="0079040F"/>
    <w:rsid w:val="0079062A"/>
    <w:rsid w:val="00790899"/>
    <w:rsid w:val="00791007"/>
    <w:rsid w:val="007912F9"/>
    <w:rsid w:val="00791DD8"/>
    <w:rsid w:val="00792041"/>
    <w:rsid w:val="00792444"/>
    <w:rsid w:val="007924E3"/>
    <w:rsid w:val="0079273F"/>
    <w:rsid w:val="00792899"/>
    <w:rsid w:val="00792BAF"/>
    <w:rsid w:val="00792D5D"/>
    <w:rsid w:val="007930B2"/>
    <w:rsid w:val="007930F4"/>
    <w:rsid w:val="00793975"/>
    <w:rsid w:val="007943EE"/>
    <w:rsid w:val="00794469"/>
    <w:rsid w:val="00795383"/>
    <w:rsid w:val="0079692E"/>
    <w:rsid w:val="00796942"/>
    <w:rsid w:val="00796A34"/>
    <w:rsid w:val="00797011"/>
    <w:rsid w:val="007974B5"/>
    <w:rsid w:val="00797AB1"/>
    <w:rsid w:val="00797BC8"/>
    <w:rsid w:val="00797F59"/>
    <w:rsid w:val="007A0036"/>
    <w:rsid w:val="007A0284"/>
    <w:rsid w:val="007A02BC"/>
    <w:rsid w:val="007A05D5"/>
    <w:rsid w:val="007A069F"/>
    <w:rsid w:val="007A08D1"/>
    <w:rsid w:val="007A0C74"/>
    <w:rsid w:val="007A0E8E"/>
    <w:rsid w:val="007A128E"/>
    <w:rsid w:val="007A14A3"/>
    <w:rsid w:val="007A1DCB"/>
    <w:rsid w:val="007A20B9"/>
    <w:rsid w:val="007A235A"/>
    <w:rsid w:val="007A28AB"/>
    <w:rsid w:val="007A28EC"/>
    <w:rsid w:val="007A2A3A"/>
    <w:rsid w:val="007A2D8C"/>
    <w:rsid w:val="007A34AE"/>
    <w:rsid w:val="007A35CD"/>
    <w:rsid w:val="007A3A9B"/>
    <w:rsid w:val="007A3AD9"/>
    <w:rsid w:val="007A3B98"/>
    <w:rsid w:val="007A3E1C"/>
    <w:rsid w:val="007A43DE"/>
    <w:rsid w:val="007A4682"/>
    <w:rsid w:val="007A47C1"/>
    <w:rsid w:val="007A48A3"/>
    <w:rsid w:val="007A4CC8"/>
    <w:rsid w:val="007A4DFF"/>
    <w:rsid w:val="007A54C5"/>
    <w:rsid w:val="007A5B1C"/>
    <w:rsid w:val="007A5D40"/>
    <w:rsid w:val="007A62BB"/>
    <w:rsid w:val="007A63C1"/>
    <w:rsid w:val="007A6501"/>
    <w:rsid w:val="007A65BD"/>
    <w:rsid w:val="007A67B3"/>
    <w:rsid w:val="007A6FCF"/>
    <w:rsid w:val="007A736E"/>
    <w:rsid w:val="007A77E8"/>
    <w:rsid w:val="007A7857"/>
    <w:rsid w:val="007B01E9"/>
    <w:rsid w:val="007B0265"/>
    <w:rsid w:val="007B0DAA"/>
    <w:rsid w:val="007B0EF2"/>
    <w:rsid w:val="007B10A8"/>
    <w:rsid w:val="007B12FA"/>
    <w:rsid w:val="007B1429"/>
    <w:rsid w:val="007B1811"/>
    <w:rsid w:val="007B21C2"/>
    <w:rsid w:val="007B225A"/>
    <w:rsid w:val="007B2492"/>
    <w:rsid w:val="007B2504"/>
    <w:rsid w:val="007B2F5E"/>
    <w:rsid w:val="007B32BA"/>
    <w:rsid w:val="007B3B23"/>
    <w:rsid w:val="007B4164"/>
    <w:rsid w:val="007B42CE"/>
    <w:rsid w:val="007B556F"/>
    <w:rsid w:val="007B55D6"/>
    <w:rsid w:val="007B55E8"/>
    <w:rsid w:val="007B59C2"/>
    <w:rsid w:val="007B5B27"/>
    <w:rsid w:val="007B5D6B"/>
    <w:rsid w:val="007B5F5F"/>
    <w:rsid w:val="007B63FA"/>
    <w:rsid w:val="007B6524"/>
    <w:rsid w:val="007B7166"/>
    <w:rsid w:val="007B7278"/>
    <w:rsid w:val="007B73AA"/>
    <w:rsid w:val="007B7420"/>
    <w:rsid w:val="007B79E7"/>
    <w:rsid w:val="007B79F1"/>
    <w:rsid w:val="007B7B93"/>
    <w:rsid w:val="007B7F30"/>
    <w:rsid w:val="007C04A5"/>
    <w:rsid w:val="007C07F7"/>
    <w:rsid w:val="007C0FAA"/>
    <w:rsid w:val="007C16B2"/>
    <w:rsid w:val="007C1AA6"/>
    <w:rsid w:val="007C2536"/>
    <w:rsid w:val="007C2C3F"/>
    <w:rsid w:val="007C2CAF"/>
    <w:rsid w:val="007C35C9"/>
    <w:rsid w:val="007C3A5D"/>
    <w:rsid w:val="007C3CF5"/>
    <w:rsid w:val="007C4012"/>
    <w:rsid w:val="007C4497"/>
    <w:rsid w:val="007C4633"/>
    <w:rsid w:val="007C4CA0"/>
    <w:rsid w:val="007C4DF0"/>
    <w:rsid w:val="007C5F2F"/>
    <w:rsid w:val="007C5F78"/>
    <w:rsid w:val="007C6163"/>
    <w:rsid w:val="007C6177"/>
    <w:rsid w:val="007C65F9"/>
    <w:rsid w:val="007C73FF"/>
    <w:rsid w:val="007C7529"/>
    <w:rsid w:val="007C762F"/>
    <w:rsid w:val="007C7A1B"/>
    <w:rsid w:val="007C7C71"/>
    <w:rsid w:val="007C7CA6"/>
    <w:rsid w:val="007C7D00"/>
    <w:rsid w:val="007C7E05"/>
    <w:rsid w:val="007D01FD"/>
    <w:rsid w:val="007D0289"/>
    <w:rsid w:val="007D0382"/>
    <w:rsid w:val="007D06B1"/>
    <w:rsid w:val="007D120C"/>
    <w:rsid w:val="007D14CF"/>
    <w:rsid w:val="007D16FA"/>
    <w:rsid w:val="007D1855"/>
    <w:rsid w:val="007D193D"/>
    <w:rsid w:val="007D1EA4"/>
    <w:rsid w:val="007D2332"/>
    <w:rsid w:val="007D24BA"/>
    <w:rsid w:val="007D2579"/>
    <w:rsid w:val="007D2656"/>
    <w:rsid w:val="007D2940"/>
    <w:rsid w:val="007D2D22"/>
    <w:rsid w:val="007D3125"/>
    <w:rsid w:val="007D3B5C"/>
    <w:rsid w:val="007D3D59"/>
    <w:rsid w:val="007D4266"/>
    <w:rsid w:val="007D43EC"/>
    <w:rsid w:val="007D4529"/>
    <w:rsid w:val="007D45C3"/>
    <w:rsid w:val="007D46BA"/>
    <w:rsid w:val="007D46FC"/>
    <w:rsid w:val="007D4886"/>
    <w:rsid w:val="007D4971"/>
    <w:rsid w:val="007D4ABA"/>
    <w:rsid w:val="007D4F32"/>
    <w:rsid w:val="007D5037"/>
    <w:rsid w:val="007D5383"/>
    <w:rsid w:val="007D54B3"/>
    <w:rsid w:val="007D57E8"/>
    <w:rsid w:val="007D5C6F"/>
    <w:rsid w:val="007D5CD2"/>
    <w:rsid w:val="007D5F20"/>
    <w:rsid w:val="007D6142"/>
    <w:rsid w:val="007D61F3"/>
    <w:rsid w:val="007D6740"/>
    <w:rsid w:val="007D6ACF"/>
    <w:rsid w:val="007D6BCD"/>
    <w:rsid w:val="007D702F"/>
    <w:rsid w:val="007D73D7"/>
    <w:rsid w:val="007D7D60"/>
    <w:rsid w:val="007D7D67"/>
    <w:rsid w:val="007E01ED"/>
    <w:rsid w:val="007E0D0E"/>
    <w:rsid w:val="007E1314"/>
    <w:rsid w:val="007E1351"/>
    <w:rsid w:val="007E13FF"/>
    <w:rsid w:val="007E2120"/>
    <w:rsid w:val="007E2130"/>
    <w:rsid w:val="007E237C"/>
    <w:rsid w:val="007E260F"/>
    <w:rsid w:val="007E2FCF"/>
    <w:rsid w:val="007E3C41"/>
    <w:rsid w:val="007E3C8C"/>
    <w:rsid w:val="007E3F39"/>
    <w:rsid w:val="007E418F"/>
    <w:rsid w:val="007E44B7"/>
    <w:rsid w:val="007E47F6"/>
    <w:rsid w:val="007E5EAC"/>
    <w:rsid w:val="007E5EC6"/>
    <w:rsid w:val="007E613A"/>
    <w:rsid w:val="007E6291"/>
    <w:rsid w:val="007E7408"/>
    <w:rsid w:val="007E7AE8"/>
    <w:rsid w:val="007E7C36"/>
    <w:rsid w:val="007F05D4"/>
    <w:rsid w:val="007F0E97"/>
    <w:rsid w:val="007F109F"/>
    <w:rsid w:val="007F1200"/>
    <w:rsid w:val="007F167E"/>
    <w:rsid w:val="007F16D4"/>
    <w:rsid w:val="007F1A02"/>
    <w:rsid w:val="007F2273"/>
    <w:rsid w:val="007F2285"/>
    <w:rsid w:val="007F261E"/>
    <w:rsid w:val="007F262C"/>
    <w:rsid w:val="007F2B77"/>
    <w:rsid w:val="007F3B8F"/>
    <w:rsid w:val="007F45FE"/>
    <w:rsid w:val="007F4AC8"/>
    <w:rsid w:val="007F4C18"/>
    <w:rsid w:val="007F4E4C"/>
    <w:rsid w:val="007F6156"/>
    <w:rsid w:val="007F6379"/>
    <w:rsid w:val="007F648B"/>
    <w:rsid w:val="007F6657"/>
    <w:rsid w:val="007F6805"/>
    <w:rsid w:val="007F6B57"/>
    <w:rsid w:val="007F6C13"/>
    <w:rsid w:val="007F7043"/>
    <w:rsid w:val="007F7190"/>
    <w:rsid w:val="007F72C9"/>
    <w:rsid w:val="007F73FE"/>
    <w:rsid w:val="007F744F"/>
    <w:rsid w:val="007F7A92"/>
    <w:rsid w:val="00800A3E"/>
    <w:rsid w:val="00800C44"/>
    <w:rsid w:val="00800CDA"/>
    <w:rsid w:val="00800D86"/>
    <w:rsid w:val="00800EA0"/>
    <w:rsid w:val="0080117E"/>
    <w:rsid w:val="008013C4"/>
    <w:rsid w:val="008014E9"/>
    <w:rsid w:val="0080160E"/>
    <w:rsid w:val="00801802"/>
    <w:rsid w:val="00801C6C"/>
    <w:rsid w:val="00801D40"/>
    <w:rsid w:val="00801E11"/>
    <w:rsid w:val="00801EAB"/>
    <w:rsid w:val="00802064"/>
    <w:rsid w:val="008024AA"/>
    <w:rsid w:val="00802FC4"/>
    <w:rsid w:val="00803ADC"/>
    <w:rsid w:val="00803E46"/>
    <w:rsid w:val="00803E8D"/>
    <w:rsid w:val="0080410C"/>
    <w:rsid w:val="0080446C"/>
    <w:rsid w:val="008044AA"/>
    <w:rsid w:val="008058D7"/>
    <w:rsid w:val="00805D04"/>
    <w:rsid w:val="00805E7F"/>
    <w:rsid w:val="00806081"/>
    <w:rsid w:val="0080637B"/>
    <w:rsid w:val="00806819"/>
    <w:rsid w:val="00807036"/>
    <w:rsid w:val="0080755F"/>
    <w:rsid w:val="0080760E"/>
    <w:rsid w:val="0080764B"/>
    <w:rsid w:val="008077E2"/>
    <w:rsid w:val="00807C7C"/>
    <w:rsid w:val="00810386"/>
    <w:rsid w:val="008115DE"/>
    <w:rsid w:val="008118BE"/>
    <w:rsid w:val="00811CCA"/>
    <w:rsid w:val="00811EB2"/>
    <w:rsid w:val="00811EE5"/>
    <w:rsid w:val="00811EF9"/>
    <w:rsid w:val="008120EE"/>
    <w:rsid w:val="00812296"/>
    <w:rsid w:val="0081272F"/>
    <w:rsid w:val="00812A22"/>
    <w:rsid w:val="00813256"/>
    <w:rsid w:val="00813950"/>
    <w:rsid w:val="008140BB"/>
    <w:rsid w:val="00814138"/>
    <w:rsid w:val="0081419D"/>
    <w:rsid w:val="00815261"/>
    <w:rsid w:val="00815348"/>
    <w:rsid w:val="0081564B"/>
    <w:rsid w:val="0081572D"/>
    <w:rsid w:val="00815B1A"/>
    <w:rsid w:val="00815BDA"/>
    <w:rsid w:val="008162D4"/>
    <w:rsid w:val="00816332"/>
    <w:rsid w:val="008167D6"/>
    <w:rsid w:val="00816CA6"/>
    <w:rsid w:val="00816DCD"/>
    <w:rsid w:val="00816FD8"/>
    <w:rsid w:val="00816FFA"/>
    <w:rsid w:val="0081722D"/>
    <w:rsid w:val="00817513"/>
    <w:rsid w:val="00817E9A"/>
    <w:rsid w:val="00817EA6"/>
    <w:rsid w:val="00817EF0"/>
    <w:rsid w:val="008200F3"/>
    <w:rsid w:val="008203CF"/>
    <w:rsid w:val="008205DB"/>
    <w:rsid w:val="0082114F"/>
    <w:rsid w:val="008219AF"/>
    <w:rsid w:val="00821CF6"/>
    <w:rsid w:val="008222E0"/>
    <w:rsid w:val="00822D87"/>
    <w:rsid w:val="008231F9"/>
    <w:rsid w:val="0082356F"/>
    <w:rsid w:val="0082358D"/>
    <w:rsid w:val="008236D2"/>
    <w:rsid w:val="0082374B"/>
    <w:rsid w:val="00823CDA"/>
    <w:rsid w:val="00824072"/>
    <w:rsid w:val="0082413A"/>
    <w:rsid w:val="00824508"/>
    <w:rsid w:val="0082454E"/>
    <w:rsid w:val="0082518B"/>
    <w:rsid w:val="00826469"/>
    <w:rsid w:val="008264C2"/>
    <w:rsid w:val="00826C10"/>
    <w:rsid w:val="00826C96"/>
    <w:rsid w:val="00826DF0"/>
    <w:rsid w:val="008275D0"/>
    <w:rsid w:val="0082772E"/>
    <w:rsid w:val="00830052"/>
    <w:rsid w:val="00830080"/>
    <w:rsid w:val="008302CC"/>
    <w:rsid w:val="00830A0D"/>
    <w:rsid w:val="00830C70"/>
    <w:rsid w:val="00830F8D"/>
    <w:rsid w:val="008311BD"/>
    <w:rsid w:val="008315B7"/>
    <w:rsid w:val="00831779"/>
    <w:rsid w:val="00831923"/>
    <w:rsid w:val="00831A40"/>
    <w:rsid w:val="00831B61"/>
    <w:rsid w:val="00831CE6"/>
    <w:rsid w:val="00831F58"/>
    <w:rsid w:val="00832044"/>
    <w:rsid w:val="008325B8"/>
    <w:rsid w:val="008326F6"/>
    <w:rsid w:val="0083296B"/>
    <w:rsid w:val="008329A9"/>
    <w:rsid w:val="00833A9F"/>
    <w:rsid w:val="00833D24"/>
    <w:rsid w:val="00833E52"/>
    <w:rsid w:val="00833ED5"/>
    <w:rsid w:val="00834730"/>
    <w:rsid w:val="0083475D"/>
    <w:rsid w:val="008348F3"/>
    <w:rsid w:val="00834C6B"/>
    <w:rsid w:val="0083511B"/>
    <w:rsid w:val="008351BD"/>
    <w:rsid w:val="0083567F"/>
    <w:rsid w:val="00835CA0"/>
    <w:rsid w:val="00835D55"/>
    <w:rsid w:val="00835DE8"/>
    <w:rsid w:val="0083720E"/>
    <w:rsid w:val="008376DB"/>
    <w:rsid w:val="0083774D"/>
    <w:rsid w:val="00837B3C"/>
    <w:rsid w:val="00837E2F"/>
    <w:rsid w:val="008402F2"/>
    <w:rsid w:val="0084050F"/>
    <w:rsid w:val="00840C10"/>
    <w:rsid w:val="00840CF5"/>
    <w:rsid w:val="00840E91"/>
    <w:rsid w:val="00840F0C"/>
    <w:rsid w:val="008410BE"/>
    <w:rsid w:val="00841211"/>
    <w:rsid w:val="008413CD"/>
    <w:rsid w:val="008416DD"/>
    <w:rsid w:val="008419EA"/>
    <w:rsid w:val="00841A8D"/>
    <w:rsid w:val="008422A9"/>
    <w:rsid w:val="00842CC4"/>
    <w:rsid w:val="00842F2F"/>
    <w:rsid w:val="008438AF"/>
    <w:rsid w:val="00843B03"/>
    <w:rsid w:val="00843C94"/>
    <w:rsid w:val="00844BBD"/>
    <w:rsid w:val="00844C51"/>
    <w:rsid w:val="00845026"/>
    <w:rsid w:val="00845809"/>
    <w:rsid w:val="00845D05"/>
    <w:rsid w:val="008465C4"/>
    <w:rsid w:val="00846694"/>
    <w:rsid w:val="008471EB"/>
    <w:rsid w:val="00847300"/>
    <w:rsid w:val="00847436"/>
    <w:rsid w:val="00847590"/>
    <w:rsid w:val="008475A0"/>
    <w:rsid w:val="008475B5"/>
    <w:rsid w:val="0084769B"/>
    <w:rsid w:val="00847B76"/>
    <w:rsid w:val="00847E48"/>
    <w:rsid w:val="00850CA7"/>
    <w:rsid w:val="00850EF5"/>
    <w:rsid w:val="008517B6"/>
    <w:rsid w:val="00851F99"/>
    <w:rsid w:val="00852428"/>
    <w:rsid w:val="00852858"/>
    <w:rsid w:val="00852B24"/>
    <w:rsid w:val="00852CAE"/>
    <w:rsid w:val="00852D6D"/>
    <w:rsid w:val="00852EDF"/>
    <w:rsid w:val="00853444"/>
    <w:rsid w:val="008534E6"/>
    <w:rsid w:val="008536B8"/>
    <w:rsid w:val="008537D9"/>
    <w:rsid w:val="0085389A"/>
    <w:rsid w:val="00853B5A"/>
    <w:rsid w:val="00854075"/>
    <w:rsid w:val="008549A6"/>
    <w:rsid w:val="008549DE"/>
    <w:rsid w:val="00855269"/>
    <w:rsid w:val="00855A18"/>
    <w:rsid w:val="00855DD9"/>
    <w:rsid w:val="008565A6"/>
    <w:rsid w:val="00856A2D"/>
    <w:rsid w:val="00856AF6"/>
    <w:rsid w:val="00856DC4"/>
    <w:rsid w:val="0085707D"/>
    <w:rsid w:val="008572A0"/>
    <w:rsid w:val="0085730B"/>
    <w:rsid w:val="00857596"/>
    <w:rsid w:val="00857A80"/>
    <w:rsid w:val="00857A96"/>
    <w:rsid w:val="00857B28"/>
    <w:rsid w:val="00860317"/>
    <w:rsid w:val="008603FA"/>
    <w:rsid w:val="00860B89"/>
    <w:rsid w:val="0086166B"/>
    <w:rsid w:val="00861A2B"/>
    <w:rsid w:val="00861B19"/>
    <w:rsid w:val="008628EA"/>
    <w:rsid w:val="00862949"/>
    <w:rsid w:val="00862DA5"/>
    <w:rsid w:val="008639F3"/>
    <w:rsid w:val="00863DF2"/>
    <w:rsid w:val="00863FB2"/>
    <w:rsid w:val="008641C5"/>
    <w:rsid w:val="00864E63"/>
    <w:rsid w:val="00864EFD"/>
    <w:rsid w:val="0086523C"/>
    <w:rsid w:val="0086535C"/>
    <w:rsid w:val="00865C9B"/>
    <w:rsid w:val="0086624C"/>
    <w:rsid w:val="008664B3"/>
    <w:rsid w:val="0086687C"/>
    <w:rsid w:val="00866CC6"/>
    <w:rsid w:val="00866EC0"/>
    <w:rsid w:val="00867047"/>
    <w:rsid w:val="0086711E"/>
    <w:rsid w:val="0086791E"/>
    <w:rsid w:val="008679CB"/>
    <w:rsid w:val="00867EB0"/>
    <w:rsid w:val="008706AE"/>
    <w:rsid w:val="00871042"/>
    <w:rsid w:val="0087171C"/>
    <w:rsid w:val="008718F2"/>
    <w:rsid w:val="00871AD3"/>
    <w:rsid w:val="00872220"/>
    <w:rsid w:val="0087223E"/>
    <w:rsid w:val="008725F3"/>
    <w:rsid w:val="008726B8"/>
    <w:rsid w:val="008733E0"/>
    <w:rsid w:val="00873539"/>
    <w:rsid w:val="008737DA"/>
    <w:rsid w:val="00873827"/>
    <w:rsid w:val="0087419B"/>
    <w:rsid w:val="008743BB"/>
    <w:rsid w:val="00874644"/>
    <w:rsid w:val="00874730"/>
    <w:rsid w:val="00875C0D"/>
    <w:rsid w:val="00875EF1"/>
    <w:rsid w:val="00875FCC"/>
    <w:rsid w:val="00876025"/>
    <w:rsid w:val="008760F3"/>
    <w:rsid w:val="00876482"/>
    <w:rsid w:val="0087675C"/>
    <w:rsid w:val="00877191"/>
    <w:rsid w:val="008773F4"/>
    <w:rsid w:val="00877421"/>
    <w:rsid w:val="00877433"/>
    <w:rsid w:val="008774A9"/>
    <w:rsid w:val="008774CB"/>
    <w:rsid w:val="008779FF"/>
    <w:rsid w:val="0088039B"/>
    <w:rsid w:val="008803E8"/>
    <w:rsid w:val="0088080E"/>
    <w:rsid w:val="00880B6F"/>
    <w:rsid w:val="0088142E"/>
    <w:rsid w:val="00881AFF"/>
    <w:rsid w:val="00881B49"/>
    <w:rsid w:val="00882366"/>
    <w:rsid w:val="0088251A"/>
    <w:rsid w:val="00882692"/>
    <w:rsid w:val="008828FA"/>
    <w:rsid w:val="00882A68"/>
    <w:rsid w:val="00882C58"/>
    <w:rsid w:val="00882FDE"/>
    <w:rsid w:val="00883035"/>
    <w:rsid w:val="008831BD"/>
    <w:rsid w:val="00883214"/>
    <w:rsid w:val="0088328C"/>
    <w:rsid w:val="008834FB"/>
    <w:rsid w:val="008835A8"/>
    <w:rsid w:val="0088374E"/>
    <w:rsid w:val="00884080"/>
    <w:rsid w:val="00884218"/>
    <w:rsid w:val="0088422E"/>
    <w:rsid w:val="0088425A"/>
    <w:rsid w:val="00884445"/>
    <w:rsid w:val="00884BEA"/>
    <w:rsid w:val="00884C0E"/>
    <w:rsid w:val="00884CB4"/>
    <w:rsid w:val="00884E51"/>
    <w:rsid w:val="00885CAE"/>
    <w:rsid w:val="00885E17"/>
    <w:rsid w:val="00885FC2"/>
    <w:rsid w:val="008860CC"/>
    <w:rsid w:val="00886CB7"/>
    <w:rsid w:val="008870B3"/>
    <w:rsid w:val="0088780F"/>
    <w:rsid w:val="00887A91"/>
    <w:rsid w:val="00887CEB"/>
    <w:rsid w:val="0089017C"/>
    <w:rsid w:val="008903FB"/>
    <w:rsid w:val="008907D1"/>
    <w:rsid w:val="00890BEB"/>
    <w:rsid w:val="00891346"/>
    <w:rsid w:val="0089162F"/>
    <w:rsid w:val="00891CDA"/>
    <w:rsid w:val="00891D6F"/>
    <w:rsid w:val="00892841"/>
    <w:rsid w:val="00892898"/>
    <w:rsid w:val="008928C6"/>
    <w:rsid w:val="008929C9"/>
    <w:rsid w:val="00892B50"/>
    <w:rsid w:val="008930A4"/>
    <w:rsid w:val="00893101"/>
    <w:rsid w:val="00893225"/>
    <w:rsid w:val="00893A94"/>
    <w:rsid w:val="00893B13"/>
    <w:rsid w:val="00893C8C"/>
    <w:rsid w:val="00894417"/>
    <w:rsid w:val="0089449E"/>
    <w:rsid w:val="0089456A"/>
    <w:rsid w:val="0089468A"/>
    <w:rsid w:val="008949EF"/>
    <w:rsid w:val="008952F3"/>
    <w:rsid w:val="0089548F"/>
    <w:rsid w:val="00895527"/>
    <w:rsid w:val="008955A8"/>
    <w:rsid w:val="00895AC7"/>
    <w:rsid w:val="00895E29"/>
    <w:rsid w:val="0089647F"/>
    <w:rsid w:val="00896AE9"/>
    <w:rsid w:val="00896D1E"/>
    <w:rsid w:val="00896FAD"/>
    <w:rsid w:val="0089786D"/>
    <w:rsid w:val="00897936"/>
    <w:rsid w:val="008A00D2"/>
    <w:rsid w:val="008A0357"/>
    <w:rsid w:val="008A03E2"/>
    <w:rsid w:val="008A08FD"/>
    <w:rsid w:val="008A1526"/>
    <w:rsid w:val="008A15DB"/>
    <w:rsid w:val="008A17A1"/>
    <w:rsid w:val="008A1977"/>
    <w:rsid w:val="008A1CA2"/>
    <w:rsid w:val="008A1D4D"/>
    <w:rsid w:val="008A1DD4"/>
    <w:rsid w:val="008A1DD5"/>
    <w:rsid w:val="008A1FDD"/>
    <w:rsid w:val="008A201A"/>
    <w:rsid w:val="008A2465"/>
    <w:rsid w:val="008A256C"/>
    <w:rsid w:val="008A2852"/>
    <w:rsid w:val="008A2AF4"/>
    <w:rsid w:val="008A2C28"/>
    <w:rsid w:val="008A2DD7"/>
    <w:rsid w:val="008A351C"/>
    <w:rsid w:val="008A3B35"/>
    <w:rsid w:val="008A3B65"/>
    <w:rsid w:val="008A40A1"/>
    <w:rsid w:val="008A4139"/>
    <w:rsid w:val="008A4323"/>
    <w:rsid w:val="008A45C1"/>
    <w:rsid w:val="008A46D1"/>
    <w:rsid w:val="008A48E6"/>
    <w:rsid w:val="008A4964"/>
    <w:rsid w:val="008A4C3C"/>
    <w:rsid w:val="008A4DF9"/>
    <w:rsid w:val="008A4E5C"/>
    <w:rsid w:val="008A517C"/>
    <w:rsid w:val="008A51D1"/>
    <w:rsid w:val="008A52C8"/>
    <w:rsid w:val="008A5AEF"/>
    <w:rsid w:val="008A5C14"/>
    <w:rsid w:val="008A5E56"/>
    <w:rsid w:val="008A63B9"/>
    <w:rsid w:val="008A70F4"/>
    <w:rsid w:val="008A7697"/>
    <w:rsid w:val="008A7745"/>
    <w:rsid w:val="008A7B18"/>
    <w:rsid w:val="008A7E9E"/>
    <w:rsid w:val="008A7EB5"/>
    <w:rsid w:val="008B0487"/>
    <w:rsid w:val="008B0646"/>
    <w:rsid w:val="008B0CB1"/>
    <w:rsid w:val="008B0EC4"/>
    <w:rsid w:val="008B18D4"/>
    <w:rsid w:val="008B1940"/>
    <w:rsid w:val="008B1E65"/>
    <w:rsid w:val="008B1FEE"/>
    <w:rsid w:val="008B23DC"/>
    <w:rsid w:val="008B2817"/>
    <w:rsid w:val="008B2867"/>
    <w:rsid w:val="008B2B54"/>
    <w:rsid w:val="008B2CA0"/>
    <w:rsid w:val="008B2CB4"/>
    <w:rsid w:val="008B2CF3"/>
    <w:rsid w:val="008B2DC6"/>
    <w:rsid w:val="008B307A"/>
    <w:rsid w:val="008B36AD"/>
    <w:rsid w:val="008B4358"/>
    <w:rsid w:val="008B44C4"/>
    <w:rsid w:val="008B468E"/>
    <w:rsid w:val="008B4972"/>
    <w:rsid w:val="008B512F"/>
    <w:rsid w:val="008B517D"/>
    <w:rsid w:val="008B55BE"/>
    <w:rsid w:val="008B57AA"/>
    <w:rsid w:val="008B57E8"/>
    <w:rsid w:val="008B58AF"/>
    <w:rsid w:val="008B597B"/>
    <w:rsid w:val="008B5F6C"/>
    <w:rsid w:val="008B62C9"/>
    <w:rsid w:val="008B6862"/>
    <w:rsid w:val="008B6F06"/>
    <w:rsid w:val="008B70BC"/>
    <w:rsid w:val="008B7E06"/>
    <w:rsid w:val="008B7EF2"/>
    <w:rsid w:val="008C0444"/>
    <w:rsid w:val="008C0588"/>
    <w:rsid w:val="008C0F1A"/>
    <w:rsid w:val="008C102A"/>
    <w:rsid w:val="008C103B"/>
    <w:rsid w:val="008C137C"/>
    <w:rsid w:val="008C157A"/>
    <w:rsid w:val="008C179F"/>
    <w:rsid w:val="008C1B8A"/>
    <w:rsid w:val="008C1BB7"/>
    <w:rsid w:val="008C1D02"/>
    <w:rsid w:val="008C1FD7"/>
    <w:rsid w:val="008C20A0"/>
    <w:rsid w:val="008C21B7"/>
    <w:rsid w:val="008C22F1"/>
    <w:rsid w:val="008C2379"/>
    <w:rsid w:val="008C2575"/>
    <w:rsid w:val="008C2661"/>
    <w:rsid w:val="008C2734"/>
    <w:rsid w:val="008C28F3"/>
    <w:rsid w:val="008C33C8"/>
    <w:rsid w:val="008C3519"/>
    <w:rsid w:val="008C377C"/>
    <w:rsid w:val="008C38C0"/>
    <w:rsid w:val="008C41AD"/>
    <w:rsid w:val="008C4550"/>
    <w:rsid w:val="008C456F"/>
    <w:rsid w:val="008C4E2E"/>
    <w:rsid w:val="008C5555"/>
    <w:rsid w:val="008C5B89"/>
    <w:rsid w:val="008C5E3C"/>
    <w:rsid w:val="008C6B23"/>
    <w:rsid w:val="008C6CE9"/>
    <w:rsid w:val="008C7013"/>
    <w:rsid w:val="008C7394"/>
    <w:rsid w:val="008C73EC"/>
    <w:rsid w:val="008C75A7"/>
    <w:rsid w:val="008C792A"/>
    <w:rsid w:val="008C7B89"/>
    <w:rsid w:val="008C7F97"/>
    <w:rsid w:val="008D01B9"/>
    <w:rsid w:val="008D03FB"/>
    <w:rsid w:val="008D0D3F"/>
    <w:rsid w:val="008D0E74"/>
    <w:rsid w:val="008D146A"/>
    <w:rsid w:val="008D1809"/>
    <w:rsid w:val="008D18B0"/>
    <w:rsid w:val="008D1D76"/>
    <w:rsid w:val="008D2747"/>
    <w:rsid w:val="008D3121"/>
    <w:rsid w:val="008D390E"/>
    <w:rsid w:val="008D3EF1"/>
    <w:rsid w:val="008D3F17"/>
    <w:rsid w:val="008D426D"/>
    <w:rsid w:val="008D4460"/>
    <w:rsid w:val="008D478B"/>
    <w:rsid w:val="008D49CA"/>
    <w:rsid w:val="008D4D53"/>
    <w:rsid w:val="008D530E"/>
    <w:rsid w:val="008D5969"/>
    <w:rsid w:val="008D5EF0"/>
    <w:rsid w:val="008D60EF"/>
    <w:rsid w:val="008D62ED"/>
    <w:rsid w:val="008D63BE"/>
    <w:rsid w:val="008D66EC"/>
    <w:rsid w:val="008D6A94"/>
    <w:rsid w:val="008D6B34"/>
    <w:rsid w:val="008D6DCA"/>
    <w:rsid w:val="008D6DE3"/>
    <w:rsid w:val="008D6F39"/>
    <w:rsid w:val="008D78DE"/>
    <w:rsid w:val="008E00C9"/>
    <w:rsid w:val="008E015C"/>
    <w:rsid w:val="008E01E0"/>
    <w:rsid w:val="008E02E1"/>
    <w:rsid w:val="008E0610"/>
    <w:rsid w:val="008E0717"/>
    <w:rsid w:val="008E0B8B"/>
    <w:rsid w:val="008E0C83"/>
    <w:rsid w:val="008E0CC2"/>
    <w:rsid w:val="008E0EB6"/>
    <w:rsid w:val="008E10FC"/>
    <w:rsid w:val="008E1D6F"/>
    <w:rsid w:val="008E220F"/>
    <w:rsid w:val="008E267F"/>
    <w:rsid w:val="008E27DE"/>
    <w:rsid w:val="008E299C"/>
    <w:rsid w:val="008E2BCC"/>
    <w:rsid w:val="008E2E88"/>
    <w:rsid w:val="008E3077"/>
    <w:rsid w:val="008E30CF"/>
    <w:rsid w:val="008E369E"/>
    <w:rsid w:val="008E3771"/>
    <w:rsid w:val="008E383B"/>
    <w:rsid w:val="008E3E2C"/>
    <w:rsid w:val="008E4133"/>
    <w:rsid w:val="008E433C"/>
    <w:rsid w:val="008E481B"/>
    <w:rsid w:val="008E4CCB"/>
    <w:rsid w:val="008E4FFA"/>
    <w:rsid w:val="008E577C"/>
    <w:rsid w:val="008E5887"/>
    <w:rsid w:val="008E63E0"/>
    <w:rsid w:val="008E641A"/>
    <w:rsid w:val="008E70F6"/>
    <w:rsid w:val="008E7649"/>
    <w:rsid w:val="008E77F2"/>
    <w:rsid w:val="008E7D20"/>
    <w:rsid w:val="008F0E28"/>
    <w:rsid w:val="008F0F3C"/>
    <w:rsid w:val="008F10F8"/>
    <w:rsid w:val="008F1231"/>
    <w:rsid w:val="008F1300"/>
    <w:rsid w:val="008F1563"/>
    <w:rsid w:val="008F18CA"/>
    <w:rsid w:val="008F1AB0"/>
    <w:rsid w:val="008F1EA4"/>
    <w:rsid w:val="008F2666"/>
    <w:rsid w:val="008F286E"/>
    <w:rsid w:val="008F2B09"/>
    <w:rsid w:val="008F2C3A"/>
    <w:rsid w:val="008F35B5"/>
    <w:rsid w:val="008F3778"/>
    <w:rsid w:val="008F3817"/>
    <w:rsid w:val="008F4146"/>
    <w:rsid w:val="008F45BE"/>
    <w:rsid w:val="008F4B49"/>
    <w:rsid w:val="008F4BE6"/>
    <w:rsid w:val="008F5026"/>
    <w:rsid w:val="008F5345"/>
    <w:rsid w:val="008F5464"/>
    <w:rsid w:val="008F54C1"/>
    <w:rsid w:val="008F54F0"/>
    <w:rsid w:val="008F57CE"/>
    <w:rsid w:val="008F5A6E"/>
    <w:rsid w:val="008F5CE6"/>
    <w:rsid w:val="008F60D5"/>
    <w:rsid w:val="008F6214"/>
    <w:rsid w:val="008F62A1"/>
    <w:rsid w:val="008F67C4"/>
    <w:rsid w:val="008F67CF"/>
    <w:rsid w:val="008F6860"/>
    <w:rsid w:val="008F6DBC"/>
    <w:rsid w:val="008F6EE6"/>
    <w:rsid w:val="008F71BD"/>
    <w:rsid w:val="008F7378"/>
    <w:rsid w:val="008F773C"/>
    <w:rsid w:val="008F78D6"/>
    <w:rsid w:val="008F790C"/>
    <w:rsid w:val="008F79A0"/>
    <w:rsid w:val="0090006C"/>
    <w:rsid w:val="00900B03"/>
    <w:rsid w:val="00901145"/>
    <w:rsid w:val="00901D4A"/>
    <w:rsid w:val="0090234B"/>
    <w:rsid w:val="009023F9"/>
    <w:rsid w:val="0090266F"/>
    <w:rsid w:val="00903515"/>
    <w:rsid w:val="009035B4"/>
    <w:rsid w:val="00903BCA"/>
    <w:rsid w:val="00904598"/>
    <w:rsid w:val="0090527B"/>
    <w:rsid w:val="00905620"/>
    <w:rsid w:val="00905743"/>
    <w:rsid w:val="00905ECE"/>
    <w:rsid w:val="00906333"/>
    <w:rsid w:val="00906371"/>
    <w:rsid w:val="009067C5"/>
    <w:rsid w:val="009067ED"/>
    <w:rsid w:val="00906BCE"/>
    <w:rsid w:val="0090760B"/>
    <w:rsid w:val="00907659"/>
    <w:rsid w:val="0090785F"/>
    <w:rsid w:val="00907923"/>
    <w:rsid w:val="00907EBE"/>
    <w:rsid w:val="009101B1"/>
    <w:rsid w:val="0091063B"/>
    <w:rsid w:val="00911075"/>
    <w:rsid w:val="009113E6"/>
    <w:rsid w:val="0091177F"/>
    <w:rsid w:val="00911945"/>
    <w:rsid w:val="00911DAF"/>
    <w:rsid w:val="00912637"/>
    <w:rsid w:val="00912804"/>
    <w:rsid w:val="00912A27"/>
    <w:rsid w:val="00912A5B"/>
    <w:rsid w:val="00912A6C"/>
    <w:rsid w:val="00912DA6"/>
    <w:rsid w:val="00912DC5"/>
    <w:rsid w:val="00912FFC"/>
    <w:rsid w:val="009138B1"/>
    <w:rsid w:val="009139C5"/>
    <w:rsid w:val="00913CD1"/>
    <w:rsid w:val="00913D57"/>
    <w:rsid w:val="00913DE6"/>
    <w:rsid w:val="009144AF"/>
    <w:rsid w:val="009148D3"/>
    <w:rsid w:val="00914B4C"/>
    <w:rsid w:val="00915295"/>
    <w:rsid w:val="00915595"/>
    <w:rsid w:val="00915752"/>
    <w:rsid w:val="00915B47"/>
    <w:rsid w:val="00915D5A"/>
    <w:rsid w:val="00915E0D"/>
    <w:rsid w:val="00916472"/>
    <w:rsid w:val="0091685C"/>
    <w:rsid w:val="00916D7B"/>
    <w:rsid w:val="00916DF0"/>
    <w:rsid w:val="00916E29"/>
    <w:rsid w:val="0091705E"/>
    <w:rsid w:val="00917223"/>
    <w:rsid w:val="0092034C"/>
    <w:rsid w:val="009207E8"/>
    <w:rsid w:val="00920943"/>
    <w:rsid w:val="0092105F"/>
    <w:rsid w:val="009214A4"/>
    <w:rsid w:val="0092153C"/>
    <w:rsid w:val="009215E6"/>
    <w:rsid w:val="00921E3B"/>
    <w:rsid w:val="009221D3"/>
    <w:rsid w:val="009225DB"/>
    <w:rsid w:val="0092328E"/>
    <w:rsid w:val="0092330C"/>
    <w:rsid w:val="0092343E"/>
    <w:rsid w:val="00923568"/>
    <w:rsid w:val="009237C2"/>
    <w:rsid w:val="0092380A"/>
    <w:rsid w:val="00923902"/>
    <w:rsid w:val="009239E8"/>
    <w:rsid w:val="00923F5A"/>
    <w:rsid w:val="00924235"/>
    <w:rsid w:val="0092476E"/>
    <w:rsid w:val="00925205"/>
    <w:rsid w:val="009253D8"/>
    <w:rsid w:val="009257EF"/>
    <w:rsid w:val="00925CC5"/>
    <w:rsid w:val="00926664"/>
    <w:rsid w:val="009267EF"/>
    <w:rsid w:val="009268FC"/>
    <w:rsid w:val="00926A7D"/>
    <w:rsid w:val="00926F3B"/>
    <w:rsid w:val="009272DD"/>
    <w:rsid w:val="009278CF"/>
    <w:rsid w:val="00927921"/>
    <w:rsid w:val="009279CD"/>
    <w:rsid w:val="00927A35"/>
    <w:rsid w:val="00927C3C"/>
    <w:rsid w:val="00927E1F"/>
    <w:rsid w:val="00930096"/>
    <w:rsid w:val="00930D00"/>
    <w:rsid w:val="00930D87"/>
    <w:rsid w:val="00931089"/>
    <w:rsid w:val="0093111B"/>
    <w:rsid w:val="0093178B"/>
    <w:rsid w:val="00932120"/>
    <w:rsid w:val="0093218B"/>
    <w:rsid w:val="009322D6"/>
    <w:rsid w:val="00932612"/>
    <w:rsid w:val="0093266A"/>
    <w:rsid w:val="0093278B"/>
    <w:rsid w:val="00932822"/>
    <w:rsid w:val="00932828"/>
    <w:rsid w:val="00932E60"/>
    <w:rsid w:val="009332E8"/>
    <w:rsid w:val="00933575"/>
    <w:rsid w:val="009338F8"/>
    <w:rsid w:val="00933DEB"/>
    <w:rsid w:val="00933EF0"/>
    <w:rsid w:val="009346B6"/>
    <w:rsid w:val="009348D9"/>
    <w:rsid w:val="00934C4D"/>
    <w:rsid w:val="00934C4F"/>
    <w:rsid w:val="009350C6"/>
    <w:rsid w:val="00935349"/>
    <w:rsid w:val="009353FA"/>
    <w:rsid w:val="009354D9"/>
    <w:rsid w:val="00935FEA"/>
    <w:rsid w:val="009365A5"/>
    <w:rsid w:val="00936F59"/>
    <w:rsid w:val="009370CE"/>
    <w:rsid w:val="00937272"/>
    <w:rsid w:val="00937317"/>
    <w:rsid w:val="009377C0"/>
    <w:rsid w:val="00937A99"/>
    <w:rsid w:val="009400BF"/>
    <w:rsid w:val="009409B6"/>
    <w:rsid w:val="00940B15"/>
    <w:rsid w:val="00940ED8"/>
    <w:rsid w:val="009411C5"/>
    <w:rsid w:val="00941464"/>
    <w:rsid w:val="009414D7"/>
    <w:rsid w:val="009419CD"/>
    <w:rsid w:val="00941CB7"/>
    <w:rsid w:val="00942428"/>
    <w:rsid w:val="009429C4"/>
    <w:rsid w:val="00942C22"/>
    <w:rsid w:val="00942D96"/>
    <w:rsid w:val="00943159"/>
    <w:rsid w:val="009434B9"/>
    <w:rsid w:val="009434CE"/>
    <w:rsid w:val="009435BC"/>
    <w:rsid w:val="0094374B"/>
    <w:rsid w:val="00943BC3"/>
    <w:rsid w:val="009444C2"/>
    <w:rsid w:val="00944673"/>
    <w:rsid w:val="00944751"/>
    <w:rsid w:val="009447E3"/>
    <w:rsid w:val="00944A91"/>
    <w:rsid w:val="0094500A"/>
    <w:rsid w:val="0094597B"/>
    <w:rsid w:val="00945F66"/>
    <w:rsid w:val="009462F5"/>
    <w:rsid w:val="0094635A"/>
    <w:rsid w:val="00946462"/>
    <w:rsid w:val="00946606"/>
    <w:rsid w:val="0094682C"/>
    <w:rsid w:val="009470DE"/>
    <w:rsid w:val="00947464"/>
    <w:rsid w:val="00947777"/>
    <w:rsid w:val="00947907"/>
    <w:rsid w:val="00947A18"/>
    <w:rsid w:val="00947A68"/>
    <w:rsid w:val="00947D22"/>
    <w:rsid w:val="00950670"/>
    <w:rsid w:val="00952349"/>
    <w:rsid w:val="009529A0"/>
    <w:rsid w:val="00952E84"/>
    <w:rsid w:val="009530AE"/>
    <w:rsid w:val="00953574"/>
    <w:rsid w:val="0095371E"/>
    <w:rsid w:val="00953A30"/>
    <w:rsid w:val="0095418D"/>
    <w:rsid w:val="009543FF"/>
    <w:rsid w:val="00954A20"/>
    <w:rsid w:val="009551A2"/>
    <w:rsid w:val="009554F2"/>
    <w:rsid w:val="0095563D"/>
    <w:rsid w:val="0095568E"/>
    <w:rsid w:val="00955C65"/>
    <w:rsid w:val="00955E81"/>
    <w:rsid w:val="009564D1"/>
    <w:rsid w:val="00956AED"/>
    <w:rsid w:val="00957622"/>
    <w:rsid w:val="00957CF8"/>
    <w:rsid w:val="00957EC2"/>
    <w:rsid w:val="0096028C"/>
    <w:rsid w:val="00960563"/>
    <w:rsid w:val="00960791"/>
    <w:rsid w:val="00960A3D"/>
    <w:rsid w:val="00960EA8"/>
    <w:rsid w:val="00960FA5"/>
    <w:rsid w:val="00961218"/>
    <w:rsid w:val="009613C1"/>
    <w:rsid w:val="009614F1"/>
    <w:rsid w:val="0096165E"/>
    <w:rsid w:val="009616E2"/>
    <w:rsid w:val="00961B9C"/>
    <w:rsid w:val="009622F3"/>
    <w:rsid w:val="00962304"/>
    <w:rsid w:val="009625A5"/>
    <w:rsid w:val="00962B6C"/>
    <w:rsid w:val="0096301A"/>
    <w:rsid w:val="0096313F"/>
    <w:rsid w:val="00963479"/>
    <w:rsid w:val="00964337"/>
    <w:rsid w:val="00964389"/>
    <w:rsid w:val="00964467"/>
    <w:rsid w:val="009649FF"/>
    <w:rsid w:val="009650EF"/>
    <w:rsid w:val="00965331"/>
    <w:rsid w:val="00966052"/>
    <w:rsid w:val="009661D0"/>
    <w:rsid w:val="00966C36"/>
    <w:rsid w:val="00967139"/>
    <w:rsid w:val="0096727A"/>
    <w:rsid w:val="00967773"/>
    <w:rsid w:val="0096781B"/>
    <w:rsid w:val="00967D09"/>
    <w:rsid w:val="00970377"/>
    <w:rsid w:val="00970392"/>
    <w:rsid w:val="00970FC6"/>
    <w:rsid w:val="0097157E"/>
    <w:rsid w:val="00971A21"/>
    <w:rsid w:val="00971EAA"/>
    <w:rsid w:val="00972054"/>
    <w:rsid w:val="00972C44"/>
    <w:rsid w:val="009733AE"/>
    <w:rsid w:val="00973545"/>
    <w:rsid w:val="00973CBA"/>
    <w:rsid w:val="00973F8E"/>
    <w:rsid w:val="0097465C"/>
    <w:rsid w:val="009746F4"/>
    <w:rsid w:val="00975A9A"/>
    <w:rsid w:val="0097673A"/>
    <w:rsid w:val="00976F7F"/>
    <w:rsid w:val="009770CC"/>
    <w:rsid w:val="00977ABA"/>
    <w:rsid w:val="00980128"/>
    <w:rsid w:val="009801FC"/>
    <w:rsid w:val="0098098C"/>
    <w:rsid w:val="00980EBD"/>
    <w:rsid w:val="009826A9"/>
    <w:rsid w:val="009826D9"/>
    <w:rsid w:val="00983533"/>
    <w:rsid w:val="0098373B"/>
    <w:rsid w:val="0098393E"/>
    <w:rsid w:val="00983943"/>
    <w:rsid w:val="00983BF4"/>
    <w:rsid w:val="00983EBA"/>
    <w:rsid w:val="00983F8E"/>
    <w:rsid w:val="00984696"/>
    <w:rsid w:val="009846F6"/>
    <w:rsid w:val="00984892"/>
    <w:rsid w:val="00984D31"/>
    <w:rsid w:val="00984D7A"/>
    <w:rsid w:val="00984EE1"/>
    <w:rsid w:val="00984F46"/>
    <w:rsid w:val="009850B8"/>
    <w:rsid w:val="00985C15"/>
    <w:rsid w:val="00985F89"/>
    <w:rsid w:val="00986457"/>
    <w:rsid w:val="00986530"/>
    <w:rsid w:val="00986A78"/>
    <w:rsid w:val="00986CCB"/>
    <w:rsid w:val="00987332"/>
    <w:rsid w:val="0098777E"/>
    <w:rsid w:val="00987B7F"/>
    <w:rsid w:val="00987C13"/>
    <w:rsid w:val="0099008A"/>
    <w:rsid w:val="00990411"/>
    <w:rsid w:val="00990413"/>
    <w:rsid w:val="00990446"/>
    <w:rsid w:val="009906A4"/>
    <w:rsid w:val="00990EE0"/>
    <w:rsid w:val="00990FC4"/>
    <w:rsid w:val="009911FD"/>
    <w:rsid w:val="0099178E"/>
    <w:rsid w:val="00991CCA"/>
    <w:rsid w:val="00992C96"/>
    <w:rsid w:val="00993226"/>
    <w:rsid w:val="0099322F"/>
    <w:rsid w:val="00993A68"/>
    <w:rsid w:val="00993DE6"/>
    <w:rsid w:val="009945B3"/>
    <w:rsid w:val="00994831"/>
    <w:rsid w:val="00994CC6"/>
    <w:rsid w:val="00995180"/>
    <w:rsid w:val="00995427"/>
    <w:rsid w:val="0099549A"/>
    <w:rsid w:val="00995ACB"/>
    <w:rsid w:val="00995CEA"/>
    <w:rsid w:val="00995D5B"/>
    <w:rsid w:val="00995F52"/>
    <w:rsid w:val="009964BA"/>
    <w:rsid w:val="0099653D"/>
    <w:rsid w:val="0099655F"/>
    <w:rsid w:val="009967CC"/>
    <w:rsid w:val="00996DE6"/>
    <w:rsid w:val="00997227"/>
    <w:rsid w:val="00997235"/>
    <w:rsid w:val="00997540"/>
    <w:rsid w:val="009976BD"/>
    <w:rsid w:val="00997F4F"/>
    <w:rsid w:val="009A09B7"/>
    <w:rsid w:val="009A0ECF"/>
    <w:rsid w:val="009A1119"/>
    <w:rsid w:val="009A1369"/>
    <w:rsid w:val="009A1547"/>
    <w:rsid w:val="009A177E"/>
    <w:rsid w:val="009A1A84"/>
    <w:rsid w:val="009A28BA"/>
    <w:rsid w:val="009A2FDC"/>
    <w:rsid w:val="009A35B0"/>
    <w:rsid w:val="009A35CA"/>
    <w:rsid w:val="009A4096"/>
    <w:rsid w:val="009A48B8"/>
    <w:rsid w:val="009A4B84"/>
    <w:rsid w:val="009A4E1D"/>
    <w:rsid w:val="009A5151"/>
    <w:rsid w:val="009A5172"/>
    <w:rsid w:val="009A529C"/>
    <w:rsid w:val="009A58B0"/>
    <w:rsid w:val="009A5D7A"/>
    <w:rsid w:val="009A5F87"/>
    <w:rsid w:val="009A5F8E"/>
    <w:rsid w:val="009A62F4"/>
    <w:rsid w:val="009A6C43"/>
    <w:rsid w:val="009A6F6B"/>
    <w:rsid w:val="009A6FFE"/>
    <w:rsid w:val="009A774C"/>
    <w:rsid w:val="009A7C0B"/>
    <w:rsid w:val="009A7CE0"/>
    <w:rsid w:val="009A7CFC"/>
    <w:rsid w:val="009B008F"/>
    <w:rsid w:val="009B0233"/>
    <w:rsid w:val="009B043E"/>
    <w:rsid w:val="009B06CF"/>
    <w:rsid w:val="009B0B9C"/>
    <w:rsid w:val="009B0BCE"/>
    <w:rsid w:val="009B0BD8"/>
    <w:rsid w:val="009B0BF5"/>
    <w:rsid w:val="009B1134"/>
    <w:rsid w:val="009B1990"/>
    <w:rsid w:val="009B33C8"/>
    <w:rsid w:val="009B377B"/>
    <w:rsid w:val="009B3A98"/>
    <w:rsid w:val="009B3D5F"/>
    <w:rsid w:val="009B446F"/>
    <w:rsid w:val="009B4A35"/>
    <w:rsid w:val="009B4F17"/>
    <w:rsid w:val="009B4F9E"/>
    <w:rsid w:val="009B4FE5"/>
    <w:rsid w:val="009B5A8F"/>
    <w:rsid w:val="009B5D53"/>
    <w:rsid w:val="009B6113"/>
    <w:rsid w:val="009B6501"/>
    <w:rsid w:val="009B6C22"/>
    <w:rsid w:val="009B6EFC"/>
    <w:rsid w:val="009B73AE"/>
    <w:rsid w:val="009B7771"/>
    <w:rsid w:val="009B78A4"/>
    <w:rsid w:val="009B798F"/>
    <w:rsid w:val="009B7E53"/>
    <w:rsid w:val="009B7F61"/>
    <w:rsid w:val="009C015B"/>
    <w:rsid w:val="009C01BD"/>
    <w:rsid w:val="009C01DD"/>
    <w:rsid w:val="009C06CE"/>
    <w:rsid w:val="009C1390"/>
    <w:rsid w:val="009C15E8"/>
    <w:rsid w:val="009C16CD"/>
    <w:rsid w:val="009C17E5"/>
    <w:rsid w:val="009C1A1A"/>
    <w:rsid w:val="009C22D6"/>
    <w:rsid w:val="009C2581"/>
    <w:rsid w:val="009C28A4"/>
    <w:rsid w:val="009C2B38"/>
    <w:rsid w:val="009C30CF"/>
    <w:rsid w:val="009C3444"/>
    <w:rsid w:val="009C385C"/>
    <w:rsid w:val="009C3C1A"/>
    <w:rsid w:val="009C4096"/>
    <w:rsid w:val="009C4947"/>
    <w:rsid w:val="009C4C59"/>
    <w:rsid w:val="009C5383"/>
    <w:rsid w:val="009C539A"/>
    <w:rsid w:val="009C53D5"/>
    <w:rsid w:val="009C5643"/>
    <w:rsid w:val="009C5B64"/>
    <w:rsid w:val="009C5E7B"/>
    <w:rsid w:val="009C6040"/>
    <w:rsid w:val="009C6BF6"/>
    <w:rsid w:val="009C6C0E"/>
    <w:rsid w:val="009C6C69"/>
    <w:rsid w:val="009C6D9F"/>
    <w:rsid w:val="009C7264"/>
    <w:rsid w:val="009C72FB"/>
    <w:rsid w:val="009C7783"/>
    <w:rsid w:val="009C7897"/>
    <w:rsid w:val="009C7BC8"/>
    <w:rsid w:val="009D032A"/>
    <w:rsid w:val="009D04C7"/>
    <w:rsid w:val="009D05F9"/>
    <w:rsid w:val="009D08B1"/>
    <w:rsid w:val="009D0ADE"/>
    <w:rsid w:val="009D0B13"/>
    <w:rsid w:val="009D20E0"/>
    <w:rsid w:val="009D315F"/>
    <w:rsid w:val="009D33C3"/>
    <w:rsid w:val="009D3A1D"/>
    <w:rsid w:val="009D3FF3"/>
    <w:rsid w:val="009D424A"/>
    <w:rsid w:val="009D471A"/>
    <w:rsid w:val="009D4D91"/>
    <w:rsid w:val="009D4EFF"/>
    <w:rsid w:val="009D5361"/>
    <w:rsid w:val="009D564A"/>
    <w:rsid w:val="009D641B"/>
    <w:rsid w:val="009D67EF"/>
    <w:rsid w:val="009D6D1E"/>
    <w:rsid w:val="009D6E84"/>
    <w:rsid w:val="009D73F2"/>
    <w:rsid w:val="009D7B22"/>
    <w:rsid w:val="009D7E09"/>
    <w:rsid w:val="009E00C8"/>
    <w:rsid w:val="009E04D4"/>
    <w:rsid w:val="009E0708"/>
    <w:rsid w:val="009E095D"/>
    <w:rsid w:val="009E100C"/>
    <w:rsid w:val="009E1296"/>
    <w:rsid w:val="009E1888"/>
    <w:rsid w:val="009E19E0"/>
    <w:rsid w:val="009E1E01"/>
    <w:rsid w:val="009E22FD"/>
    <w:rsid w:val="009E2416"/>
    <w:rsid w:val="009E2AC9"/>
    <w:rsid w:val="009E2B1B"/>
    <w:rsid w:val="009E2FF5"/>
    <w:rsid w:val="009E36FB"/>
    <w:rsid w:val="009E3D4A"/>
    <w:rsid w:val="009E4615"/>
    <w:rsid w:val="009E4841"/>
    <w:rsid w:val="009E4D8C"/>
    <w:rsid w:val="009E4FC9"/>
    <w:rsid w:val="009E561F"/>
    <w:rsid w:val="009E6502"/>
    <w:rsid w:val="009E655A"/>
    <w:rsid w:val="009E6EA2"/>
    <w:rsid w:val="009E79A0"/>
    <w:rsid w:val="009E7ABF"/>
    <w:rsid w:val="009F000F"/>
    <w:rsid w:val="009F0146"/>
    <w:rsid w:val="009F1934"/>
    <w:rsid w:val="009F1B0D"/>
    <w:rsid w:val="009F1F30"/>
    <w:rsid w:val="009F224F"/>
    <w:rsid w:val="009F2467"/>
    <w:rsid w:val="009F2A02"/>
    <w:rsid w:val="009F2A77"/>
    <w:rsid w:val="009F3207"/>
    <w:rsid w:val="009F3414"/>
    <w:rsid w:val="009F368A"/>
    <w:rsid w:val="009F3D2F"/>
    <w:rsid w:val="009F3FBC"/>
    <w:rsid w:val="009F446F"/>
    <w:rsid w:val="009F4515"/>
    <w:rsid w:val="009F4BB8"/>
    <w:rsid w:val="009F5231"/>
    <w:rsid w:val="009F587F"/>
    <w:rsid w:val="009F59B1"/>
    <w:rsid w:val="009F5CDC"/>
    <w:rsid w:val="009F5D43"/>
    <w:rsid w:val="009F6020"/>
    <w:rsid w:val="009F6877"/>
    <w:rsid w:val="009F6893"/>
    <w:rsid w:val="009F6DAD"/>
    <w:rsid w:val="009F6FCB"/>
    <w:rsid w:val="009F70F9"/>
    <w:rsid w:val="009F7710"/>
    <w:rsid w:val="009F7CAC"/>
    <w:rsid w:val="00A002FD"/>
    <w:rsid w:val="00A0046D"/>
    <w:rsid w:val="00A01161"/>
    <w:rsid w:val="00A012BB"/>
    <w:rsid w:val="00A014C3"/>
    <w:rsid w:val="00A0171C"/>
    <w:rsid w:val="00A01A51"/>
    <w:rsid w:val="00A01A6F"/>
    <w:rsid w:val="00A0260A"/>
    <w:rsid w:val="00A0268A"/>
    <w:rsid w:val="00A02AE2"/>
    <w:rsid w:val="00A032D3"/>
    <w:rsid w:val="00A038CC"/>
    <w:rsid w:val="00A03A34"/>
    <w:rsid w:val="00A044A1"/>
    <w:rsid w:val="00A05136"/>
    <w:rsid w:val="00A05F06"/>
    <w:rsid w:val="00A06219"/>
    <w:rsid w:val="00A0653E"/>
    <w:rsid w:val="00A0757A"/>
    <w:rsid w:val="00A075A3"/>
    <w:rsid w:val="00A0763F"/>
    <w:rsid w:val="00A07AB9"/>
    <w:rsid w:val="00A07ABC"/>
    <w:rsid w:val="00A07AE9"/>
    <w:rsid w:val="00A07B29"/>
    <w:rsid w:val="00A1024C"/>
    <w:rsid w:val="00A102B1"/>
    <w:rsid w:val="00A1096A"/>
    <w:rsid w:val="00A109A0"/>
    <w:rsid w:val="00A10E5C"/>
    <w:rsid w:val="00A11547"/>
    <w:rsid w:val="00A115E1"/>
    <w:rsid w:val="00A11911"/>
    <w:rsid w:val="00A11A8E"/>
    <w:rsid w:val="00A11DBB"/>
    <w:rsid w:val="00A12169"/>
    <w:rsid w:val="00A122B0"/>
    <w:rsid w:val="00A122BF"/>
    <w:rsid w:val="00A12FAC"/>
    <w:rsid w:val="00A1321B"/>
    <w:rsid w:val="00A133FF"/>
    <w:rsid w:val="00A1393D"/>
    <w:rsid w:val="00A13CA8"/>
    <w:rsid w:val="00A13E0A"/>
    <w:rsid w:val="00A13FEF"/>
    <w:rsid w:val="00A14012"/>
    <w:rsid w:val="00A147EB"/>
    <w:rsid w:val="00A14992"/>
    <w:rsid w:val="00A14D22"/>
    <w:rsid w:val="00A14D61"/>
    <w:rsid w:val="00A14DF6"/>
    <w:rsid w:val="00A1576A"/>
    <w:rsid w:val="00A157AC"/>
    <w:rsid w:val="00A158D2"/>
    <w:rsid w:val="00A1660B"/>
    <w:rsid w:val="00A16640"/>
    <w:rsid w:val="00A16855"/>
    <w:rsid w:val="00A168F1"/>
    <w:rsid w:val="00A169B3"/>
    <w:rsid w:val="00A17464"/>
    <w:rsid w:val="00A1783D"/>
    <w:rsid w:val="00A178DB"/>
    <w:rsid w:val="00A2001F"/>
    <w:rsid w:val="00A20098"/>
    <w:rsid w:val="00A200FD"/>
    <w:rsid w:val="00A206A9"/>
    <w:rsid w:val="00A20828"/>
    <w:rsid w:val="00A20D6C"/>
    <w:rsid w:val="00A21058"/>
    <w:rsid w:val="00A21148"/>
    <w:rsid w:val="00A21583"/>
    <w:rsid w:val="00A219FD"/>
    <w:rsid w:val="00A21D83"/>
    <w:rsid w:val="00A2205A"/>
    <w:rsid w:val="00A2239A"/>
    <w:rsid w:val="00A22F58"/>
    <w:rsid w:val="00A23263"/>
    <w:rsid w:val="00A23358"/>
    <w:rsid w:val="00A2369F"/>
    <w:rsid w:val="00A23A9F"/>
    <w:rsid w:val="00A24282"/>
    <w:rsid w:val="00A24335"/>
    <w:rsid w:val="00A247C5"/>
    <w:rsid w:val="00A24BBA"/>
    <w:rsid w:val="00A24CB8"/>
    <w:rsid w:val="00A24E81"/>
    <w:rsid w:val="00A24F45"/>
    <w:rsid w:val="00A252AE"/>
    <w:rsid w:val="00A253AC"/>
    <w:rsid w:val="00A257D1"/>
    <w:rsid w:val="00A25DEF"/>
    <w:rsid w:val="00A26093"/>
    <w:rsid w:val="00A26170"/>
    <w:rsid w:val="00A26177"/>
    <w:rsid w:val="00A26323"/>
    <w:rsid w:val="00A263EB"/>
    <w:rsid w:val="00A26A18"/>
    <w:rsid w:val="00A26A4C"/>
    <w:rsid w:val="00A2709E"/>
    <w:rsid w:val="00A27142"/>
    <w:rsid w:val="00A2752C"/>
    <w:rsid w:val="00A27792"/>
    <w:rsid w:val="00A27896"/>
    <w:rsid w:val="00A30290"/>
    <w:rsid w:val="00A3053B"/>
    <w:rsid w:val="00A30613"/>
    <w:rsid w:val="00A30AA2"/>
    <w:rsid w:val="00A31DBF"/>
    <w:rsid w:val="00A31E63"/>
    <w:rsid w:val="00A32465"/>
    <w:rsid w:val="00A32625"/>
    <w:rsid w:val="00A331C8"/>
    <w:rsid w:val="00A3330A"/>
    <w:rsid w:val="00A3374E"/>
    <w:rsid w:val="00A337C0"/>
    <w:rsid w:val="00A33B0C"/>
    <w:rsid w:val="00A33BD1"/>
    <w:rsid w:val="00A33FED"/>
    <w:rsid w:val="00A3414F"/>
    <w:rsid w:val="00A348A3"/>
    <w:rsid w:val="00A3499F"/>
    <w:rsid w:val="00A3558D"/>
    <w:rsid w:val="00A35BDE"/>
    <w:rsid w:val="00A35E05"/>
    <w:rsid w:val="00A35E90"/>
    <w:rsid w:val="00A35F5A"/>
    <w:rsid w:val="00A35FE9"/>
    <w:rsid w:val="00A369EF"/>
    <w:rsid w:val="00A37007"/>
    <w:rsid w:val="00A3745E"/>
    <w:rsid w:val="00A37866"/>
    <w:rsid w:val="00A37999"/>
    <w:rsid w:val="00A379C7"/>
    <w:rsid w:val="00A37C7C"/>
    <w:rsid w:val="00A408C8"/>
    <w:rsid w:val="00A40BAA"/>
    <w:rsid w:val="00A40F85"/>
    <w:rsid w:val="00A40F94"/>
    <w:rsid w:val="00A41924"/>
    <w:rsid w:val="00A41A3C"/>
    <w:rsid w:val="00A423B0"/>
    <w:rsid w:val="00A42667"/>
    <w:rsid w:val="00A42F5B"/>
    <w:rsid w:val="00A431BA"/>
    <w:rsid w:val="00A43499"/>
    <w:rsid w:val="00A43EC7"/>
    <w:rsid w:val="00A44216"/>
    <w:rsid w:val="00A44409"/>
    <w:rsid w:val="00A444F7"/>
    <w:rsid w:val="00A4457E"/>
    <w:rsid w:val="00A44871"/>
    <w:rsid w:val="00A44E6D"/>
    <w:rsid w:val="00A44EBD"/>
    <w:rsid w:val="00A45015"/>
    <w:rsid w:val="00A4505B"/>
    <w:rsid w:val="00A4537B"/>
    <w:rsid w:val="00A453B0"/>
    <w:rsid w:val="00A454FC"/>
    <w:rsid w:val="00A4565F"/>
    <w:rsid w:val="00A45846"/>
    <w:rsid w:val="00A45EF0"/>
    <w:rsid w:val="00A45F6E"/>
    <w:rsid w:val="00A46195"/>
    <w:rsid w:val="00A46A4C"/>
    <w:rsid w:val="00A46E0B"/>
    <w:rsid w:val="00A4766A"/>
    <w:rsid w:val="00A502BA"/>
    <w:rsid w:val="00A50371"/>
    <w:rsid w:val="00A505C0"/>
    <w:rsid w:val="00A5060F"/>
    <w:rsid w:val="00A50660"/>
    <w:rsid w:val="00A50681"/>
    <w:rsid w:val="00A5082F"/>
    <w:rsid w:val="00A508DC"/>
    <w:rsid w:val="00A510DE"/>
    <w:rsid w:val="00A51B2A"/>
    <w:rsid w:val="00A51B53"/>
    <w:rsid w:val="00A521C1"/>
    <w:rsid w:val="00A52283"/>
    <w:rsid w:val="00A522B0"/>
    <w:rsid w:val="00A5235B"/>
    <w:rsid w:val="00A52966"/>
    <w:rsid w:val="00A52B98"/>
    <w:rsid w:val="00A5372B"/>
    <w:rsid w:val="00A545BF"/>
    <w:rsid w:val="00A54B50"/>
    <w:rsid w:val="00A54D6B"/>
    <w:rsid w:val="00A550B8"/>
    <w:rsid w:val="00A55A10"/>
    <w:rsid w:val="00A55DC8"/>
    <w:rsid w:val="00A55ED3"/>
    <w:rsid w:val="00A5632B"/>
    <w:rsid w:val="00A563D3"/>
    <w:rsid w:val="00A56579"/>
    <w:rsid w:val="00A56726"/>
    <w:rsid w:val="00A56765"/>
    <w:rsid w:val="00A56AC5"/>
    <w:rsid w:val="00A574F0"/>
    <w:rsid w:val="00A57755"/>
    <w:rsid w:val="00A57B63"/>
    <w:rsid w:val="00A57BA9"/>
    <w:rsid w:val="00A60132"/>
    <w:rsid w:val="00A60939"/>
    <w:rsid w:val="00A60A0F"/>
    <w:rsid w:val="00A60A69"/>
    <w:rsid w:val="00A617E7"/>
    <w:rsid w:val="00A619F3"/>
    <w:rsid w:val="00A61DC9"/>
    <w:rsid w:val="00A61F1E"/>
    <w:rsid w:val="00A61F43"/>
    <w:rsid w:val="00A62284"/>
    <w:rsid w:val="00A62ED1"/>
    <w:rsid w:val="00A633E0"/>
    <w:rsid w:val="00A63601"/>
    <w:rsid w:val="00A63992"/>
    <w:rsid w:val="00A63B2D"/>
    <w:rsid w:val="00A63D29"/>
    <w:rsid w:val="00A6404F"/>
    <w:rsid w:val="00A640B5"/>
    <w:rsid w:val="00A643FF"/>
    <w:rsid w:val="00A64426"/>
    <w:rsid w:val="00A64468"/>
    <w:rsid w:val="00A64728"/>
    <w:rsid w:val="00A64904"/>
    <w:rsid w:val="00A64C1C"/>
    <w:rsid w:val="00A64CBA"/>
    <w:rsid w:val="00A64E4E"/>
    <w:rsid w:val="00A659D8"/>
    <w:rsid w:val="00A65AFA"/>
    <w:rsid w:val="00A65B38"/>
    <w:rsid w:val="00A65E89"/>
    <w:rsid w:val="00A66603"/>
    <w:rsid w:val="00A66D4C"/>
    <w:rsid w:val="00A67379"/>
    <w:rsid w:val="00A67676"/>
    <w:rsid w:val="00A67BCA"/>
    <w:rsid w:val="00A67CCE"/>
    <w:rsid w:val="00A70754"/>
    <w:rsid w:val="00A70EBC"/>
    <w:rsid w:val="00A70FE3"/>
    <w:rsid w:val="00A710D0"/>
    <w:rsid w:val="00A7118D"/>
    <w:rsid w:val="00A71339"/>
    <w:rsid w:val="00A7135B"/>
    <w:rsid w:val="00A71759"/>
    <w:rsid w:val="00A71A83"/>
    <w:rsid w:val="00A72091"/>
    <w:rsid w:val="00A723BF"/>
    <w:rsid w:val="00A72469"/>
    <w:rsid w:val="00A72829"/>
    <w:rsid w:val="00A72BFA"/>
    <w:rsid w:val="00A72CAF"/>
    <w:rsid w:val="00A730EA"/>
    <w:rsid w:val="00A73139"/>
    <w:rsid w:val="00A7374F"/>
    <w:rsid w:val="00A73894"/>
    <w:rsid w:val="00A73993"/>
    <w:rsid w:val="00A73BB9"/>
    <w:rsid w:val="00A73F82"/>
    <w:rsid w:val="00A742B1"/>
    <w:rsid w:val="00A74CDF"/>
    <w:rsid w:val="00A75408"/>
    <w:rsid w:val="00A75598"/>
    <w:rsid w:val="00A756D0"/>
    <w:rsid w:val="00A75BCB"/>
    <w:rsid w:val="00A75CC3"/>
    <w:rsid w:val="00A75F1D"/>
    <w:rsid w:val="00A75F8C"/>
    <w:rsid w:val="00A761CF"/>
    <w:rsid w:val="00A7631D"/>
    <w:rsid w:val="00A7667E"/>
    <w:rsid w:val="00A76D19"/>
    <w:rsid w:val="00A775E6"/>
    <w:rsid w:val="00A7768F"/>
    <w:rsid w:val="00A7771D"/>
    <w:rsid w:val="00A80BF6"/>
    <w:rsid w:val="00A80E98"/>
    <w:rsid w:val="00A81694"/>
    <w:rsid w:val="00A817CD"/>
    <w:rsid w:val="00A818A0"/>
    <w:rsid w:val="00A81935"/>
    <w:rsid w:val="00A82113"/>
    <w:rsid w:val="00A825A5"/>
    <w:rsid w:val="00A82899"/>
    <w:rsid w:val="00A82D87"/>
    <w:rsid w:val="00A83251"/>
    <w:rsid w:val="00A83ACB"/>
    <w:rsid w:val="00A844C2"/>
    <w:rsid w:val="00A84BBC"/>
    <w:rsid w:val="00A85586"/>
    <w:rsid w:val="00A85698"/>
    <w:rsid w:val="00A859E4"/>
    <w:rsid w:val="00A85BDC"/>
    <w:rsid w:val="00A85C83"/>
    <w:rsid w:val="00A85CBA"/>
    <w:rsid w:val="00A861BB"/>
    <w:rsid w:val="00A8620B"/>
    <w:rsid w:val="00A866EE"/>
    <w:rsid w:val="00A8686B"/>
    <w:rsid w:val="00A875BA"/>
    <w:rsid w:val="00A875BE"/>
    <w:rsid w:val="00A87D9B"/>
    <w:rsid w:val="00A87DB4"/>
    <w:rsid w:val="00A901A1"/>
    <w:rsid w:val="00A9043C"/>
    <w:rsid w:val="00A90BEF"/>
    <w:rsid w:val="00A90D4F"/>
    <w:rsid w:val="00A90DF4"/>
    <w:rsid w:val="00A9166F"/>
    <w:rsid w:val="00A91DEE"/>
    <w:rsid w:val="00A9245B"/>
    <w:rsid w:val="00A92531"/>
    <w:rsid w:val="00A92A1A"/>
    <w:rsid w:val="00A937D2"/>
    <w:rsid w:val="00A94191"/>
    <w:rsid w:val="00A9428C"/>
    <w:rsid w:val="00A94A38"/>
    <w:rsid w:val="00A94E56"/>
    <w:rsid w:val="00A956DD"/>
    <w:rsid w:val="00A95A68"/>
    <w:rsid w:val="00A95ACC"/>
    <w:rsid w:val="00A95F24"/>
    <w:rsid w:val="00A9634D"/>
    <w:rsid w:val="00A96451"/>
    <w:rsid w:val="00A96524"/>
    <w:rsid w:val="00A9665E"/>
    <w:rsid w:val="00A96673"/>
    <w:rsid w:val="00A96DEB"/>
    <w:rsid w:val="00A96E97"/>
    <w:rsid w:val="00A96F5F"/>
    <w:rsid w:val="00A97168"/>
    <w:rsid w:val="00A9755C"/>
    <w:rsid w:val="00A978CC"/>
    <w:rsid w:val="00A97A15"/>
    <w:rsid w:val="00A97A3F"/>
    <w:rsid w:val="00A97BF0"/>
    <w:rsid w:val="00AA00E4"/>
    <w:rsid w:val="00AA0275"/>
    <w:rsid w:val="00AA04F7"/>
    <w:rsid w:val="00AA06BA"/>
    <w:rsid w:val="00AA0CBC"/>
    <w:rsid w:val="00AA0E60"/>
    <w:rsid w:val="00AA0EF1"/>
    <w:rsid w:val="00AA15D3"/>
    <w:rsid w:val="00AA1639"/>
    <w:rsid w:val="00AA165D"/>
    <w:rsid w:val="00AA1F49"/>
    <w:rsid w:val="00AA21D3"/>
    <w:rsid w:val="00AA2482"/>
    <w:rsid w:val="00AA25C1"/>
    <w:rsid w:val="00AA2EEE"/>
    <w:rsid w:val="00AA31A5"/>
    <w:rsid w:val="00AA3BB3"/>
    <w:rsid w:val="00AA42BD"/>
    <w:rsid w:val="00AA4F20"/>
    <w:rsid w:val="00AA617C"/>
    <w:rsid w:val="00AA626C"/>
    <w:rsid w:val="00AA65C9"/>
    <w:rsid w:val="00AA6BD8"/>
    <w:rsid w:val="00AA7B21"/>
    <w:rsid w:val="00AA7ED7"/>
    <w:rsid w:val="00AA7EE4"/>
    <w:rsid w:val="00AB0537"/>
    <w:rsid w:val="00AB06EC"/>
    <w:rsid w:val="00AB0845"/>
    <w:rsid w:val="00AB08D7"/>
    <w:rsid w:val="00AB0984"/>
    <w:rsid w:val="00AB0DC4"/>
    <w:rsid w:val="00AB0EFB"/>
    <w:rsid w:val="00AB28F6"/>
    <w:rsid w:val="00AB2949"/>
    <w:rsid w:val="00AB2B40"/>
    <w:rsid w:val="00AB2B51"/>
    <w:rsid w:val="00AB2C97"/>
    <w:rsid w:val="00AB304A"/>
    <w:rsid w:val="00AB331C"/>
    <w:rsid w:val="00AB34E3"/>
    <w:rsid w:val="00AB3533"/>
    <w:rsid w:val="00AB354B"/>
    <w:rsid w:val="00AB3B1C"/>
    <w:rsid w:val="00AB3B95"/>
    <w:rsid w:val="00AB42A2"/>
    <w:rsid w:val="00AB45BE"/>
    <w:rsid w:val="00AB4670"/>
    <w:rsid w:val="00AB4835"/>
    <w:rsid w:val="00AB4A4E"/>
    <w:rsid w:val="00AB4CB4"/>
    <w:rsid w:val="00AB4DB7"/>
    <w:rsid w:val="00AB4EBF"/>
    <w:rsid w:val="00AB5709"/>
    <w:rsid w:val="00AB57DC"/>
    <w:rsid w:val="00AB592A"/>
    <w:rsid w:val="00AB5C1D"/>
    <w:rsid w:val="00AB5C38"/>
    <w:rsid w:val="00AB63FC"/>
    <w:rsid w:val="00AB751C"/>
    <w:rsid w:val="00AB7625"/>
    <w:rsid w:val="00AB7910"/>
    <w:rsid w:val="00AB7C8E"/>
    <w:rsid w:val="00AC0214"/>
    <w:rsid w:val="00AC0251"/>
    <w:rsid w:val="00AC0646"/>
    <w:rsid w:val="00AC06D6"/>
    <w:rsid w:val="00AC0996"/>
    <w:rsid w:val="00AC0BA3"/>
    <w:rsid w:val="00AC0E98"/>
    <w:rsid w:val="00AC1341"/>
    <w:rsid w:val="00AC146B"/>
    <w:rsid w:val="00AC1919"/>
    <w:rsid w:val="00AC19A1"/>
    <w:rsid w:val="00AC1FB2"/>
    <w:rsid w:val="00AC24B4"/>
    <w:rsid w:val="00AC2A78"/>
    <w:rsid w:val="00AC2C4C"/>
    <w:rsid w:val="00AC2C5B"/>
    <w:rsid w:val="00AC2D57"/>
    <w:rsid w:val="00AC2DCB"/>
    <w:rsid w:val="00AC3531"/>
    <w:rsid w:val="00AC3665"/>
    <w:rsid w:val="00AC38A9"/>
    <w:rsid w:val="00AC3BC2"/>
    <w:rsid w:val="00AC40CC"/>
    <w:rsid w:val="00AC4122"/>
    <w:rsid w:val="00AC4C3A"/>
    <w:rsid w:val="00AC4DEF"/>
    <w:rsid w:val="00AC4F21"/>
    <w:rsid w:val="00AC4FD5"/>
    <w:rsid w:val="00AC4FF5"/>
    <w:rsid w:val="00AC547E"/>
    <w:rsid w:val="00AC54F6"/>
    <w:rsid w:val="00AC5642"/>
    <w:rsid w:val="00AC61B7"/>
    <w:rsid w:val="00AC6345"/>
    <w:rsid w:val="00AC656B"/>
    <w:rsid w:val="00AC67DD"/>
    <w:rsid w:val="00AC7039"/>
    <w:rsid w:val="00AC7174"/>
    <w:rsid w:val="00AC7595"/>
    <w:rsid w:val="00AC7801"/>
    <w:rsid w:val="00AC79F8"/>
    <w:rsid w:val="00AC7F37"/>
    <w:rsid w:val="00AD004B"/>
    <w:rsid w:val="00AD049F"/>
    <w:rsid w:val="00AD0C1E"/>
    <w:rsid w:val="00AD0E10"/>
    <w:rsid w:val="00AD12B8"/>
    <w:rsid w:val="00AD1C12"/>
    <w:rsid w:val="00AD2D23"/>
    <w:rsid w:val="00AD2DBB"/>
    <w:rsid w:val="00AD2EFE"/>
    <w:rsid w:val="00AD317F"/>
    <w:rsid w:val="00AD369D"/>
    <w:rsid w:val="00AD4106"/>
    <w:rsid w:val="00AD4620"/>
    <w:rsid w:val="00AD4C1D"/>
    <w:rsid w:val="00AD5BF8"/>
    <w:rsid w:val="00AD5E5E"/>
    <w:rsid w:val="00AD602C"/>
    <w:rsid w:val="00AD6141"/>
    <w:rsid w:val="00AD62A3"/>
    <w:rsid w:val="00AD657D"/>
    <w:rsid w:val="00AD660E"/>
    <w:rsid w:val="00AD6D8B"/>
    <w:rsid w:val="00AD6FA9"/>
    <w:rsid w:val="00AD6FC8"/>
    <w:rsid w:val="00AD739E"/>
    <w:rsid w:val="00AD7C60"/>
    <w:rsid w:val="00AE013C"/>
    <w:rsid w:val="00AE015F"/>
    <w:rsid w:val="00AE0375"/>
    <w:rsid w:val="00AE044B"/>
    <w:rsid w:val="00AE061D"/>
    <w:rsid w:val="00AE06C9"/>
    <w:rsid w:val="00AE0777"/>
    <w:rsid w:val="00AE0879"/>
    <w:rsid w:val="00AE0B80"/>
    <w:rsid w:val="00AE137C"/>
    <w:rsid w:val="00AE13AD"/>
    <w:rsid w:val="00AE1601"/>
    <w:rsid w:val="00AE18EF"/>
    <w:rsid w:val="00AE20B3"/>
    <w:rsid w:val="00AE228C"/>
    <w:rsid w:val="00AE2757"/>
    <w:rsid w:val="00AE2DB2"/>
    <w:rsid w:val="00AE31F9"/>
    <w:rsid w:val="00AE3435"/>
    <w:rsid w:val="00AE34E1"/>
    <w:rsid w:val="00AE3C76"/>
    <w:rsid w:val="00AE3D7A"/>
    <w:rsid w:val="00AE4060"/>
    <w:rsid w:val="00AE4B0F"/>
    <w:rsid w:val="00AE4F52"/>
    <w:rsid w:val="00AE5F79"/>
    <w:rsid w:val="00AE6AA2"/>
    <w:rsid w:val="00AE6CA7"/>
    <w:rsid w:val="00AE7293"/>
    <w:rsid w:val="00AE761B"/>
    <w:rsid w:val="00AF0080"/>
    <w:rsid w:val="00AF020A"/>
    <w:rsid w:val="00AF0365"/>
    <w:rsid w:val="00AF0760"/>
    <w:rsid w:val="00AF0B54"/>
    <w:rsid w:val="00AF0D06"/>
    <w:rsid w:val="00AF0F01"/>
    <w:rsid w:val="00AF1227"/>
    <w:rsid w:val="00AF1AF2"/>
    <w:rsid w:val="00AF1E4E"/>
    <w:rsid w:val="00AF22DA"/>
    <w:rsid w:val="00AF306E"/>
    <w:rsid w:val="00AF3538"/>
    <w:rsid w:val="00AF387E"/>
    <w:rsid w:val="00AF39AD"/>
    <w:rsid w:val="00AF3B0A"/>
    <w:rsid w:val="00AF3F30"/>
    <w:rsid w:val="00AF4055"/>
    <w:rsid w:val="00AF40DB"/>
    <w:rsid w:val="00AF4110"/>
    <w:rsid w:val="00AF45F2"/>
    <w:rsid w:val="00AF4672"/>
    <w:rsid w:val="00AF4A64"/>
    <w:rsid w:val="00AF550D"/>
    <w:rsid w:val="00AF5F2C"/>
    <w:rsid w:val="00AF6052"/>
    <w:rsid w:val="00AF614E"/>
    <w:rsid w:val="00AF638E"/>
    <w:rsid w:val="00AF63CB"/>
    <w:rsid w:val="00AF6717"/>
    <w:rsid w:val="00AF715D"/>
    <w:rsid w:val="00AF7FE0"/>
    <w:rsid w:val="00B001A4"/>
    <w:rsid w:val="00B00499"/>
    <w:rsid w:val="00B0062F"/>
    <w:rsid w:val="00B006BD"/>
    <w:rsid w:val="00B0084A"/>
    <w:rsid w:val="00B01065"/>
    <w:rsid w:val="00B01112"/>
    <w:rsid w:val="00B024DF"/>
    <w:rsid w:val="00B0257E"/>
    <w:rsid w:val="00B02B74"/>
    <w:rsid w:val="00B02F89"/>
    <w:rsid w:val="00B035BC"/>
    <w:rsid w:val="00B03661"/>
    <w:rsid w:val="00B03856"/>
    <w:rsid w:val="00B042C2"/>
    <w:rsid w:val="00B04665"/>
    <w:rsid w:val="00B04C1F"/>
    <w:rsid w:val="00B04C3B"/>
    <w:rsid w:val="00B04F8B"/>
    <w:rsid w:val="00B057B8"/>
    <w:rsid w:val="00B059B9"/>
    <w:rsid w:val="00B0678A"/>
    <w:rsid w:val="00B06859"/>
    <w:rsid w:val="00B06C77"/>
    <w:rsid w:val="00B0744B"/>
    <w:rsid w:val="00B07605"/>
    <w:rsid w:val="00B07B64"/>
    <w:rsid w:val="00B07BB2"/>
    <w:rsid w:val="00B101F3"/>
    <w:rsid w:val="00B10408"/>
    <w:rsid w:val="00B10433"/>
    <w:rsid w:val="00B106E2"/>
    <w:rsid w:val="00B1097C"/>
    <w:rsid w:val="00B10DBF"/>
    <w:rsid w:val="00B10E4A"/>
    <w:rsid w:val="00B10FAB"/>
    <w:rsid w:val="00B110B4"/>
    <w:rsid w:val="00B114BF"/>
    <w:rsid w:val="00B116EF"/>
    <w:rsid w:val="00B11861"/>
    <w:rsid w:val="00B126D6"/>
    <w:rsid w:val="00B128F9"/>
    <w:rsid w:val="00B129C4"/>
    <w:rsid w:val="00B12C78"/>
    <w:rsid w:val="00B12EE3"/>
    <w:rsid w:val="00B13500"/>
    <w:rsid w:val="00B1373F"/>
    <w:rsid w:val="00B13C92"/>
    <w:rsid w:val="00B13D65"/>
    <w:rsid w:val="00B14227"/>
    <w:rsid w:val="00B14651"/>
    <w:rsid w:val="00B14738"/>
    <w:rsid w:val="00B14AF7"/>
    <w:rsid w:val="00B14F4E"/>
    <w:rsid w:val="00B15478"/>
    <w:rsid w:val="00B15797"/>
    <w:rsid w:val="00B15A5B"/>
    <w:rsid w:val="00B15B47"/>
    <w:rsid w:val="00B15FC9"/>
    <w:rsid w:val="00B166EB"/>
    <w:rsid w:val="00B168D1"/>
    <w:rsid w:val="00B16D40"/>
    <w:rsid w:val="00B16DA1"/>
    <w:rsid w:val="00B173D9"/>
    <w:rsid w:val="00B1741E"/>
    <w:rsid w:val="00B17F04"/>
    <w:rsid w:val="00B2013D"/>
    <w:rsid w:val="00B20236"/>
    <w:rsid w:val="00B202A7"/>
    <w:rsid w:val="00B20535"/>
    <w:rsid w:val="00B21592"/>
    <w:rsid w:val="00B21CDE"/>
    <w:rsid w:val="00B22497"/>
    <w:rsid w:val="00B22786"/>
    <w:rsid w:val="00B228A5"/>
    <w:rsid w:val="00B238C1"/>
    <w:rsid w:val="00B23E9D"/>
    <w:rsid w:val="00B24054"/>
    <w:rsid w:val="00B240CB"/>
    <w:rsid w:val="00B24453"/>
    <w:rsid w:val="00B244B9"/>
    <w:rsid w:val="00B24B62"/>
    <w:rsid w:val="00B24BE1"/>
    <w:rsid w:val="00B2536C"/>
    <w:rsid w:val="00B25A88"/>
    <w:rsid w:val="00B25D3C"/>
    <w:rsid w:val="00B2602A"/>
    <w:rsid w:val="00B260A5"/>
    <w:rsid w:val="00B2621D"/>
    <w:rsid w:val="00B26A85"/>
    <w:rsid w:val="00B2708A"/>
    <w:rsid w:val="00B27DD2"/>
    <w:rsid w:val="00B317D1"/>
    <w:rsid w:val="00B31CAC"/>
    <w:rsid w:val="00B31E02"/>
    <w:rsid w:val="00B3330F"/>
    <w:rsid w:val="00B334A7"/>
    <w:rsid w:val="00B3359A"/>
    <w:rsid w:val="00B3372F"/>
    <w:rsid w:val="00B337F4"/>
    <w:rsid w:val="00B33B4C"/>
    <w:rsid w:val="00B34F9E"/>
    <w:rsid w:val="00B35048"/>
    <w:rsid w:val="00B35250"/>
    <w:rsid w:val="00B3582D"/>
    <w:rsid w:val="00B35926"/>
    <w:rsid w:val="00B359DB"/>
    <w:rsid w:val="00B35ABB"/>
    <w:rsid w:val="00B35BA6"/>
    <w:rsid w:val="00B361E0"/>
    <w:rsid w:val="00B3675A"/>
    <w:rsid w:val="00B36927"/>
    <w:rsid w:val="00B373FA"/>
    <w:rsid w:val="00B37963"/>
    <w:rsid w:val="00B37C4D"/>
    <w:rsid w:val="00B37D48"/>
    <w:rsid w:val="00B37E43"/>
    <w:rsid w:val="00B40734"/>
    <w:rsid w:val="00B40D66"/>
    <w:rsid w:val="00B410BA"/>
    <w:rsid w:val="00B41511"/>
    <w:rsid w:val="00B41998"/>
    <w:rsid w:val="00B41F4B"/>
    <w:rsid w:val="00B42035"/>
    <w:rsid w:val="00B4240B"/>
    <w:rsid w:val="00B42525"/>
    <w:rsid w:val="00B42526"/>
    <w:rsid w:val="00B42CB3"/>
    <w:rsid w:val="00B42D7C"/>
    <w:rsid w:val="00B42FED"/>
    <w:rsid w:val="00B4322C"/>
    <w:rsid w:val="00B4324C"/>
    <w:rsid w:val="00B43E18"/>
    <w:rsid w:val="00B43E91"/>
    <w:rsid w:val="00B444A9"/>
    <w:rsid w:val="00B44AE5"/>
    <w:rsid w:val="00B44D61"/>
    <w:rsid w:val="00B454F3"/>
    <w:rsid w:val="00B45A17"/>
    <w:rsid w:val="00B45E84"/>
    <w:rsid w:val="00B4650D"/>
    <w:rsid w:val="00B46571"/>
    <w:rsid w:val="00B4657C"/>
    <w:rsid w:val="00B4667D"/>
    <w:rsid w:val="00B466D1"/>
    <w:rsid w:val="00B4683D"/>
    <w:rsid w:val="00B46907"/>
    <w:rsid w:val="00B46B38"/>
    <w:rsid w:val="00B46C0D"/>
    <w:rsid w:val="00B46CC8"/>
    <w:rsid w:val="00B46D06"/>
    <w:rsid w:val="00B47381"/>
    <w:rsid w:val="00B47724"/>
    <w:rsid w:val="00B47839"/>
    <w:rsid w:val="00B47991"/>
    <w:rsid w:val="00B47E30"/>
    <w:rsid w:val="00B506D1"/>
    <w:rsid w:val="00B5074D"/>
    <w:rsid w:val="00B50CA8"/>
    <w:rsid w:val="00B50CE6"/>
    <w:rsid w:val="00B510EC"/>
    <w:rsid w:val="00B5160D"/>
    <w:rsid w:val="00B51656"/>
    <w:rsid w:val="00B51732"/>
    <w:rsid w:val="00B51745"/>
    <w:rsid w:val="00B51A4C"/>
    <w:rsid w:val="00B51B65"/>
    <w:rsid w:val="00B51E74"/>
    <w:rsid w:val="00B522E0"/>
    <w:rsid w:val="00B52359"/>
    <w:rsid w:val="00B5250D"/>
    <w:rsid w:val="00B5279D"/>
    <w:rsid w:val="00B52894"/>
    <w:rsid w:val="00B53506"/>
    <w:rsid w:val="00B5350C"/>
    <w:rsid w:val="00B535E1"/>
    <w:rsid w:val="00B536C4"/>
    <w:rsid w:val="00B53715"/>
    <w:rsid w:val="00B53D25"/>
    <w:rsid w:val="00B53DA1"/>
    <w:rsid w:val="00B53F14"/>
    <w:rsid w:val="00B551C4"/>
    <w:rsid w:val="00B553E8"/>
    <w:rsid w:val="00B554A0"/>
    <w:rsid w:val="00B55A94"/>
    <w:rsid w:val="00B55CD5"/>
    <w:rsid w:val="00B561B3"/>
    <w:rsid w:val="00B57550"/>
    <w:rsid w:val="00B57908"/>
    <w:rsid w:val="00B57CBD"/>
    <w:rsid w:val="00B57DC8"/>
    <w:rsid w:val="00B60447"/>
    <w:rsid w:val="00B60819"/>
    <w:rsid w:val="00B60887"/>
    <w:rsid w:val="00B609E0"/>
    <w:rsid w:val="00B61427"/>
    <w:rsid w:val="00B629E7"/>
    <w:rsid w:val="00B62ABF"/>
    <w:rsid w:val="00B62D32"/>
    <w:rsid w:val="00B63594"/>
    <w:rsid w:val="00B6383A"/>
    <w:rsid w:val="00B638C5"/>
    <w:rsid w:val="00B63E7F"/>
    <w:rsid w:val="00B640A0"/>
    <w:rsid w:val="00B6489E"/>
    <w:rsid w:val="00B6494F"/>
    <w:rsid w:val="00B64A1C"/>
    <w:rsid w:val="00B64E53"/>
    <w:rsid w:val="00B64EF0"/>
    <w:rsid w:val="00B658E6"/>
    <w:rsid w:val="00B6599C"/>
    <w:rsid w:val="00B665EE"/>
    <w:rsid w:val="00B666AB"/>
    <w:rsid w:val="00B66B42"/>
    <w:rsid w:val="00B66E89"/>
    <w:rsid w:val="00B6715C"/>
    <w:rsid w:val="00B677F3"/>
    <w:rsid w:val="00B67C95"/>
    <w:rsid w:val="00B7040F"/>
    <w:rsid w:val="00B709AD"/>
    <w:rsid w:val="00B70ED5"/>
    <w:rsid w:val="00B712A1"/>
    <w:rsid w:val="00B7139C"/>
    <w:rsid w:val="00B7171E"/>
    <w:rsid w:val="00B719F8"/>
    <w:rsid w:val="00B720D1"/>
    <w:rsid w:val="00B7220E"/>
    <w:rsid w:val="00B72C03"/>
    <w:rsid w:val="00B72C33"/>
    <w:rsid w:val="00B72EA2"/>
    <w:rsid w:val="00B72EE3"/>
    <w:rsid w:val="00B72FCB"/>
    <w:rsid w:val="00B73A04"/>
    <w:rsid w:val="00B73C01"/>
    <w:rsid w:val="00B73C54"/>
    <w:rsid w:val="00B74070"/>
    <w:rsid w:val="00B74A77"/>
    <w:rsid w:val="00B74B48"/>
    <w:rsid w:val="00B74C67"/>
    <w:rsid w:val="00B74C8F"/>
    <w:rsid w:val="00B74DBE"/>
    <w:rsid w:val="00B754A2"/>
    <w:rsid w:val="00B7598D"/>
    <w:rsid w:val="00B75DB6"/>
    <w:rsid w:val="00B75E41"/>
    <w:rsid w:val="00B7631F"/>
    <w:rsid w:val="00B766D8"/>
    <w:rsid w:val="00B76A9D"/>
    <w:rsid w:val="00B77544"/>
    <w:rsid w:val="00B7772A"/>
    <w:rsid w:val="00B778BE"/>
    <w:rsid w:val="00B77C61"/>
    <w:rsid w:val="00B77DC4"/>
    <w:rsid w:val="00B77F5B"/>
    <w:rsid w:val="00B801B0"/>
    <w:rsid w:val="00B807D8"/>
    <w:rsid w:val="00B8092F"/>
    <w:rsid w:val="00B80F88"/>
    <w:rsid w:val="00B81261"/>
    <w:rsid w:val="00B81987"/>
    <w:rsid w:val="00B81BE4"/>
    <w:rsid w:val="00B81E3B"/>
    <w:rsid w:val="00B8235A"/>
    <w:rsid w:val="00B826F5"/>
    <w:rsid w:val="00B8291A"/>
    <w:rsid w:val="00B82DCD"/>
    <w:rsid w:val="00B83136"/>
    <w:rsid w:val="00B8325C"/>
    <w:rsid w:val="00B83CA3"/>
    <w:rsid w:val="00B83F54"/>
    <w:rsid w:val="00B840C8"/>
    <w:rsid w:val="00B8442C"/>
    <w:rsid w:val="00B855D9"/>
    <w:rsid w:val="00B856BA"/>
    <w:rsid w:val="00B85859"/>
    <w:rsid w:val="00B8600A"/>
    <w:rsid w:val="00B86261"/>
    <w:rsid w:val="00B8639B"/>
    <w:rsid w:val="00B86764"/>
    <w:rsid w:val="00B87561"/>
    <w:rsid w:val="00B87596"/>
    <w:rsid w:val="00B87721"/>
    <w:rsid w:val="00B8772F"/>
    <w:rsid w:val="00B87BA2"/>
    <w:rsid w:val="00B90433"/>
    <w:rsid w:val="00B9061C"/>
    <w:rsid w:val="00B908AA"/>
    <w:rsid w:val="00B90EAE"/>
    <w:rsid w:val="00B90F57"/>
    <w:rsid w:val="00B91894"/>
    <w:rsid w:val="00B91C4A"/>
    <w:rsid w:val="00B91F3B"/>
    <w:rsid w:val="00B9237D"/>
    <w:rsid w:val="00B92E95"/>
    <w:rsid w:val="00B937B5"/>
    <w:rsid w:val="00B938A0"/>
    <w:rsid w:val="00B938BA"/>
    <w:rsid w:val="00B94311"/>
    <w:rsid w:val="00B944CC"/>
    <w:rsid w:val="00B94553"/>
    <w:rsid w:val="00B94B2D"/>
    <w:rsid w:val="00B94D07"/>
    <w:rsid w:val="00B94DDD"/>
    <w:rsid w:val="00B94F7C"/>
    <w:rsid w:val="00B95063"/>
    <w:rsid w:val="00B955DE"/>
    <w:rsid w:val="00B957B1"/>
    <w:rsid w:val="00B95942"/>
    <w:rsid w:val="00B95C5E"/>
    <w:rsid w:val="00B96463"/>
    <w:rsid w:val="00B96A98"/>
    <w:rsid w:val="00B96E45"/>
    <w:rsid w:val="00B96F11"/>
    <w:rsid w:val="00BA09EA"/>
    <w:rsid w:val="00BA0A64"/>
    <w:rsid w:val="00BA0AA5"/>
    <w:rsid w:val="00BA0AE1"/>
    <w:rsid w:val="00BA0DBB"/>
    <w:rsid w:val="00BA1359"/>
    <w:rsid w:val="00BA1B39"/>
    <w:rsid w:val="00BA1DD6"/>
    <w:rsid w:val="00BA2416"/>
    <w:rsid w:val="00BA30C4"/>
    <w:rsid w:val="00BA326A"/>
    <w:rsid w:val="00BA32CB"/>
    <w:rsid w:val="00BA3D4F"/>
    <w:rsid w:val="00BA3E27"/>
    <w:rsid w:val="00BA3FD8"/>
    <w:rsid w:val="00BA41DC"/>
    <w:rsid w:val="00BA4402"/>
    <w:rsid w:val="00BA44A8"/>
    <w:rsid w:val="00BA497F"/>
    <w:rsid w:val="00BA4DB5"/>
    <w:rsid w:val="00BA56C3"/>
    <w:rsid w:val="00BA65A9"/>
    <w:rsid w:val="00BA6967"/>
    <w:rsid w:val="00BA6983"/>
    <w:rsid w:val="00BA6B44"/>
    <w:rsid w:val="00BA7251"/>
    <w:rsid w:val="00BA7320"/>
    <w:rsid w:val="00BA7712"/>
    <w:rsid w:val="00BA7C0C"/>
    <w:rsid w:val="00BB03FE"/>
    <w:rsid w:val="00BB0503"/>
    <w:rsid w:val="00BB0CA2"/>
    <w:rsid w:val="00BB1143"/>
    <w:rsid w:val="00BB115A"/>
    <w:rsid w:val="00BB1A5C"/>
    <w:rsid w:val="00BB1CCC"/>
    <w:rsid w:val="00BB21AA"/>
    <w:rsid w:val="00BB24DB"/>
    <w:rsid w:val="00BB24FE"/>
    <w:rsid w:val="00BB2777"/>
    <w:rsid w:val="00BB2A1B"/>
    <w:rsid w:val="00BB2D69"/>
    <w:rsid w:val="00BB3F8B"/>
    <w:rsid w:val="00BB429F"/>
    <w:rsid w:val="00BB45B7"/>
    <w:rsid w:val="00BB51AE"/>
    <w:rsid w:val="00BB553D"/>
    <w:rsid w:val="00BB5BE7"/>
    <w:rsid w:val="00BB6025"/>
    <w:rsid w:val="00BB624A"/>
    <w:rsid w:val="00BB63B6"/>
    <w:rsid w:val="00BB64E2"/>
    <w:rsid w:val="00BB653D"/>
    <w:rsid w:val="00BB6A29"/>
    <w:rsid w:val="00BB6E1A"/>
    <w:rsid w:val="00BB731C"/>
    <w:rsid w:val="00BC0016"/>
    <w:rsid w:val="00BC0399"/>
    <w:rsid w:val="00BC0D47"/>
    <w:rsid w:val="00BC1223"/>
    <w:rsid w:val="00BC1278"/>
    <w:rsid w:val="00BC153B"/>
    <w:rsid w:val="00BC1791"/>
    <w:rsid w:val="00BC1DCC"/>
    <w:rsid w:val="00BC2582"/>
    <w:rsid w:val="00BC28E9"/>
    <w:rsid w:val="00BC2C71"/>
    <w:rsid w:val="00BC348F"/>
    <w:rsid w:val="00BC36CF"/>
    <w:rsid w:val="00BC39F8"/>
    <w:rsid w:val="00BC3BA2"/>
    <w:rsid w:val="00BC3CC1"/>
    <w:rsid w:val="00BC47F7"/>
    <w:rsid w:val="00BC4808"/>
    <w:rsid w:val="00BC490A"/>
    <w:rsid w:val="00BC4A08"/>
    <w:rsid w:val="00BC4CE5"/>
    <w:rsid w:val="00BC4CF2"/>
    <w:rsid w:val="00BC4D7B"/>
    <w:rsid w:val="00BC607E"/>
    <w:rsid w:val="00BC637E"/>
    <w:rsid w:val="00BC6401"/>
    <w:rsid w:val="00BC651F"/>
    <w:rsid w:val="00BC6901"/>
    <w:rsid w:val="00BC6A9D"/>
    <w:rsid w:val="00BC6F0A"/>
    <w:rsid w:val="00BC6FD6"/>
    <w:rsid w:val="00BC71B8"/>
    <w:rsid w:val="00BC76B8"/>
    <w:rsid w:val="00BD0A4C"/>
    <w:rsid w:val="00BD0D7D"/>
    <w:rsid w:val="00BD0D96"/>
    <w:rsid w:val="00BD12C4"/>
    <w:rsid w:val="00BD1929"/>
    <w:rsid w:val="00BD2465"/>
    <w:rsid w:val="00BD27E4"/>
    <w:rsid w:val="00BD2904"/>
    <w:rsid w:val="00BD2DF0"/>
    <w:rsid w:val="00BD31F3"/>
    <w:rsid w:val="00BD3ABB"/>
    <w:rsid w:val="00BD3EAE"/>
    <w:rsid w:val="00BD44C2"/>
    <w:rsid w:val="00BD490F"/>
    <w:rsid w:val="00BD4AA1"/>
    <w:rsid w:val="00BD55C2"/>
    <w:rsid w:val="00BD5716"/>
    <w:rsid w:val="00BD59A6"/>
    <w:rsid w:val="00BD59AA"/>
    <w:rsid w:val="00BD5C11"/>
    <w:rsid w:val="00BD5C90"/>
    <w:rsid w:val="00BD5CD1"/>
    <w:rsid w:val="00BD60F0"/>
    <w:rsid w:val="00BD677F"/>
    <w:rsid w:val="00BD6DA7"/>
    <w:rsid w:val="00BD6EF0"/>
    <w:rsid w:val="00BD6F0B"/>
    <w:rsid w:val="00BD7081"/>
    <w:rsid w:val="00BD718A"/>
    <w:rsid w:val="00BD728B"/>
    <w:rsid w:val="00BD761F"/>
    <w:rsid w:val="00BD76EA"/>
    <w:rsid w:val="00BD78A0"/>
    <w:rsid w:val="00BE06B6"/>
    <w:rsid w:val="00BE06E8"/>
    <w:rsid w:val="00BE0BE3"/>
    <w:rsid w:val="00BE12F5"/>
    <w:rsid w:val="00BE14F6"/>
    <w:rsid w:val="00BE15A9"/>
    <w:rsid w:val="00BE1669"/>
    <w:rsid w:val="00BE18D4"/>
    <w:rsid w:val="00BE1BA1"/>
    <w:rsid w:val="00BE25C0"/>
    <w:rsid w:val="00BE27F2"/>
    <w:rsid w:val="00BE290C"/>
    <w:rsid w:val="00BE2963"/>
    <w:rsid w:val="00BE319B"/>
    <w:rsid w:val="00BE3619"/>
    <w:rsid w:val="00BE3B0F"/>
    <w:rsid w:val="00BE4068"/>
    <w:rsid w:val="00BE4A38"/>
    <w:rsid w:val="00BE4C8B"/>
    <w:rsid w:val="00BE5A1D"/>
    <w:rsid w:val="00BE5D38"/>
    <w:rsid w:val="00BE5DDA"/>
    <w:rsid w:val="00BE621A"/>
    <w:rsid w:val="00BE670A"/>
    <w:rsid w:val="00BE6B8C"/>
    <w:rsid w:val="00BE6BCE"/>
    <w:rsid w:val="00BE6D6C"/>
    <w:rsid w:val="00BE6DC1"/>
    <w:rsid w:val="00BE72D2"/>
    <w:rsid w:val="00BE72D4"/>
    <w:rsid w:val="00BE7433"/>
    <w:rsid w:val="00BE7618"/>
    <w:rsid w:val="00BE79AB"/>
    <w:rsid w:val="00BE7AFB"/>
    <w:rsid w:val="00BF06B6"/>
    <w:rsid w:val="00BF0A8D"/>
    <w:rsid w:val="00BF0C1D"/>
    <w:rsid w:val="00BF0E00"/>
    <w:rsid w:val="00BF133B"/>
    <w:rsid w:val="00BF1937"/>
    <w:rsid w:val="00BF1A02"/>
    <w:rsid w:val="00BF1A9C"/>
    <w:rsid w:val="00BF1AB6"/>
    <w:rsid w:val="00BF1C3C"/>
    <w:rsid w:val="00BF1FA4"/>
    <w:rsid w:val="00BF2309"/>
    <w:rsid w:val="00BF2597"/>
    <w:rsid w:val="00BF337F"/>
    <w:rsid w:val="00BF380D"/>
    <w:rsid w:val="00BF3867"/>
    <w:rsid w:val="00BF4122"/>
    <w:rsid w:val="00BF41E2"/>
    <w:rsid w:val="00BF4910"/>
    <w:rsid w:val="00BF4E4A"/>
    <w:rsid w:val="00BF5399"/>
    <w:rsid w:val="00BF57D7"/>
    <w:rsid w:val="00BF5E79"/>
    <w:rsid w:val="00BF648C"/>
    <w:rsid w:val="00BF7B16"/>
    <w:rsid w:val="00BF7BBC"/>
    <w:rsid w:val="00BF7C02"/>
    <w:rsid w:val="00BF7C26"/>
    <w:rsid w:val="00C00877"/>
    <w:rsid w:val="00C00BF6"/>
    <w:rsid w:val="00C011A5"/>
    <w:rsid w:val="00C011B1"/>
    <w:rsid w:val="00C011E4"/>
    <w:rsid w:val="00C011EC"/>
    <w:rsid w:val="00C018DD"/>
    <w:rsid w:val="00C01C82"/>
    <w:rsid w:val="00C01CC5"/>
    <w:rsid w:val="00C01CF9"/>
    <w:rsid w:val="00C01DEF"/>
    <w:rsid w:val="00C01E8D"/>
    <w:rsid w:val="00C020AC"/>
    <w:rsid w:val="00C02954"/>
    <w:rsid w:val="00C02AEA"/>
    <w:rsid w:val="00C03037"/>
    <w:rsid w:val="00C031A5"/>
    <w:rsid w:val="00C03262"/>
    <w:rsid w:val="00C034BB"/>
    <w:rsid w:val="00C034F9"/>
    <w:rsid w:val="00C0368E"/>
    <w:rsid w:val="00C03788"/>
    <w:rsid w:val="00C03AC7"/>
    <w:rsid w:val="00C03D25"/>
    <w:rsid w:val="00C040CF"/>
    <w:rsid w:val="00C0422F"/>
    <w:rsid w:val="00C04588"/>
    <w:rsid w:val="00C046E0"/>
    <w:rsid w:val="00C046EE"/>
    <w:rsid w:val="00C0475C"/>
    <w:rsid w:val="00C04D2A"/>
    <w:rsid w:val="00C0514C"/>
    <w:rsid w:val="00C05298"/>
    <w:rsid w:val="00C054D6"/>
    <w:rsid w:val="00C055A5"/>
    <w:rsid w:val="00C05695"/>
    <w:rsid w:val="00C05D41"/>
    <w:rsid w:val="00C05FAF"/>
    <w:rsid w:val="00C061A5"/>
    <w:rsid w:val="00C064D4"/>
    <w:rsid w:val="00C07572"/>
    <w:rsid w:val="00C0786D"/>
    <w:rsid w:val="00C07FC7"/>
    <w:rsid w:val="00C10FEB"/>
    <w:rsid w:val="00C11239"/>
    <w:rsid w:val="00C1176E"/>
    <w:rsid w:val="00C119CC"/>
    <w:rsid w:val="00C11CE5"/>
    <w:rsid w:val="00C11E5F"/>
    <w:rsid w:val="00C127B2"/>
    <w:rsid w:val="00C12E50"/>
    <w:rsid w:val="00C133B1"/>
    <w:rsid w:val="00C133C1"/>
    <w:rsid w:val="00C1381E"/>
    <w:rsid w:val="00C13858"/>
    <w:rsid w:val="00C1394A"/>
    <w:rsid w:val="00C13DB9"/>
    <w:rsid w:val="00C13F70"/>
    <w:rsid w:val="00C14423"/>
    <w:rsid w:val="00C14E00"/>
    <w:rsid w:val="00C15627"/>
    <w:rsid w:val="00C15696"/>
    <w:rsid w:val="00C1588C"/>
    <w:rsid w:val="00C15932"/>
    <w:rsid w:val="00C15A5A"/>
    <w:rsid w:val="00C15F19"/>
    <w:rsid w:val="00C1624A"/>
    <w:rsid w:val="00C16A8B"/>
    <w:rsid w:val="00C17519"/>
    <w:rsid w:val="00C1790D"/>
    <w:rsid w:val="00C17919"/>
    <w:rsid w:val="00C17C6C"/>
    <w:rsid w:val="00C17F4D"/>
    <w:rsid w:val="00C20121"/>
    <w:rsid w:val="00C202FA"/>
    <w:rsid w:val="00C208FE"/>
    <w:rsid w:val="00C20BFC"/>
    <w:rsid w:val="00C20FA0"/>
    <w:rsid w:val="00C2260B"/>
    <w:rsid w:val="00C22F97"/>
    <w:rsid w:val="00C22FA7"/>
    <w:rsid w:val="00C23113"/>
    <w:rsid w:val="00C23158"/>
    <w:rsid w:val="00C23666"/>
    <w:rsid w:val="00C24067"/>
    <w:rsid w:val="00C2406D"/>
    <w:rsid w:val="00C241B3"/>
    <w:rsid w:val="00C24E68"/>
    <w:rsid w:val="00C255D8"/>
    <w:rsid w:val="00C256D8"/>
    <w:rsid w:val="00C2572B"/>
    <w:rsid w:val="00C259B2"/>
    <w:rsid w:val="00C25AC1"/>
    <w:rsid w:val="00C2616C"/>
    <w:rsid w:val="00C2656D"/>
    <w:rsid w:val="00C26E51"/>
    <w:rsid w:val="00C272A8"/>
    <w:rsid w:val="00C273F9"/>
    <w:rsid w:val="00C27DB6"/>
    <w:rsid w:val="00C30029"/>
    <w:rsid w:val="00C3042A"/>
    <w:rsid w:val="00C3065B"/>
    <w:rsid w:val="00C30662"/>
    <w:rsid w:val="00C306EF"/>
    <w:rsid w:val="00C30DA4"/>
    <w:rsid w:val="00C3123C"/>
    <w:rsid w:val="00C314C5"/>
    <w:rsid w:val="00C315D6"/>
    <w:rsid w:val="00C316B1"/>
    <w:rsid w:val="00C31F2E"/>
    <w:rsid w:val="00C31FCB"/>
    <w:rsid w:val="00C3217F"/>
    <w:rsid w:val="00C3234E"/>
    <w:rsid w:val="00C32473"/>
    <w:rsid w:val="00C32771"/>
    <w:rsid w:val="00C32981"/>
    <w:rsid w:val="00C32D0D"/>
    <w:rsid w:val="00C32E2F"/>
    <w:rsid w:val="00C32E35"/>
    <w:rsid w:val="00C336A0"/>
    <w:rsid w:val="00C337F5"/>
    <w:rsid w:val="00C33A95"/>
    <w:rsid w:val="00C33F24"/>
    <w:rsid w:val="00C33FD7"/>
    <w:rsid w:val="00C33FF1"/>
    <w:rsid w:val="00C3456F"/>
    <w:rsid w:val="00C34B4F"/>
    <w:rsid w:val="00C34DA4"/>
    <w:rsid w:val="00C34DBA"/>
    <w:rsid w:val="00C34F52"/>
    <w:rsid w:val="00C3515C"/>
    <w:rsid w:val="00C353C6"/>
    <w:rsid w:val="00C35B4B"/>
    <w:rsid w:val="00C35C36"/>
    <w:rsid w:val="00C35F16"/>
    <w:rsid w:val="00C36277"/>
    <w:rsid w:val="00C36907"/>
    <w:rsid w:val="00C37450"/>
    <w:rsid w:val="00C374B9"/>
    <w:rsid w:val="00C37827"/>
    <w:rsid w:val="00C37894"/>
    <w:rsid w:val="00C41021"/>
    <w:rsid w:val="00C41315"/>
    <w:rsid w:val="00C4144B"/>
    <w:rsid w:val="00C4144E"/>
    <w:rsid w:val="00C415D1"/>
    <w:rsid w:val="00C41937"/>
    <w:rsid w:val="00C41DC4"/>
    <w:rsid w:val="00C41F79"/>
    <w:rsid w:val="00C420D9"/>
    <w:rsid w:val="00C42249"/>
    <w:rsid w:val="00C42525"/>
    <w:rsid w:val="00C4254F"/>
    <w:rsid w:val="00C430F1"/>
    <w:rsid w:val="00C43331"/>
    <w:rsid w:val="00C4391C"/>
    <w:rsid w:val="00C43B8C"/>
    <w:rsid w:val="00C4407C"/>
    <w:rsid w:val="00C4439D"/>
    <w:rsid w:val="00C443CA"/>
    <w:rsid w:val="00C44643"/>
    <w:rsid w:val="00C44B84"/>
    <w:rsid w:val="00C44BBE"/>
    <w:rsid w:val="00C44C55"/>
    <w:rsid w:val="00C450D9"/>
    <w:rsid w:val="00C45917"/>
    <w:rsid w:val="00C45C22"/>
    <w:rsid w:val="00C45D1F"/>
    <w:rsid w:val="00C46448"/>
    <w:rsid w:val="00C4652B"/>
    <w:rsid w:val="00C46605"/>
    <w:rsid w:val="00C46662"/>
    <w:rsid w:val="00C466BC"/>
    <w:rsid w:val="00C467ED"/>
    <w:rsid w:val="00C46866"/>
    <w:rsid w:val="00C469F0"/>
    <w:rsid w:val="00C46E53"/>
    <w:rsid w:val="00C46F20"/>
    <w:rsid w:val="00C4705F"/>
    <w:rsid w:val="00C47207"/>
    <w:rsid w:val="00C473F7"/>
    <w:rsid w:val="00C476CC"/>
    <w:rsid w:val="00C47864"/>
    <w:rsid w:val="00C50190"/>
    <w:rsid w:val="00C501B3"/>
    <w:rsid w:val="00C502F9"/>
    <w:rsid w:val="00C50307"/>
    <w:rsid w:val="00C5044E"/>
    <w:rsid w:val="00C50646"/>
    <w:rsid w:val="00C508ED"/>
    <w:rsid w:val="00C50ACB"/>
    <w:rsid w:val="00C50C36"/>
    <w:rsid w:val="00C50C44"/>
    <w:rsid w:val="00C511E1"/>
    <w:rsid w:val="00C5176A"/>
    <w:rsid w:val="00C5188E"/>
    <w:rsid w:val="00C5191D"/>
    <w:rsid w:val="00C51F95"/>
    <w:rsid w:val="00C5208F"/>
    <w:rsid w:val="00C5247E"/>
    <w:rsid w:val="00C52E23"/>
    <w:rsid w:val="00C52F7E"/>
    <w:rsid w:val="00C537A0"/>
    <w:rsid w:val="00C53913"/>
    <w:rsid w:val="00C53BB9"/>
    <w:rsid w:val="00C53EA4"/>
    <w:rsid w:val="00C547C3"/>
    <w:rsid w:val="00C550F7"/>
    <w:rsid w:val="00C553D5"/>
    <w:rsid w:val="00C55BC6"/>
    <w:rsid w:val="00C55FCD"/>
    <w:rsid w:val="00C5625F"/>
    <w:rsid w:val="00C5636F"/>
    <w:rsid w:val="00C568D5"/>
    <w:rsid w:val="00C57248"/>
    <w:rsid w:val="00C57595"/>
    <w:rsid w:val="00C57852"/>
    <w:rsid w:val="00C6021D"/>
    <w:rsid w:val="00C603C5"/>
    <w:rsid w:val="00C60B1F"/>
    <w:rsid w:val="00C60D71"/>
    <w:rsid w:val="00C60D8F"/>
    <w:rsid w:val="00C60E2A"/>
    <w:rsid w:val="00C60E31"/>
    <w:rsid w:val="00C610AB"/>
    <w:rsid w:val="00C6145A"/>
    <w:rsid w:val="00C61CDA"/>
    <w:rsid w:val="00C621D4"/>
    <w:rsid w:val="00C621F6"/>
    <w:rsid w:val="00C623C1"/>
    <w:rsid w:val="00C6279E"/>
    <w:rsid w:val="00C6294E"/>
    <w:rsid w:val="00C62EA3"/>
    <w:rsid w:val="00C635E0"/>
    <w:rsid w:val="00C63701"/>
    <w:rsid w:val="00C63A69"/>
    <w:rsid w:val="00C63A94"/>
    <w:rsid w:val="00C63B07"/>
    <w:rsid w:val="00C647C5"/>
    <w:rsid w:val="00C64989"/>
    <w:rsid w:val="00C659F9"/>
    <w:rsid w:val="00C65D21"/>
    <w:rsid w:val="00C65FDD"/>
    <w:rsid w:val="00C662DB"/>
    <w:rsid w:val="00C66666"/>
    <w:rsid w:val="00C66669"/>
    <w:rsid w:val="00C66DE2"/>
    <w:rsid w:val="00C66E87"/>
    <w:rsid w:val="00C6730B"/>
    <w:rsid w:val="00C67D6F"/>
    <w:rsid w:val="00C67DE5"/>
    <w:rsid w:val="00C70743"/>
    <w:rsid w:val="00C70884"/>
    <w:rsid w:val="00C708E3"/>
    <w:rsid w:val="00C709B9"/>
    <w:rsid w:val="00C70DF7"/>
    <w:rsid w:val="00C70EF3"/>
    <w:rsid w:val="00C711AB"/>
    <w:rsid w:val="00C71469"/>
    <w:rsid w:val="00C717E7"/>
    <w:rsid w:val="00C71CA4"/>
    <w:rsid w:val="00C725D8"/>
    <w:rsid w:val="00C72A4D"/>
    <w:rsid w:val="00C7306C"/>
    <w:rsid w:val="00C733ED"/>
    <w:rsid w:val="00C735CC"/>
    <w:rsid w:val="00C7390B"/>
    <w:rsid w:val="00C739A6"/>
    <w:rsid w:val="00C739FC"/>
    <w:rsid w:val="00C739FF"/>
    <w:rsid w:val="00C73AF8"/>
    <w:rsid w:val="00C74A34"/>
    <w:rsid w:val="00C7537A"/>
    <w:rsid w:val="00C75665"/>
    <w:rsid w:val="00C75E90"/>
    <w:rsid w:val="00C761BD"/>
    <w:rsid w:val="00C761BE"/>
    <w:rsid w:val="00C762F4"/>
    <w:rsid w:val="00C763E3"/>
    <w:rsid w:val="00C7657E"/>
    <w:rsid w:val="00C766EE"/>
    <w:rsid w:val="00C769DC"/>
    <w:rsid w:val="00C76FF2"/>
    <w:rsid w:val="00C7702F"/>
    <w:rsid w:val="00C77054"/>
    <w:rsid w:val="00C77222"/>
    <w:rsid w:val="00C77EF6"/>
    <w:rsid w:val="00C80278"/>
    <w:rsid w:val="00C808EC"/>
    <w:rsid w:val="00C80A5B"/>
    <w:rsid w:val="00C80A9E"/>
    <w:rsid w:val="00C80D20"/>
    <w:rsid w:val="00C8151C"/>
    <w:rsid w:val="00C8155D"/>
    <w:rsid w:val="00C81573"/>
    <w:rsid w:val="00C817C3"/>
    <w:rsid w:val="00C81848"/>
    <w:rsid w:val="00C81E75"/>
    <w:rsid w:val="00C81EB1"/>
    <w:rsid w:val="00C82012"/>
    <w:rsid w:val="00C82387"/>
    <w:rsid w:val="00C82548"/>
    <w:rsid w:val="00C828BA"/>
    <w:rsid w:val="00C82990"/>
    <w:rsid w:val="00C82D95"/>
    <w:rsid w:val="00C835CD"/>
    <w:rsid w:val="00C83787"/>
    <w:rsid w:val="00C8394C"/>
    <w:rsid w:val="00C83C6D"/>
    <w:rsid w:val="00C84325"/>
    <w:rsid w:val="00C84400"/>
    <w:rsid w:val="00C8443D"/>
    <w:rsid w:val="00C845E7"/>
    <w:rsid w:val="00C84CDA"/>
    <w:rsid w:val="00C85352"/>
    <w:rsid w:val="00C85938"/>
    <w:rsid w:val="00C860B6"/>
    <w:rsid w:val="00C86B6D"/>
    <w:rsid w:val="00C86EC5"/>
    <w:rsid w:val="00C87072"/>
    <w:rsid w:val="00C870C0"/>
    <w:rsid w:val="00C87E79"/>
    <w:rsid w:val="00C87FCB"/>
    <w:rsid w:val="00C90123"/>
    <w:rsid w:val="00C9022E"/>
    <w:rsid w:val="00C90244"/>
    <w:rsid w:val="00C902C5"/>
    <w:rsid w:val="00C902E5"/>
    <w:rsid w:val="00C903EE"/>
    <w:rsid w:val="00C905F6"/>
    <w:rsid w:val="00C90867"/>
    <w:rsid w:val="00C9097A"/>
    <w:rsid w:val="00C9104E"/>
    <w:rsid w:val="00C91554"/>
    <w:rsid w:val="00C91770"/>
    <w:rsid w:val="00C91884"/>
    <w:rsid w:val="00C91F7F"/>
    <w:rsid w:val="00C9218E"/>
    <w:rsid w:val="00C922BB"/>
    <w:rsid w:val="00C927F3"/>
    <w:rsid w:val="00C9308C"/>
    <w:rsid w:val="00C93FDC"/>
    <w:rsid w:val="00C946AC"/>
    <w:rsid w:val="00C95099"/>
    <w:rsid w:val="00C951CA"/>
    <w:rsid w:val="00C95518"/>
    <w:rsid w:val="00C955D2"/>
    <w:rsid w:val="00C95866"/>
    <w:rsid w:val="00C96D33"/>
    <w:rsid w:val="00C96DA8"/>
    <w:rsid w:val="00C96FB2"/>
    <w:rsid w:val="00C97137"/>
    <w:rsid w:val="00C972E0"/>
    <w:rsid w:val="00C972FE"/>
    <w:rsid w:val="00C976C5"/>
    <w:rsid w:val="00C97A1B"/>
    <w:rsid w:val="00CA02CE"/>
    <w:rsid w:val="00CA02CF"/>
    <w:rsid w:val="00CA03EC"/>
    <w:rsid w:val="00CA0984"/>
    <w:rsid w:val="00CA0AC9"/>
    <w:rsid w:val="00CA128F"/>
    <w:rsid w:val="00CA1C89"/>
    <w:rsid w:val="00CA1E33"/>
    <w:rsid w:val="00CA1ED3"/>
    <w:rsid w:val="00CA2AFD"/>
    <w:rsid w:val="00CA2C66"/>
    <w:rsid w:val="00CA2E00"/>
    <w:rsid w:val="00CA3558"/>
    <w:rsid w:val="00CA3950"/>
    <w:rsid w:val="00CA3A6C"/>
    <w:rsid w:val="00CA3B6B"/>
    <w:rsid w:val="00CA3CB8"/>
    <w:rsid w:val="00CA42E1"/>
    <w:rsid w:val="00CA4BB7"/>
    <w:rsid w:val="00CA4D0F"/>
    <w:rsid w:val="00CA5EBA"/>
    <w:rsid w:val="00CA5F70"/>
    <w:rsid w:val="00CA6488"/>
    <w:rsid w:val="00CA64CB"/>
    <w:rsid w:val="00CA6799"/>
    <w:rsid w:val="00CA69C5"/>
    <w:rsid w:val="00CA6A66"/>
    <w:rsid w:val="00CA6B8F"/>
    <w:rsid w:val="00CA6BD2"/>
    <w:rsid w:val="00CA6C49"/>
    <w:rsid w:val="00CA6CC0"/>
    <w:rsid w:val="00CA7CB0"/>
    <w:rsid w:val="00CA7E94"/>
    <w:rsid w:val="00CA7EAF"/>
    <w:rsid w:val="00CB01D3"/>
    <w:rsid w:val="00CB0465"/>
    <w:rsid w:val="00CB04F1"/>
    <w:rsid w:val="00CB0918"/>
    <w:rsid w:val="00CB0E4C"/>
    <w:rsid w:val="00CB1154"/>
    <w:rsid w:val="00CB18E2"/>
    <w:rsid w:val="00CB2789"/>
    <w:rsid w:val="00CB2827"/>
    <w:rsid w:val="00CB2A8C"/>
    <w:rsid w:val="00CB2C72"/>
    <w:rsid w:val="00CB2EA9"/>
    <w:rsid w:val="00CB2FD6"/>
    <w:rsid w:val="00CB3124"/>
    <w:rsid w:val="00CB3DB0"/>
    <w:rsid w:val="00CB3F6E"/>
    <w:rsid w:val="00CB4950"/>
    <w:rsid w:val="00CB4A0E"/>
    <w:rsid w:val="00CB4C8C"/>
    <w:rsid w:val="00CB4FA4"/>
    <w:rsid w:val="00CB55D5"/>
    <w:rsid w:val="00CB5DEA"/>
    <w:rsid w:val="00CB6269"/>
    <w:rsid w:val="00CB62F1"/>
    <w:rsid w:val="00CB6344"/>
    <w:rsid w:val="00CB66DE"/>
    <w:rsid w:val="00CB67C5"/>
    <w:rsid w:val="00CB6DA0"/>
    <w:rsid w:val="00CB6FC5"/>
    <w:rsid w:val="00CB7B12"/>
    <w:rsid w:val="00CB7C0A"/>
    <w:rsid w:val="00CB7CB1"/>
    <w:rsid w:val="00CC0827"/>
    <w:rsid w:val="00CC0AB9"/>
    <w:rsid w:val="00CC0CA3"/>
    <w:rsid w:val="00CC112F"/>
    <w:rsid w:val="00CC1466"/>
    <w:rsid w:val="00CC15E9"/>
    <w:rsid w:val="00CC19B8"/>
    <w:rsid w:val="00CC1B9B"/>
    <w:rsid w:val="00CC20A6"/>
    <w:rsid w:val="00CC22BF"/>
    <w:rsid w:val="00CC2BB1"/>
    <w:rsid w:val="00CC2DE3"/>
    <w:rsid w:val="00CC34BB"/>
    <w:rsid w:val="00CC3E5D"/>
    <w:rsid w:val="00CC4261"/>
    <w:rsid w:val="00CC44A5"/>
    <w:rsid w:val="00CC50DB"/>
    <w:rsid w:val="00CC53D9"/>
    <w:rsid w:val="00CC74F6"/>
    <w:rsid w:val="00CD003F"/>
    <w:rsid w:val="00CD021E"/>
    <w:rsid w:val="00CD03EC"/>
    <w:rsid w:val="00CD072C"/>
    <w:rsid w:val="00CD087F"/>
    <w:rsid w:val="00CD0892"/>
    <w:rsid w:val="00CD0CCF"/>
    <w:rsid w:val="00CD0DE6"/>
    <w:rsid w:val="00CD1C33"/>
    <w:rsid w:val="00CD27BA"/>
    <w:rsid w:val="00CD2944"/>
    <w:rsid w:val="00CD2B5B"/>
    <w:rsid w:val="00CD2DA6"/>
    <w:rsid w:val="00CD2FF2"/>
    <w:rsid w:val="00CD311C"/>
    <w:rsid w:val="00CD32F4"/>
    <w:rsid w:val="00CD3362"/>
    <w:rsid w:val="00CD33AD"/>
    <w:rsid w:val="00CD3806"/>
    <w:rsid w:val="00CD408D"/>
    <w:rsid w:val="00CD4120"/>
    <w:rsid w:val="00CD412E"/>
    <w:rsid w:val="00CD442C"/>
    <w:rsid w:val="00CD48EC"/>
    <w:rsid w:val="00CD4AA5"/>
    <w:rsid w:val="00CD5201"/>
    <w:rsid w:val="00CD5537"/>
    <w:rsid w:val="00CD5682"/>
    <w:rsid w:val="00CD66B3"/>
    <w:rsid w:val="00CD6825"/>
    <w:rsid w:val="00CD6DFF"/>
    <w:rsid w:val="00CD6FAE"/>
    <w:rsid w:val="00CD7EB8"/>
    <w:rsid w:val="00CE0076"/>
    <w:rsid w:val="00CE00B5"/>
    <w:rsid w:val="00CE00B7"/>
    <w:rsid w:val="00CE01A8"/>
    <w:rsid w:val="00CE024F"/>
    <w:rsid w:val="00CE06C4"/>
    <w:rsid w:val="00CE0752"/>
    <w:rsid w:val="00CE0962"/>
    <w:rsid w:val="00CE0CA4"/>
    <w:rsid w:val="00CE16BE"/>
    <w:rsid w:val="00CE1774"/>
    <w:rsid w:val="00CE1957"/>
    <w:rsid w:val="00CE1977"/>
    <w:rsid w:val="00CE202D"/>
    <w:rsid w:val="00CE230F"/>
    <w:rsid w:val="00CE2C1E"/>
    <w:rsid w:val="00CE3531"/>
    <w:rsid w:val="00CE3F0B"/>
    <w:rsid w:val="00CE4C99"/>
    <w:rsid w:val="00CE4DCA"/>
    <w:rsid w:val="00CE4DEC"/>
    <w:rsid w:val="00CE5093"/>
    <w:rsid w:val="00CE55D9"/>
    <w:rsid w:val="00CE57A1"/>
    <w:rsid w:val="00CE6002"/>
    <w:rsid w:val="00CE60CA"/>
    <w:rsid w:val="00CE613A"/>
    <w:rsid w:val="00CE6CB6"/>
    <w:rsid w:val="00CE6FBA"/>
    <w:rsid w:val="00CE7321"/>
    <w:rsid w:val="00CE741B"/>
    <w:rsid w:val="00CE7733"/>
    <w:rsid w:val="00CE78C1"/>
    <w:rsid w:val="00CE78D7"/>
    <w:rsid w:val="00CE7CF2"/>
    <w:rsid w:val="00CF0112"/>
    <w:rsid w:val="00CF02FE"/>
    <w:rsid w:val="00CF0396"/>
    <w:rsid w:val="00CF0788"/>
    <w:rsid w:val="00CF0A9D"/>
    <w:rsid w:val="00CF0D15"/>
    <w:rsid w:val="00CF0D7F"/>
    <w:rsid w:val="00CF0EA2"/>
    <w:rsid w:val="00CF0ED8"/>
    <w:rsid w:val="00CF0F4D"/>
    <w:rsid w:val="00CF11B0"/>
    <w:rsid w:val="00CF134F"/>
    <w:rsid w:val="00CF13CC"/>
    <w:rsid w:val="00CF1788"/>
    <w:rsid w:val="00CF17A6"/>
    <w:rsid w:val="00CF18BA"/>
    <w:rsid w:val="00CF1E64"/>
    <w:rsid w:val="00CF224B"/>
    <w:rsid w:val="00CF2503"/>
    <w:rsid w:val="00CF2889"/>
    <w:rsid w:val="00CF2A7D"/>
    <w:rsid w:val="00CF2C08"/>
    <w:rsid w:val="00CF2C65"/>
    <w:rsid w:val="00CF2CA9"/>
    <w:rsid w:val="00CF2E0D"/>
    <w:rsid w:val="00CF324E"/>
    <w:rsid w:val="00CF3934"/>
    <w:rsid w:val="00CF3986"/>
    <w:rsid w:val="00CF39E8"/>
    <w:rsid w:val="00CF3A14"/>
    <w:rsid w:val="00CF42AF"/>
    <w:rsid w:val="00CF43BA"/>
    <w:rsid w:val="00CF44F4"/>
    <w:rsid w:val="00CF450C"/>
    <w:rsid w:val="00CF472B"/>
    <w:rsid w:val="00CF49FE"/>
    <w:rsid w:val="00CF51DE"/>
    <w:rsid w:val="00CF56B7"/>
    <w:rsid w:val="00CF56D5"/>
    <w:rsid w:val="00CF581C"/>
    <w:rsid w:val="00CF5F3A"/>
    <w:rsid w:val="00CF6318"/>
    <w:rsid w:val="00CF6E1B"/>
    <w:rsid w:val="00CF6FF1"/>
    <w:rsid w:val="00CF702F"/>
    <w:rsid w:val="00CF7075"/>
    <w:rsid w:val="00CF724E"/>
    <w:rsid w:val="00CF75A4"/>
    <w:rsid w:val="00CF773E"/>
    <w:rsid w:val="00CF7757"/>
    <w:rsid w:val="00CF7C54"/>
    <w:rsid w:val="00CF7D1F"/>
    <w:rsid w:val="00D000F1"/>
    <w:rsid w:val="00D00297"/>
    <w:rsid w:val="00D0081E"/>
    <w:rsid w:val="00D00C46"/>
    <w:rsid w:val="00D010A1"/>
    <w:rsid w:val="00D013D0"/>
    <w:rsid w:val="00D0148E"/>
    <w:rsid w:val="00D01491"/>
    <w:rsid w:val="00D014BC"/>
    <w:rsid w:val="00D0181A"/>
    <w:rsid w:val="00D01FC6"/>
    <w:rsid w:val="00D02280"/>
    <w:rsid w:val="00D0248A"/>
    <w:rsid w:val="00D025B4"/>
    <w:rsid w:val="00D02B3C"/>
    <w:rsid w:val="00D038AC"/>
    <w:rsid w:val="00D03A90"/>
    <w:rsid w:val="00D03E66"/>
    <w:rsid w:val="00D0403D"/>
    <w:rsid w:val="00D04E3E"/>
    <w:rsid w:val="00D05196"/>
    <w:rsid w:val="00D052D5"/>
    <w:rsid w:val="00D05E6C"/>
    <w:rsid w:val="00D062D0"/>
    <w:rsid w:val="00D06335"/>
    <w:rsid w:val="00D06A2D"/>
    <w:rsid w:val="00D06A58"/>
    <w:rsid w:val="00D076B1"/>
    <w:rsid w:val="00D078CA"/>
    <w:rsid w:val="00D07B7A"/>
    <w:rsid w:val="00D07DF8"/>
    <w:rsid w:val="00D07EE1"/>
    <w:rsid w:val="00D10645"/>
    <w:rsid w:val="00D10E41"/>
    <w:rsid w:val="00D11143"/>
    <w:rsid w:val="00D111FB"/>
    <w:rsid w:val="00D11B16"/>
    <w:rsid w:val="00D12872"/>
    <w:rsid w:val="00D12FF9"/>
    <w:rsid w:val="00D132B2"/>
    <w:rsid w:val="00D136E5"/>
    <w:rsid w:val="00D13A0B"/>
    <w:rsid w:val="00D13D58"/>
    <w:rsid w:val="00D14922"/>
    <w:rsid w:val="00D14D14"/>
    <w:rsid w:val="00D14EB4"/>
    <w:rsid w:val="00D150AE"/>
    <w:rsid w:val="00D1540B"/>
    <w:rsid w:val="00D156F3"/>
    <w:rsid w:val="00D15796"/>
    <w:rsid w:val="00D159CF"/>
    <w:rsid w:val="00D15C52"/>
    <w:rsid w:val="00D16648"/>
    <w:rsid w:val="00D16B15"/>
    <w:rsid w:val="00D16B48"/>
    <w:rsid w:val="00D16BB4"/>
    <w:rsid w:val="00D16CE7"/>
    <w:rsid w:val="00D170D2"/>
    <w:rsid w:val="00D17228"/>
    <w:rsid w:val="00D1733C"/>
    <w:rsid w:val="00D1753D"/>
    <w:rsid w:val="00D175D2"/>
    <w:rsid w:val="00D17E7C"/>
    <w:rsid w:val="00D203D0"/>
    <w:rsid w:val="00D20966"/>
    <w:rsid w:val="00D20CDE"/>
    <w:rsid w:val="00D20DB8"/>
    <w:rsid w:val="00D21302"/>
    <w:rsid w:val="00D21336"/>
    <w:rsid w:val="00D2167E"/>
    <w:rsid w:val="00D21C13"/>
    <w:rsid w:val="00D229CF"/>
    <w:rsid w:val="00D22BE6"/>
    <w:rsid w:val="00D22D56"/>
    <w:rsid w:val="00D23356"/>
    <w:rsid w:val="00D234C6"/>
    <w:rsid w:val="00D236FD"/>
    <w:rsid w:val="00D23ACC"/>
    <w:rsid w:val="00D23AF3"/>
    <w:rsid w:val="00D23C68"/>
    <w:rsid w:val="00D23C83"/>
    <w:rsid w:val="00D23E16"/>
    <w:rsid w:val="00D23E40"/>
    <w:rsid w:val="00D2402E"/>
    <w:rsid w:val="00D242D2"/>
    <w:rsid w:val="00D24C6C"/>
    <w:rsid w:val="00D24D8E"/>
    <w:rsid w:val="00D24FD9"/>
    <w:rsid w:val="00D25395"/>
    <w:rsid w:val="00D2550C"/>
    <w:rsid w:val="00D25B96"/>
    <w:rsid w:val="00D260F4"/>
    <w:rsid w:val="00D27694"/>
    <w:rsid w:val="00D27F3B"/>
    <w:rsid w:val="00D30031"/>
    <w:rsid w:val="00D30799"/>
    <w:rsid w:val="00D3124C"/>
    <w:rsid w:val="00D31967"/>
    <w:rsid w:val="00D31DE7"/>
    <w:rsid w:val="00D32557"/>
    <w:rsid w:val="00D32F47"/>
    <w:rsid w:val="00D330A5"/>
    <w:rsid w:val="00D33121"/>
    <w:rsid w:val="00D33576"/>
    <w:rsid w:val="00D33693"/>
    <w:rsid w:val="00D337C4"/>
    <w:rsid w:val="00D33A99"/>
    <w:rsid w:val="00D33BCB"/>
    <w:rsid w:val="00D33CE4"/>
    <w:rsid w:val="00D3479A"/>
    <w:rsid w:val="00D34A0E"/>
    <w:rsid w:val="00D34BBF"/>
    <w:rsid w:val="00D34E03"/>
    <w:rsid w:val="00D34E47"/>
    <w:rsid w:val="00D35726"/>
    <w:rsid w:val="00D358F0"/>
    <w:rsid w:val="00D35CBE"/>
    <w:rsid w:val="00D368DE"/>
    <w:rsid w:val="00D36CFF"/>
    <w:rsid w:val="00D3740F"/>
    <w:rsid w:val="00D375EB"/>
    <w:rsid w:val="00D377B1"/>
    <w:rsid w:val="00D37A47"/>
    <w:rsid w:val="00D400A1"/>
    <w:rsid w:val="00D400C3"/>
    <w:rsid w:val="00D4051E"/>
    <w:rsid w:val="00D40ABC"/>
    <w:rsid w:val="00D40AF0"/>
    <w:rsid w:val="00D410F2"/>
    <w:rsid w:val="00D4169C"/>
    <w:rsid w:val="00D425AC"/>
    <w:rsid w:val="00D42871"/>
    <w:rsid w:val="00D42880"/>
    <w:rsid w:val="00D42F41"/>
    <w:rsid w:val="00D4302F"/>
    <w:rsid w:val="00D430C5"/>
    <w:rsid w:val="00D43176"/>
    <w:rsid w:val="00D43ABD"/>
    <w:rsid w:val="00D43D09"/>
    <w:rsid w:val="00D448EA"/>
    <w:rsid w:val="00D44CFD"/>
    <w:rsid w:val="00D44EC1"/>
    <w:rsid w:val="00D4578F"/>
    <w:rsid w:val="00D45D49"/>
    <w:rsid w:val="00D45EF7"/>
    <w:rsid w:val="00D45FB6"/>
    <w:rsid w:val="00D46304"/>
    <w:rsid w:val="00D46D2E"/>
    <w:rsid w:val="00D46FDC"/>
    <w:rsid w:val="00D47044"/>
    <w:rsid w:val="00D47EE2"/>
    <w:rsid w:val="00D50110"/>
    <w:rsid w:val="00D5046F"/>
    <w:rsid w:val="00D5078E"/>
    <w:rsid w:val="00D50CCB"/>
    <w:rsid w:val="00D511E6"/>
    <w:rsid w:val="00D513BC"/>
    <w:rsid w:val="00D5160C"/>
    <w:rsid w:val="00D516B9"/>
    <w:rsid w:val="00D521C5"/>
    <w:rsid w:val="00D522A3"/>
    <w:rsid w:val="00D5264F"/>
    <w:rsid w:val="00D526CA"/>
    <w:rsid w:val="00D528B8"/>
    <w:rsid w:val="00D52BCB"/>
    <w:rsid w:val="00D53477"/>
    <w:rsid w:val="00D535C5"/>
    <w:rsid w:val="00D535F7"/>
    <w:rsid w:val="00D536C0"/>
    <w:rsid w:val="00D5400D"/>
    <w:rsid w:val="00D549A2"/>
    <w:rsid w:val="00D55016"/>
    <w:rsid w:val="00D55737"/>
    <w:rsid w:val="00D558B1"/>
    <w:rsid w:val="00D55A1B"/>
    <w:rsid w:val="00D55F0A"/>
    <w:rsid w:val="00D56055"/>
    <w:rsid w:val="00D56177"/>
    <w:rsid w:val="00D563D5"/>
    <w:rsid w:val="00D5673E"/>
    <w:rsid w:val="00D56B32"/>
    <w:rsid w:val="00D5745C"/>
    <w:rsid w:val="00D57466"/>
    <w:rsid w:val="00D576FB"/>
    <w:rsid w:val="00D578EC"/>
    <w:rsid w:val="00D60052"/>
    <w:rsid w:val="00D60261"/>
    <w:rsid w:val="00D6038E"/>
    <w:rsid w:val="00D605D4"/>
    <w:rsid w:val="00D60DA1"/>
    <w:rsid w:val="00D610C1"/>
    <w:rsid w:val="00D6149D"/>
    <w:rsid w:val="00D61D28"/>
    <w:rsid w:val="00D620C4"/>
    <w:rsid w:val="00D622BD"/>
    <w:rsid w:val="00D625E7"/>
    <w:rsid w:val="00D627F7"/>
    <w:rsid w:val="00D62B05"/>
    <w:rsid w:val="00D62FA1"/>
    <w:rsid w:val="00D6304D"/>
    <w:rsid w:val="00D63380"/>
    <w:rsid w:val="00D633AF"/>
    <w:rsid w:val="00D6360C"/>
    <w:rsid w:val="00D638FC"/>
    <w:rsid w:val="00D63978"/>
    <w:rsid w:val="00D63CA0"/>
    <w:rsid w:val="00D63CE4"/>
    <w:rsid w:val="00D63F75"/>
    <w:rsid w:val="00D640E6"/>
    <w:rsid w:val="00D64961"/>
    <w:rsid w:val="00D6510E"/>
    <w:rsid w:val="00D65371"/>
    <w:rsid w:val="00D6586C"/>
    <w:rsid w:val="00D6598B"/>
    <w:rsid w:val="00D659A4"/>
    <w:rsid w:val="00D66145"/>
    <w:rsid w:val="00D66A8A"/>
    <w:rsid w:val="00D66C1C"/>
    <w:rsid w:val="00D66F0E"/>
    <w:rsid w:val="00D67889"/>
    <w:rsid w:val="00D701B9"/>
    <w:rsid w:val="00D70333"/>
    <w:rsid w:val="00D70460"/>
    <w:rsid w:val="00D7104B"/>
    <w:rsid w:val="00D71280"/>
    <w:rsid w:val="00D71617"/>
    <w:rsid w:val="00D71EB0"/>
    <w:rsid w:val="00D722CF"/>
    <w:rsid w:val="00D72B52"/>
    <w:rsid w:val="00D72F11"/>
    <w:rsid w:val="00D7318B"/>
    <w:rsid w:val="00D73210"/>
    <w:rsid w:val="00D732C3"/>
    <w:rsid w:val="00D737DE"/>
    <w:rsid w:val="00D748E9"/>
    <w:rsid w:val="00D74BF2"/>
    <w:rsid w:val="00D75030"/>
    <w:rsid w:val="00D750A5"/>
    <w:rsid w:val="00D7511C"/>
    <w:rsid w:val="00D755E7"/>
    <w:rsid w:val="00D7587E"/>
    <w:rsid w:val="00D75D40"/>
    <w:rsid w:val="00D760C5"/>
    <w:rsid w:val="00D7695A"/>
    <w:rsid w:val="00D77649"/>
    <w:rsid w:val="00D7788C"/>
    <w:rsid w:val="00D779F9"/>
    <w:rsid w:val="00D77AF0"/>
    <w:rsid w:val="00D77DFF"/>
    <w:rsid w:val="00D80053"/>
    <w:rsid w:val="00D80337"/>
    <w:rsid w:val="00D80462"/>
    <w:rsid w:val="00D80670"/>
    <w:rsid w:val="00D807B7"/>
    <w:rsid w:val="00D8080B"/>
    <w:rsid w:val="00D80A4F"/>
    <w:rsid w:val="00D80BB3"/>
    <w:rsid w:val="00D80DD3"/>
    <w:rsid w:val="00D80E33"/>
    <w:rsid w:val="00D81386"/>
    <w:rsid w:val="00D81EC5"/>
    <w:rsid w:val="00D81F1F"/>
    <w:rsid w:val="00D8212C"/>
    <w:rsid w:val="00D824D5"/>
    <w:rsid w:val="00D827E2"/>
    <w:rsid w:val="00D82AB8"/>
    <w:rsid w:val="00D830A0"/>
    <w:rsid w:val="00D83912"/>
    <w:rsid w:val="00D83C78"/>
    <w:rsid w:val="00D84009"/>
    <w:rsid w:val="00D840BB"/>
    <w:rsid w:val="00D845A3"/>
    <w:rsid w:val="00D847F5"/>
    <w:rsid w:val="00D849DB"/>
    <w:rsid w:val="00D84B46"/>
    <w:rsid w:val="00D85210"/>
    <w:rsid w:val="00D86791"/>
    <w:rsid w:val="00D86A15"/>
    <w:rsid w:val="00D86B32"/>
    <w:rsid w:val="00D86CDD"/>
    <w:rsid w:val="00D86D62"/>
    <w:rsid w:val="00D86D91"/>
    <w:rsid w:val="00D873CC"/>
    <w:rsid w:val="00D8757F"/>
    <w:rsid w:val="00D876DD"/>
    <w:rsid w:val="00D87AA3"/>
    <w:rsid w:val="00D87ADC"/>
    <w:rsid w:val="00D87BEC"/>
    <w:rsid w:val="00D87E58"/>
    <w:rsid w:val="00D9006C"/>
    <w:rsid w:val="00D9024E"/>
    <w:rsid w:val="00D903F4"/>
    <w:rsid w:val="00D90D80"/>
    <w:rsid w:val="00D910D6"/>
    <w:rsid w:val="00D91386"/>
    <w:rsid w:val="00D922E7"/>
    <w:rsid w:val="00D9255F"/>
    <w:rsid w:val="00D92609"/>
    <w:rsid w:val="00D9266C"/>
    <w:rsid w:val="00D92E4A"/>
    <w:rsid w:val="00D93267"/>
    <w:rsid w:val="00D94257"/>
    <w:rsid w:val="00D94DF7"/>
    <w:rsid w:val="00D9560C"/>
    <w:rsid w:val="00D95A82"/>
    <w:rsid w:val="00D9625F"/>
    <w:rsid w:val="00D963B5"/>
    <w:rsid w:val="00D96488"/>
    <w:rsid w:val="00D967C8"/>
    <w:rsid w:val="00D968CA"/>
    <w:rsid w:val="00D96B03"/>
    <w:rsid w:val="00D96D60"/>
    <w:rsid w:val="00D96DAA"/>
    <w:rsid w:val="00D9756E"/>
    <w:rsid w:val="00D976C2"/>
    <w:rsid w:val="00D97A49"/>
    <w:rsid w:val="00D97CDE"/>
    <w:rsid w:val="00D97DAB"/>
    <w:rsid w:val="00D97ED6"/>
    <w:rsid w:val="00DA0163"/>
    <w:rsid w:val="00DA098A"/>
    <w:rsid w:val="00DA0C94"/>
    <w:rsid w:val="00DA0F0A"/>
    <w:rsid w:val="00DA1332"/>
    <w:rsid w:val="00DA13A0"/>
    <w:rsid w:val="00DA17D0"/>
    <w:rsid w:val="00DA1984"/>
    <w:rsid w:val="00DA1C9F"/>
    <w:rsid w:val="00DA1D64"/>
    <w:rsid w:val="00DA1DFB"/>
    <w:rsid w:val="00DA2028"/>
    <w:rsid w:val="00DA2185"/>
    <w:rsid w:val="00DA2297"/>
    <w:rsid w:val="00DA231C"/>
    <w:rsid w:val="00DA235A"/>
    <w:rsid w:val="00DA2395"/>
    <w:rsid w:val="00DA2920"/>
    <w:rsid w:val="00DA2973"/>
    <w:rsid w:val="00DA30B7"/>
    <w:rsid w:val="00DA37FE"/>
    <w:rsid w:val="00DA395C"/>
    <w:rsid w:val="00DA3A22"/>
    <w:rsid w:val="00DA3AF4"/>
    <w:rsid w:val="00DA422C"/>
    <w:rsid w:val="00DA46B2"/>
    <w:rsid w:val="00DA4706"/>
    <w:rsid w:val="00DA4A0E"/>
    <w:rsid w:val="00DA4DD5"/>
    <w:rsid w:val="00DA5B86"/>
    <w:rsid w:val="00DA5EBB"/>
    <w:rsid w:val="00DA61C6"/>
    <w:rsid w:val="00DA6372"/>
    <w:rsid w:val="00DA65B4"/>
    <w:rsid w:val="00DA6D29"/>
    <w:rsid w:val="00DA7003"/>
    <w:rsid w:val="00DA71CF"/>
    <w:rsid w:val="00DA7390"/>
    <w:rsid w:val="00DA7974"/>
    <w:rsid w:val="00DA79C0"/>
    <w:rsid w:val="00DA7F78"/>
    <w:rsid w:val="00DA7FBB"/>
    <w:rsid w:val="00DA7FEA"/>
    <w:rsid w:val="00DB013B"/>
    <w:rsid w:val="00DB039E"/>
    <w:rsid w:val="00DB03D5"/>
    <w:rsid w:val="00DB0904"/>
    <w:rsid w:val="00DB1851"/>
    <w:rsid w:val="00DB1C06"/>
    <w:rsid w:val="00DB1CD2"/>
    <w:rsid w:val="00DB1D28"/>
    <w:rsid w:val="00DB1FD6"/>
    <w:rsid w:val="00DB2990"/>
    <w:rsid w:val="00DB311E"/>
    <w:rsid w:val="00DB33FD"/>
    <w:rsid w:val="00DB3427"/>
    <w:rsid w:val="00DB36C3"/>
    <w:rsid w:val="00DB3C34"/>
    <w:rsid w:val="00DB3D43"/>
    <w:rsid w:val="00DB3FA3"/>
    <w:rsid w:val="00DB41C2"/>
    <w:rsid w:val="00DB45C2"/>
    <w:rsid w:val="00DB4676"/>
    <w:rsid w:val="00DB4791"/>
    <w:rsid w:val="00DB4E53"/>
    <w:rsid w:val="00DB5B68"/>
    <w:rsid w:val="00DB5E66"/>
    <w:rsid w:val="00DB5EDB"/>
    <w:rsid w:val="00DB61C3"/>
    <w:rsid w:val="00DB691D"/>
    <w:rsid w:val="00DB6A90"/>
    <w:rsid w:val="00DB6C82"/>
    <w:rsid w:val="00DB6CB7"/>
    <w:rsid w:val="00DB7A41"/>
    <w:rsid w:val="00DB7BF0"/>
    <w:rsid w:val="00DB7CC3"/>
    <w:rsid w:val="00DB7D2E"/>
    <w:rsid w:val="00DB7E00"/>
    <w:rsid w:val="00DB7E70"/>
    <w:rsid w:val="00DC0252"/>
    <w:rsid w:val="00DC0913"/>
    <w:rsid w:val="00DC0B96"/>
    <w:rsid w:val="00DC1044"/>
    <w:rsid w:val="00DC146A"/>
    <w:rsid w:val="00DC14BE"/>
    <w:rsid w:val="00DC15D0"/>
    <w:rsid w:val="00DC180D"/>
    <w:rsid w:val="00DC180F"/>
    <w:rsid w:val="00DC1B38"/>
    <w:rsid w:val="00DC1B5C"/>
    <w:rsid w:val="00DC1C83"/>
    <w:rsid w:val="00DC1EDE"/>
    <w:rsid w:val="00DC1FAB"/>
    <w:rsid w:val="00DC1FD0"/>
    <w:rsid w:val="00DC208E"/>
    <w:rsid w:val="00DC2104"/>
    <w:rsid w:val="00DC21E0"/>
    <w:rsid w:val="00DC220E"/>
    <w:rsid w:val="00DC2489"/>
    <w:rsid w:val="00DC268A"/>
    <w:rsid w:val="00DC2889"/>
    <w:rsid w:val="00DC296A"/>
    <w:rsid w:val="00DC29D6"/>
    <w:rsid w:val="00DC2B64"/>
    <w:rsid w:val="00DC2BEA"/>
    <w:rsid w:val="00DC2D77"/>
    <w:rsid w:val="00DC33BF"/>
    <w:rsid w:val="00DC3873"/>
    <w:rsid w:val="00DC38D1"/>
    <w:rsid w:val="00DC393F"/>
    <w:rsid w:val="00DC3969"/>
    <w:rsid w:val="00DC3A76"/>
    <w:rsid w:val="00DC3AEA"/>
    <w:rsid w:val="00DC3B40"/>
    <w:rsid w:val="00DC499D"/>
    <w:rsid w:val="00DC4A9E"/>
    <w:rsid w:val="00DC50B5"/>
    <w:rsid w:val="00DC50D0"/>
    <w:rsid w:val="00DC5135"/>
    <w:rsid w:val="00DC5951"/>
    <w:rsid w:val="00DC5953"/>
    <w:rsid w:val="00DC59C8"/>
    <w:rsid w:val="00DC5DC5"/>
    <w:rsid w:val="00DC5EEA"/>
    <w:rsid w:val="00DD0382"/>
    <w:rsid w:val="00DD0E3B"/>
    <w:rsid w:val="00DD1020"/>
    <w:rsid w:val="00DD1EB5"/>
    <w:rsid w:val="00DD2373"/>
    <w:rsid w:val="00DD24C7"/>
    <w:rsid w:val="00DD2B86"/>
    <w:rsid w:val="00DD2E62"/>
    <w:rsid w:val="00DD2EB6"/>
    <w:rsid w:val="00DD385E"/>
    <w:rsid w:val="00DD3F4A"/>
    <w:rsid w:val="00DD40C1"/>
    <w:rsid w:val="00DD42E4"/>
    <w:rsid w:val="00DD4899"/>
    <w:rsid w:val="00DD5552"/>
    <w:rsid w:val="00DD5679"/>
    <w:rsid w:val="00DD5DD3"/>
    <w:rsid w:val="00DD6030"/>
    <w:rsid w:val="00DD6199"/>
    <w:rsid w:val="00DD6234"/>
    <w:rsid w:val="00DD64F3"/>
    <w:rsid w:val="00DD6C04"/>
    <w:rsid w:val="00DD6F77"/>
    <w:rsid w:val="00DD70E9"/>
    <w:rsid w:val="00DD7545"/>
    <w:rsid w:val="00DD75BC"/>
    <w:rsid w:val="00DD770D"/>
    <w:rsid w:val="00DD7936"/>
    <w:rsid w:val="00DD7E11"/>
    <w:rsid w:val="00DE08EE"/>
    <w:rsid w:val="00DE0C6A"/>
    <w:rsid w:val="00DE1855"/>
    <w:rsid w:val="00DE1EAB"/>
    <w:rsid w:val="00DE1F2F"/>
    <w:rsid w:val="00DE2061"/>
    <w:rsid w:val="00DE26EE"/>
    <w:rsid w:val="00DE27FA"/>
    <w:rsid w:val="00DE2A82"/>
    <w:rsid w:val="00DE2B6D"/>
    <w:rsid w:val="00DE2E7D"/>
    <w:rsid w:val="00DE3406"/>
    <w:rsid w:val="00DE37E1"/>
    <w:rsid w:val="00DE3814"/>
    <w:rsid w:val="00DE391D"/>
    <w:rsid w:val="00DE39A1"/>
    <w:rsid w:val="00DE3C60"/>
    <w:rsid w:val="00DE3EED"/>
    <w:rsid w:val="00DE4593"/>
    <w:rsid w:val="00DE4A83"/>
    <w:rsid w:val="00DE4AD5"/>
    <w:rsid w:val="00DE5580"/>
    <w:rsid w:val="00DE5B20"/>
    <w:rsid w:val="00DE5DB5"/>
    <w:rsid w:val="00DE5FF3"/>
    <w:rsid w:val="00DE60E5"/>
    <w:rsid w:val="00DE634F"/>
    <w:rsid w:val="00DE664D"/>
    <w:rsid w:val="00DE6A7B"/>
    <w:rsid w:val="00DE6B0F"/>
    <w:rsid w:val="00DE6C09"/>
    <w:rsid w:val="00DE709A"/>
    <w:rsid w:val="00DE7116"/>
    <w:rsid w:val="00DE75F5"/>
    <w:rsid w:val="00DE76B5"/>
    <w:rsid w:val="00DE7E07"/>
    <w:rsid w:val="00DF004F"/>
    <w:rsid w:val="00DF052F"/>
    <w:rsid w:val="00DF06CB"/>
    <w:rsid w:val="00DF07BA"/>
    <w:rsid w:val="00DF08F2"/>
    <w:rsid w:val="00DF0F35"/>
    <w:rsid w:val="00DF0FF5"/>
    <w:rsid w:val="00DF11FA"/>
    <w:rsid w:val="00DF124D"/>
    <w:rsid w:val="00DF1331"/>
    <w:rsid w:val="00DF13F5"/>
    <w:rsid w:val="00DF194D"/>
    <w:rsid w:val="00DF1B3E"/>
    <w:rsid w:val="00DF1D2E"/>
    <w:rsid w:val="00DF1F77"/>
    <w:rsid w:val="00DF24E3"/>
    <w:rsid w:val="00DF2B33"/>
    <w:rsid w:val="00DF493E"/>
    <w:rsid w:val="00DF49B5"/>
    <w:rsid w:val="00DF49FA"/>
    <w:rsid w:val="00DF4FC6"/>
    <w:rsid w:val="00DF4FCB"/>
    <w:rsid w:val="00DF5491"/>
    <w:rsid w:val="00DF5619"/>
    <w:rsid w:val="00DF5CAB"/>
    <w:rsid w:val="00DF5EDF"/>
    <w:rsid w:val="00DF615A"/>
    <w:rsid w:val="00DF679C"/>
    <w:rsid w:val="00DF6841"/>
    <w:rsid w:val="00DF7114"/>
    <w:rsid w:val="00DF7492"/>
    <w:rsid w:val="00DF75E6"/>
    <w:rsid w:val="00DF7806"/>
    <w:rsid w:val="00DF7D65"/>
    <w:rsid w:val="00DF7F98"/>
    <w:rsid w:val="00DF7FD1"/>
    <w:rsid w:val="00E0005B"/>
    <w:rsid w:val="00E00147"/>
    <w:rsid w:val="00E00672"/>
    <w:rsid w:val="00E0077C"/>
    <w:rsid w:val="00E010D7"/>
    <w:rsid w:val="00E011DC"/>
    <w:rsid w:val="00E013E6"/>
    <w:rsid w:val="00E0165C"/>
    <w:rsid w:val="00E016CB"/>
    <w:rsid w:val="00E01775"/>
    <w:rsid w:val="00E01AC9"/>
    <w:rsid w:val="00E01B79"/>
    <w:rsid w:val="00E02412"/>
    <w:rsid w:val="00E024E6"/>
    <w:rsid w:val="00E0278D"/>
    <w:rsid w:val="00E02A70"/>
    <w:rsid w:val="00E02BC4"/>
    <w:rsid w:val="00E02DC9"/>
    <w:rsid w:val="00E02F19"/>
    <w:rsid w:val="00E032C0"/>
    <w:rsid w:val="00E0380B"/>
    <w:rsid w:val="00E03AF9"/>
    <w:rsid w:val="00E03B96"/>
    <w:rsid w:val="00E045F6"/>
    <w:rsid w:val="00E04A2D"/>
    <w:rsid w:val="00E04B9A"/>
    <w:rsid w:val="00E04FB9"/>
    <w:rsid w:val="00E05408"/>
    <w:rsid w:val="00E055A1"/>
    <w:rsid w:val="00E05EA7"/>
    <w:rsid w:val="00E0691D"/>
    <w:rsid w:val="00E06C3E"/>
    <w:rsid w:val="00E07667"/>
    <w:rsid w:val="00E0773C"/>
    <w:rsid w:val="00E0798C"/>
    <w:rsid w:val="00E07B89"/>
    <w:rsid w:val="00E07FF0"/>
    <w:rsid w:val="00E1021B"/>
    <w:rsid w:val="00E10344"/>
    <w:rsid w:val="00E10ED5"/>
    <w:rsid w:val="00E112B8"/>
    <w:rsid w:val="00E11449"/>
    <w:rsid w:val="00E11642"/>
    <w:rsid w:val="00E11825"/>
    <w:rsid w:val="00E11BF1"/>
    <w:rsid w:val="00E11C50"/>
    <w:rsid w:val="00E11F29"/>
    <w:rsid w:val="00E11F2D"/>
    <w:rsid w:val="00E1210B"/>
    <w:rsid w:val="00E12139"/>
    <w:rsid w:val="00E122D6"/>
    <w:rsid w:val="00E12A55"/>
    <w:rsid w:val="00E12E22"/>
    <w:rsid w:val="00E12E28"/>
    <w:rsid w:val="00E12F0A"/>
    <w:rsid w:val="00E12F43"/>
    <w:rsid w:val="00E13357"/>
    <w:rsid w:val="00E13ED2"/>
    <w:rsid w:val="00E14132"/>
    <w:rsid w:val="00E14A2D"/>
    <w:rsid w:val="00E15278"/>
    <w:rsid w:val="00E15345"/>
    <w:rsid w:val="00E15770"/>
    <w:rsid w:val="00E1581C"/>
    <w:rsid w:val="00E15A39"/>
    <w:rsid w:val="00E15F47"/>
    <w:rsid w:val="00E16353"/>
    <w:rsid w:val="00E1693D"/>
    <w:rsid w:val="00E16A5A"/>
    <w:rsid w:val="00E16D36"/>
    <w:rsid w:val="00E16FE5"/>
    <w:rsid w:val="00E17D2A"/>
    <w:rsid w:val="00E203B7"/>
    <w:rsid w:val="00E20632"/>
    <w:rsid w:val="00E208BE"/>
    <w:rsid w:val="00E20BE5"/>
    <w:rsid w:val="00E20D5E"/>
    <w:rsid w:val="00E20F4E"/>
    <w:rsid w:val="00E212D9"/>
    <w:rsid w:val="00E2144F"/>
    <w:rsid w:val="00E2153E"/>
    <w:rsid w:val="00E215F1"/>
    <w:rsid w:val="00E22D1F"/>
    <w:rsid w:val="00E2345B"/>
    <w:rsid w:val="00E2387C"/>
    <w:rsid w:val="00E238D0"/>
    <w:rsid w:val="00E24251"/>
    <w:rsid w:val="00E246E9"/>
    <w:rsid w:val="00E24A0F"/>
    <w:rsid w:val="00E24E9F"/>
    <w:rsid w:val="00E25E5A"/>
    <w:rsid w:val="00E261BF"/>
    <w:rsid w:val="00E2685B"/>
    <w:rsid w:val="00E26987"/>
    <w:rsid w:val="00E26B36"/>
    <w:rsid w:val="00E26DD6"/>
    <w:rsid w:val="00E26E2C"/>
    <w:rsid w:val="00E2707B"/>
    <w:rsid w:val="00E2749F"/>
    <w:rsid w:val="00E27601"/>
    <w:rsid w:val="00E27645"/>
    <w:rsid w:val="00E30031"/>
    <w:rsid w:val="00E304F8"/>
    <w:rsid w:val="00E30702"/>
    <w:rsid w:val="00E3078D"/>
    <w:rsid w:val="00E3173F"/>
    <w:rsid w:val="00E31C45"/>
    <w:rsid w:val="00E31ED9"/>
    <w:rsid w:val="00E322C8"/>
    <w:rsid w:val="00E325E4"/>
    <w:rsid w:val="00E32727"/>
    <w:rsid w:val="00E32E4C"/>
    <w:rsid w:val="00E3307E"/>
    <w:rsid w:val="00E332C0"/>
    <w:rsid w:val="00E335D0"/>
    <w:rsid w:val="00E33BB0"/>
    <w:rsid w:val="00E33F91"/>
    <w:rsid w:val="00E3430E"/>
    <w:rsid w:val="00E343B2"/>
    <w:rsid w:val="00E346DF"/>
    <w:rsid w:val="00E35012"/>
    <w:rsid w:val="00E351EA"/>
    <w:rsid w:val="00E35607"/>
    <w:rsid w:val="00E367E4"/>
    <w:rsid w:val="00E369CC"/>
    <w:rsid w:val="00E36C0B"/>
    <w:rsid w:val="00E36E4A"/>
    <w:rsid w:val="00E37A29"/>
    <w:rsid w:val="00E4018F"/>
    <w:rsid w:val="00E402D6"/>
    <w:rsid w:val="00E4080F"/>
    <w:rsid w:val="00E408BF"/>
    <w:rsid w:val="00E409D7"/>
    <w:rsid w:val="00E40BCB"/>
    <w:rsid w:val="00E40CAD"/>
    <w:rsid w:val="00E40D08"/>
    <w:rsid w:val="00E411E8"/>
    <w:rsid w:val="00E4138F"/>
    <w:rsid w:val="00E41893"/>
    <w:rsid w:val="00E418A4"/>
    <w:rsid w:val="00E41DB1"/>
    <w:rsid w:val="00E42018"/>
    <w:rsid w:val="00E42245"/>
    <w:rsid w:val="00E42CF2"/>
    <w:rsid w:val="00E43329"/>
    <w:rsid w:val="00E43391"/>
    <w:rsid w:val="00E4362C"/>
    <w:rsid w:val="00E438A6"/>
    <w:rsid w:val="00E43EF7"/>
    <w:rsid w:val="00E43FA9"/>
    <w:rsid w:val="00E44075"/>
    <w:rsid w:val="00E4437D"/>
    <w:rsid w:val="00E4446A"/>
    <w:rsid w:val="00E44579"/>
    <w:rsid w:val="00E451D7"/>
    <w:rsid w:val="00E452AC"/>
    <w:rsid w:val="00E4535C"/>
    <w:rsid w:val="00E4544B"/>
    <w:rsid w:val="00E457EB"/>
    <w:rsid w:val="00E4597D"/>
    <w:rsid w:val="00E45EBE"/>
    <w:rsid w:val="00E463A2"/>
    <w:rsid w:val="00E4650F"/>
    <w:rsid w:val="00E46555"/>
    <w:rsid w:val="00E46EC1"/>
    <w:rsid w:val="00E47325"/>
    <w:rsid w:val="00E4794F"/>
    <w:rsid w:val="00E47D3F"/>
    <w:rsid w:val="00E47DA3"/>
    <w:rsid w:val="00E47FA6"/>
    <w:rsid w:val="00E5062B"/>
    <w:rsid w:val="00E5066E"/>
    <w:rsid w:val="00E50CBB"/>
    <w:rsid w:val="00E50D53"/>
    <w:rsid w:val="00E51A36"/>
    <w:rsid w:val="00E51A61"/>
    <w:rsid w:val="00E51CC1"/>
    <w:rsid w:val="00E520D3"/>
    <w:rsid w:val="00E52385"/>
    <w:rsid w:val="00E524A2"/>
    <w:rsid w:val="00E529B5"/>
    <w:rsid w:val="00E52FC8"/>
    <w:rsid w:val="00E5378B"/>
    <w:rsid w:val="00E53CD7"/>
    <w:rsid w:val="00E541AD"/>
    <w:rsid w:val="00E54354"/>
    <w:rsid w:val="00E54B20"/>
    <w:rsid w:val="00E54BED"/>
    <w:rsid w:val="00E5522B"/>
    <w:rsid w:val="00E556F9"/>
    <w:rsid w:val="00E55844"/>
    <w:rsid w:val="00E55FD5"/>
    <w:rsid w:val="00E56330"/>
    <w:rsid w:val="00E563B1"/>
    <w:rsid w:val="00E56DC3"/>
    <w:rsid w:val="00E56EA4"/>
    <w:rsid w:val="00E570B0"/>
    <w:rsid w:val="00E571B1"/>
    <w:rsid w:val="00E5770B"/>
    <w:rsid w:val="00E57D2F"/>
    <w:rsid w:val="00E6023E"/>
    <w:rsid w:val="00E602E5"/>
    <w:rsid w:val="00E6036E"/>
    <w:rsid w:val="00E603AF"/>
    <w:rsid w:val="00E60991"/>
    <w:rsid w:val="00E60C38"/>
    <w:rsid w:val="00E60C4A"/>
    <w:rsid w:val="00E61336"/>
    <w:rsid w:val="00E61727"/>
    <w:rsid w:val="00E61F88"/>
    <w:rsid w:val="00E620CC"/>
    <w:rsid w:val="00E626B9"/>
    <w:rsid w:val="00E62730"/>
    <w:rsid w:val="00E6284F"/>
    <w:rsid w:val="00E62B8B"/>
    <w:rsid w:val="00E630B8"/>
    <w:rsid w:val="00E63396"/>
    <w:rsid w:val="00E6360A"/>
    <w:rsid w:val="00E636D4"/>
    <w:rsid w:val="00E637AB"/>
    <w:rsid w:val="00E63D29"/>
    <w:rsid w:val="00E64355"/>
    <w:rsid w:val="00E64400"/>
    <w:rsid w:val="00E64567"/>
    <w:rsid w:val="00E645EF"/>
    <w:rsid w:val="00E64615"/>
    <w:rsid w:val="00E6498A"/>
    <w:rsid w:val="00E64A18"/>
    <w:rsid w:val="00E64BB0"/>
    <w:rsid w:val="00E65438"/>
    <w:rsid w:val="00E65979"/>
    <w:rsid w:val="00E65A02"/>
    <w:rsid w:val="00E65B71"/>
    <w:rsid w:val="00E66176"/>
    <w:rsid w:val="00E66452"/>
    <w:rsid w:val="00E66ADA"/>
    <w:rsid w:val="00E674C1"/>
    <w:rsid w:val="00E6750B"/>
    <w:rsid w:val="00E679EF"/>
    <w:rsid w:val="00E7030D"/>
    <w:rsid w:val="00E70748"/>
    <w:rsid w:val="00E707FE"/>
    <w:rsid w:val="00E70E2D"/>
    <w:rsid w:val="00E70FF1"/>
    <w:rsid w:val="00E7125D"/>
    <w:rsid w:val="00E71723"/>
    <w:rsid w:val="00E71926"/>
    <w:rsid w:val="00E71AAB"/>
    <w:rsid w:val="00E71BB4"/>
    <w:rsid w:val="00E7221E"/>
    <w:rsid w:val="00E722BC"/>
    <w:rsid w:val="00E722C6"/>
    <w:rsid w:val="00E72A2C"/>
    <w:rsid w:val="00E72B09"/>
    <w:rsid w:val="00E72BC5"/>
    <w:rsid w:val="00E72DB8"/>
    <w:rsid w:val="00E7309D"/>
    <w:rsid w:val="00E734CB"/>
    <w:rsid w:val="00E735F2"/>
    <w:rsid w:val="00E73615"/>
    <w:rsid w:val="00E73841"/>
    <w:rsid w:val="00E73976"/>
    <w:rsid w:val="00E742CD"/>
    <w:rsid w:val="00E748AF"/>
    <w:rsid w:val="00E74FB6"/>
    <w:rsid w:val="00E75356"/>
    <w:rsid w:val="00E7537E"/>
    <w:rsid w:val="00E754BB"/>
    <w:rsid w:val="00E75896"/>
    <w:rsid w:val="00E75DAE"/>
    <w:rsid w:val="00E75F59"/>
    <w:rsid w:val="00E760DB"/>
    <w:rsid w:val="00E76429"/>
    <w:rsid w:val="00E766E3"/>
    <w:rsid w:val="00E76A87"/>
    <w:rsid w:val="00E76FCF"/>
    <w:rsid w:val="00E771F5"/>
    <w:rsid w:val="00E7793F"/>
    <w:rsid w:val="00E77E4B"/>
    <w:rsid w:val="00E80394"/>
    <w:rsid w:val="00E803FE"/>
    <w:rsid w:val="00E806C3"/>
    <w:rsid w:val="00E80C95"/>
    <w:rsid w:val="00E80CC0"/>
    <w:rsid w:val="00E81313"/>
    <w:rsid w:val="00E81BB1"/>
    <w:rsid w:val="00E81C2E"/>
    <w:rsid w:val="00E81D02"/>
    <w:rsid w:val="00E82145"/>
    <w:rsid w:val="00E8273A"/>
    <w:rsid w:val="00E82A0E"/>
    <w:rsid w:val="00E82DBE"/>
    <w:rsid w:val="00E82EBA"/>
    <w:rsid w:val="00E82FCA"/>
    <w:rsid w:val="00E83232"/>
    <w:rsid w:val="00E833EC"/>
    <w:rsid w:val="00E8356B"/>
    <w:rsid w:val="00E83CF9"/>
    <w:rsid w:val="00E8417B"/>
    <w:rsid w:val="00E8418C"/>
    <w:rsid w:val="00E846B8"/>
    <w:rsid w:val="00E84D1C"/>
    <w:rsid w:val="00E84F38"/>
    <w:rsid w:val="00E852DD"/>
    <w:rsid w:val="00E8549B"/>
    <w:rsid w:val="00E859AB"/>
    <w:rsid w:val="00E85E42"/>
    <w:rsid w:val="00E8606E"/>
    <w:rsid w:val="00E86381"/>
    <w:rsid w:val="00E863CE"/>
    <w:rsid w:val="00E86515"/>
    <w:rsid w:val="00E872A4"/>
    <w:rsid w:val="00E87855"/>
    <w:rsid w:val="00E878EC"/>
    <w:rsid w:val="00E87C3E"/>
    <w:rsid w:val="00E87C51"/>
    <w:rsid w:val="00E87D08"/>
    <w:rsid w:val="00E87F1E"/>
    <w:rsid w:val="00E90436"/>
    <w:rsid w:val="00E9086E"/>
    <w:rsid w:val="00E908CF"/>
    <w:rsid w:val="00E90A69"/>
    <w:rsid w:val="00E91231"/>
    <w:rsid w:val="00E9138E"/>
    <w:rsid w:val="00E9159C"/>
    <w:rsid w:val="00E91649"/>
    <w:rsid w:val="00E91C5B"/>
    <w:rsid w:val="00E92ADF"/>
    <w:rsid w:val="00E933AC"/>
    <w:rsid w:val="00E93F8A"/>
    <w:rsid w:val="00E9497A"/>
    <w:rsid w:val="00E949D3"/>
    <w:rsid w:val="00E94B22"/>
    <w:rsid w:val="00E94D6A"/>
    <w:rsid w:val="00E94DF0"/>
    <w:rsid w:val="00E95199"/>
    <w:rsid w:val="00E953A5"/>
    <w:rsid w:val="00E95466"/>
    <w:rsid w:val="00E957A2"/>
    <w:rsid w:val="00E9584C"/>
    <w:rsid w:val="00E958F1"/>
    <w:rsid w:val="00E959E8"/>
    <w:rsid w:val="00E96455"/>
    <w:rsid w:val="00E965BC"/>
    <w:rsid w:val="00E965ED"/>
    <w:rsid w:val="00E96634"/>
    <w:rsid w:val="00E96855"/>
    <w:rsid w:val="00E975A4"/>
    <w:rsid w:val="00E97FC3"/>
    <w:rsid w:val="00EA0CC4"/>
    <w:rsid w:val="00EA13BF"/>
    <w:rsid w:val="00EA13FD"/>
    <w:rsid w:val="00EA1656"/>
    <w:rsid w:val="00EA1BBB"/>
    <w:rsid w:val="00EA2380"/>
    <w:rsid w:val="00EA2C30"/>
    <w:rsid w:val="00EA2CB7"/>
    <w:rsid w:val="00EA2DD9"/>
    <w:rsid w:val="00EA3435"/>
    <w:rsid w:val="00EA43FC"/>
    <w:rsid w:val="00EA4E49"/>
    <w:rsid w:val="00EA51C2"/>
    <w:rsid w:val="00EA5582"/>
    <w:rsid w:val="00EA5A2A"/>
    <w:rsid w:val="00EA604B"/>
    <w:rsid w:val="00EA60EC"/>
    <w:rsid w:val="00EA6374"/>
    <w:rsid w:val="00EA669D"/>
    <w:rsid w:val="00EA6C55"/>
    <w:rsid w:val="00EA7446"/>
    <w:rsid w:val="00EA7828"/>
    <w:rsid w:val="00EB0679"/>
    <w:rsid w:val="00EB06B1"/>
    <w:rsid w:val="00EB06DD"/>
    <w:rsid w:val="00EB0959"/>
    <w:rsid w:val="00EB0B01"/>
    <w:rsid w:val="00EB0CE3"/>
    <w:rsid w:val="00EB15BE"/>
    <w:rsid w:val="00EB15E4"/>
    <w:rsid w:val="00EB1947"/>
    <w:rsid w:val="00EB1964"/>
    <w:rsid w:val="00EB1DD4"/>
    <w:rsid w:val="00EB2719"/>
    <w:rsid w:val="00EB2801"/>
    <w:rsid w:val="00EB312F"/>
    <w:rsid w:val="00EB33B1"/>
    <w:rsid w:val="00EB35D8"/>
    <w:rsid w:val="00EB367F"/>
    <w:rsid w:val="00EB3716"/>
    <w:rsid w:val="00EB378C"/>
    <w:rsid w:val="00EB3B93"/>
    <w:rsid w:val="00EB3C93"/>
    <w:rsid w:val="00EB3E6F"/>
    <w:rsid w:val="00EB3EF4"/>
    <w:rsid w:val="00EB4056"/>
    <w:rsid w:val="00EB43BA"/>
    <w:rsid w:val="00EB4730"/>
    <w:rsid w:val="00EB4894"/>
    <w:rsid w:val="00EB48D9"/>
    <w:rsid w:val="00EB4FF7"/>
    <w:rsid w:val="00EB503F"/>
    <w:rsid w:val="00EB50FD"/>
    <w:rsid w:val="00EB575F"/>
    <w:rsid w:val="00EB59A8"/>
    <w:rsid w:val="00EB5AA6"/>
    <w:rsid w:val="00EB693F"/>
    <w:rsid w:val="00EB695C"/>
    <w:rsid w:val="00EB6C89"/>
    <w:rsid w:val="00EB6FA6"/>
    <w:rsid w:val="00EB7233"/>
    <w:rsid w:val="00EB7250"/>
    <w:rsid w:val="00EB7436"/>
    <w:rsid w:val="00EB7D3A"/>
    <w:rsid w:val="00EC005A"/>
    <w:rsid w:val="00EC0167"/>
    <w:rsid w:val="00EC0666"/>
    <w:rsid w:val="00EC0B95"/>
    <w:rsid w:val="00EC0CF2"/>
    <w:rsid w:val="00EC12D6"/>
    <w:rsid w:val="00EC20C9"/>
    <w:rsid w:val="00EC2166"/>
    <w:rsid w:val="00EC272E"/>
    <w:rsid w:val="00EC273E"/>
    <w:rsid w:val="00EC475D"/>
    <w:rsid w:val="00EC4876"/>
    <w:rsid w:val="00EC4ED4"/>
    <w:rsid w:val="00EC5042"/>
    <w:rsid w:val="00EC50B7"/>
    <w:rsid w:val="00EC5607"/>
    <w:rsid w:val="00EC5899"/>
    <w:rsid w:val="00EC59A2"/>
    <w:rsid w:val="00EC60A2"/>
    <w:rsid w:val="00EC633F"/>
    <w:rsid w:val="00EC6D09"/>
    <w:rsid w:val="00EC70D3"/>
    <w:rsid w:val="00EC739D"/>
    <w:rsid w:val="00EC79AA"/>
    <w:rsid w:val="00EC7DD8"/>
    <w:rsid w:val="00EC7F35"/>
    <w:rsid w:val="00EC7FA3"/>
    <w:rsid w:val="00ED017D"/>
    <w:rsid w:val="00ED02AB"/>
    <w:rsid w:val="00ED02E6"/>
    <w:rsid w:val="00ED0328"/>
    <w:rsid w:val="00ED04FB"/>
    <w:rsid w:val="00ED0516"/>
    <w:rsid w:val="00ED0619"/>
    <w:rsid w:val="00ED163A"/>
    <w:rsid w:val="00ED17E7"/>
    <w:rsid w:val="00ED1893"/>
    <w:rsid w:val="00ED1D71"/>
    <w:rsid w:val="00ED2544"/>
    <w:rsid w:val="00ED2B7E"/>
    <w:rsid w:val="00ED328D"/>
    <w:rsid w:val="00ED36E6"/>
    <w:rsid w:val="00ED3705"/>
    <w:rsid w:val="00ED3B86"/>
    <w:rsid w:val="00ED417C"/>
    <w:rsid w:val="00ED4351"/>
    <w:rsid w:val="00ED47D4"/>
    <w:rsid w:val="00ED4955"/>
    <w:rsid w:val="00ED4971"/>
    <w:rsid w:val="00ED4AD7"/>
    <w:rsid w:val="00ED4C35"/>
    <w:rsid w:val="00ED5075"/>
    <w:rsid w:val="00ED5115"/>
    <w:rsid w:val="00ED5560"/>
    <w:rsid w:val="00ED56CC"/>
    <w:rsid w:val="00ED585E"/>
    <w:rsid w:val="00ED5A78"/>
    <w:rsid w:val="00ED5E81"/>
    <w:rsid w:val="00ED6083"/>
    <w:rsid w:val="00ED613D"/>
    <w:rsid w:val="00ED65E4"/>
    <w:rsid w:val="00ED6C45"/>
    <w:rsid w:val="00ED6EE6"/>
    <w:rsid w:val="00ED7245"/>
    <w:rsid w:val="00ED726E"/>
    <w:rsid w:val="00ED77DC"/>
    <w:rsid w:val="00ED7BB2"/>
    <w:rsid w:val="00ED7E8C"/>
    <w:rsid w:val="00EE0871"/>
    <w:rsid w:val="00EE0D6E"/>
    <w:rsid w:val="00EE0E5A"/>
    <w:rsid w:val="00EE1058"/>
    <w:rsid w:val="00EE1251"/>
    <w:rsid w:val="00EE130E"/>
    <w:rsid w:val="00EE148B"/>
    <w:rsid w:val="00EE16D8"/>
    <w:rsid w:val="00EE17BB"/>
    <w:rsid w:val="00EE19E7"/>
    <w:rsid w:val="00EE1B54"/>
    <w:rsid w:val="00EE1E16"/>
    <w:rsid w:val="00EE2153"/>
    <w:rsid w:val="00EE23B4"/>
    <w:rsid w:val="00EE2930"/>
    <w:rsid w:val="00EE3150"/>
    <w:rsid w:val="00EE3248"/>
    <w:rsid w:val="00EE3FDA"/>
    <w:rsid w:val="00EE4165"/>
    <w:rsid w:val="00EE44B0"/>
    <w:rsid w:val="00EE4BF8"/>
    <w:rsid w:val="00EE4D62"/>
    <w:rsid w:val="00EE5081"/>
    <w:rsid w:val="00EE5325"/>
    <w:rsid w:val="00EE539B"/>
    <w:rsid w:val="00EE5582"/>
    <w:rsid w:val="00EE564E"/>
    <w:rsid w:val="00EE5771"/>
    <w:rsid w:val="00EE5A01"/>
    <w:rsid w:val="00EE5C21"/>
    <w:rsid w:val="00EE602C"/>
    <w:rsid w:val="00EE60A5"/>
    <w:rsid w:val="00EE62E3"/>
    <w:rsid w:val="00EE6483"/>
    <w:rsid w:val="00EE687D"/>
    <w:rsid w:val="00EE6A95"/>
    <w:rsid w:val="00EE6C36"/>
    <w:rsid w:val="00EE6C44"/>
    <w:rsid w:val="00EE7646"/>
    <w:rsid w:val="00EE7AC0"/>
    <w:rsid w:val="00EE7DF4"/>
    <w:rsid w:val="00EF0218"/>
    <w:rsid w:val="00EF03DA"/>
    <w:rsid w:val="00EF0A7A"/>
    <w:rsid w:val="00EF0C96"/>
    <w:rsid w:val="00EF0D7F"/>
    <w:rsid w:val="00EF1AEC"/>
    <w:rsid w:val="00EF1B43"/>
    <w:rsid w:val="00EF1BB0"/>
    <w:rsid w:val="00EF1C74"/>
    <w:rsid w:val="00EF29F1"/>
    <w:rsid w:val="00EF2A1B"/>
    <w:rsid w:val="00EF2B0C"/>
    <w:rsid w:val="00EF2D67"/>
    <w:rsid w:val="00EF307C"/>
    <w:rsid w:val="00EF312E"/>
    <w:rsid w:val="00EF33CE"/>
    <w:rsid w:val="00EF3511"/>
    <w:rsid w:val="00EF35D4"/>
    <w:rsid w:val="00EF36DF"/>
    <w:rsid w:val="00EF38BF"/>
    <w:rsid w:val="00EF39A3"/>
    <w:rsid w:val="00EF3F7B"/>
    <w:rsid w:val="00EF4515"/>
    <w:rsid w:val="00EF4594"/>
    <w:rsid w:val="00EF4690"/>
    <w:rsid w:val="00EF476C"/>
    <w:rsid w:val="00EF4921"/>
    <w:rsid w:val="00EF4A7B"/>
    <w:rsid w:val="00EF4B8D"/>
    <w:rsid w:val="00EF4D37"/>
    <w:rsid w:val="00EF5501"/>
    <w:rsid w:val="00EF56FD"/>
    <w:rsid w:val="00EF5AEE"/>
    <w:rsid w:val="00EF5C07"/>
    <w:rsid w:val="00EF5EC7"/>
    <w:rsid w:val="00EF61DB"/>
    <w:rsid w:val="00EF695C"/>
    <w:rsid w:val="00EF6D9D"/>
    <w:rsid w:val="00EF732C"/>
    <w:rsid w:val="00EF7677"/>
    <w:rsid w:val="00EF7DCB"/>
    <w:rsid w:val="00EF7F83"/>
    <w:rsid w:val="00F0014F"/>
    <w:rsid w:val="00F0016F"/>
    <w:rsid w:val="00F006A7"/>
    <w:rsid w:val="00F006E4"/>
    <w:rsid w:val="00F00776"/>
    <w:rsid w:val="00F00B43"/>
    <w:rsid w:val="00F00C1D"/>
    <w:rsid w:val="00F00D0D"/>
    <w:rsid w:val="00F00EC4"/>
    <w:rsid w:val="00F00F38"/>
    <w:rsid w:val="00F00FBC"/>
    <w:rsid w:val="00F0132F"/>
    <w:rsid w:val="00F01512"/>
    <w:rsid w:val="00F01771"/>
    <w:rsid w:val="00F01A6C"/>
    <w:rsid w:val="00F01CD3"/>
    <w:rsid w:val="00F01EB6"/>
    <w:rsid w:val="00F0232F"/>
    <w:rsid w:val="00F023C6"/>
    <w:rsid w:val="00F02F7E"/>
    <w:rsid w:val="00F0318D"/>
    <w:rsid w:val="00F0321E"/>
    <w:rsid w:val="00F0361C"/>
    <w:rsid w:val="00F03A7B"/>
    <w:rsid w:val="00F03B86"/>
    <w:rsid w:val="00F03C1E"/>
    <w:rsid w:val="00F03D9C"/>
    <w:rsid w:val="00F03DD6"/>
    <w:rsid w:val="00F04214"/>
    <w:rsid w:val="00F043EF"/>
    <w:rsid w:val="00F05678"/>
    <w:rsid w:val="00F0567D"/>
    <w:rsid w:val="00F05BD3"/>
    <w:rsid w:val="00F06022"/>
    <w:rsid w:val="00F06190"/>
    <w:rsid w:val="00F062D7"/>
    <w:rsid w:val="00F06745"/>
    <w:rsid w:val="00F06B3F"/>
    <w:rsid w:val="00F06C4F"/>
    <w:rsid w:val="00F06F36"/>
    <w:rsid w:val="00F0719A"/>
    <w:rsid w:val="00F072AE"/>
    <w:rsid w:val="00F0730A"/>
    <w:rsid w:val="00F073EA"/>
    <w:rsid w:val="00F07896"/>
    <w:rsid w:val="00F07AC6"/>
    <w:rsid w:val="00F07BA8"/>
    <w:rsid w:val="00F101AC"/>
    <w:rsid w:val="00F1081A"/>
    <w:rsid w:val="00F10C55"/>
    <w:rsid w:val="00F110FA"/>
    <w:rsid w:val="00F11303"/>
    <w:rsid w:val="00F115EC"/>
    <w:rsid w:val="00F12691"/>
    <w:rsid w:val="00F13248"/>
    <w:rsid w:val="00F132A4"/>
    <w:rsid w:val="00F1347B"/>
    <w:rsid w:val="00F13564"/>
    <w:rsid w:val="00F136DD"/>
    <w:rsid w:val="00F13A19"/>
    <w:rsid w:val="00F13BB3"/>
    <w:rsid w:val="00F13D7E"/>
    <w:rsid w:val="00F14047"/>
    <w:rsid w:val="00F1490E"/>
    <w:rsid w:val="00F14AC9"/>
    <w:rsid w:val="00F152D6"/>
    <w:rsid w:val="00F157C8"/>
    <w:rsid w:val="00F1588B"/>
    <w:rsid w:val="00F159B9"/>
    <w:rsid w:val="00F15C7B"/>
    <w:rsid w:val="00F15EA4"/>
    <w:rsid w:val="00F1620C"/>
    <w:rsid w:val="00F17111"/>
    <w:rsid w:val="00F1754F"/>
    <w:rsid w:val="00F1755C"/>
    <w:rsid w:val="00F175FD"/>
    <w:rsid w:val="00F17781"/>
    <w:rsid w:val="00F178BE"/>
    <w:rsid w:val="00F17E1D"/>
    <w:rsid w:val="00F17FF9"/>
    <w:rsid w:val="00F20462"/>
    <w:rsid w:val="00F2065D"/>
    <w:rsid w:val="00F21B8C"/>
    <w:rsid w:val="00F21C72"/>
    <w:rsid w:val="00F21D0B"/>
    <w:rsid w:val="00F2210D"/>
    <w:rsid w:val="00F2216F"/>
    <w:rsid w:val="00F22578"/>
    <w:rsid w:val="00F23134"/>
    <w:rsid w:val="00F238D2"/>
    <w:rsid w:val="00F23AAB"/>
    <w:rsid w:val="00F2405E"/>
    <w:rsid w:val="00F2411C"/>
    <w:rsid w:val="00F24281"/>
    <w:rsid w:val="00F2450A"/>
    <w:rsid w:val="00F2465C"/>
    <w:rsid w:val="00F249D2"/>
    <w:rsid w:val="00F24C32"/>
    <w:rsid w:val="00F25109"/>
    <w:rsid w:val="00F25560"/>
    <w:rsid w:val="00F2581F"/>
    <w:rsid w:val="00F263D9"/>
    <w:rsid w:val="00F26475"/>
    <w:rsid w:val="00F26721"/>
    <w:rsid w:val="00F26865"/>
    <w:rsid w:val="00F26967"/>
    <w:rsid w:val="00F26D11"/>
    <w:rsid w:val="00F27156"/>
    <w:rsid w:val="00F2758F"/>
    <w:rsid w:val="00F279B8"/>
    <w:rsid w:val="00F27B13"/>
    <w:rsid w:val="00F3033A"/>
    <w:rsid w:val="00F3074E"/>
    <w:rsid w:val="00F30936"/>
    <w:rsid w:val="00F3115F"/>
    <w:rsid w:val="00F311BF"/>
    <w:rsid w:val="00F3175A"/>
    <w:rsid w:val="00F31CCE"/>
    <w:rsid w:val="00F31CD9"/>
    <w:rsid w:val="00F32149"/>
    <w:rsid w:val="00F3231E"/>
    <w:rsid w:val="00F32D6D"/>
    <w:rsid w:val="00F33681"/>
    <w:rsid w:val="00F3370B"/>
    <w:rsid w:val="00F33BD9"/>
    <w:rsid w:val="00F34707"/>
    <w:rsid w:val="00F34A91"/>
    <w:rsid w:val="00F34DCE"/>
    <w:rsid w:val="00F34F03"/>
    <w:rsid w:val="00F35039"/>
    <w:rsid w:val="00F35101"/>
    <w:rsid w:val="00F351DC"/>
    <w:rsid w:val="00F35BFD"/>
    <w:rsid w:val="00F35EBE"/>
    <w:rsid w:val="00F364A6"/>
    <w:rsid w:val="00F36EE2"/>
    <w:rsid w:val="00F3726A"/>
    <w:rsid w:val="00F37993"/>
    <w:rsid w:val="00F37DFB"/>
    <w:rsid w:val="00F404A2"/>
    <w:rsid w:val="00F40F05"/>
    <w:rsid w:val="00F41BA7"/>
    <w:rsid w:val="00F425B0"/>
    <w:rsid w:val="00F42613"/>
    <w:rsid w:val="00F427EB"/>
    <w:rsid w:val="00F42A7B"/>
    <w:rsid w:val="00F42B39"/>
    <w:rsid w:val="00F42C9B"/>
    <w:rsid w:val="00F43160"/>
    <w:rsid w:val="00F4323A"/>
    <w:rsid w:val="00F43817"/>
    <w:rsid w:val="00F43A48"/>
    <w:rsid w:val="00F43A75"/>
    <w:rsid w:val="00F43C2F"/>
    <w:rsid w:val="00F443C7"/>
    <w:rsid w:val="00F4444E"/>
    <w:rsid w:val="00F44657"/>
    <w:rsid w:val="00F44B7B"/>
    <w:rsid w:val="00F455F3"/>
    <w:rsid w:val="00F45CE7"/>
    <w:rsid w:val="00F45E2C"/>
    <w:rsid w:val="00F465B1"/>
    <w:rsid w:val="00F46756"/>
    <w:rsid w:val="00F46788"/>
    <w:rsid w:val="00F46A12"/>
    <w:rsid w:val="00F46A5E"/>
    <w:rsid w:val="00F46E18"/>
    <w:rsid w:val="00F47145"/>
    <w:rsid w:val="00F474C4"/>
    <w:rsid w:val="00F4755B"/>
    <w:rsid w:val="00F47572"/>
    <w:rsid w:val="00F477DE"/>
    <w:rsid w:val="00F47A07"/>
    <w:rsid w:val="00F47A7E"/>
    <w:rsid w:val="00F47E33"/>
    <w:rsid w:val="00F502B4"/>
    <w:rsid w:val="00F50475"/>
    <w:rsid w:val="00F50A4F"/>
    <w:rsid w:val="00F51096"/>
    <w:rsid w:val="00F51413"/>
    <w:rsid w:val="00F515C9"/>
    <w:rsid w:val="00F51781"/>
    <w:rsid w:val="00F517B7"/>
    <w:rsid w:val="00F517FC"/>
    <w:rsid w:val="00F51994"/>
    <w:rsid w:val="00F51EE6"/>
    <w:rsid w:val="00F5247C"/>
    <w:rsid w:val="00F525CC"/>
    <w:rsid w:val="00F52858"/>
    <w:rsid w:val="00F52EC4"/>
    <w:rsid w:val="00F5331A"/>
    <w:rsid w:val="00F5354A"/>
    <w:rsid w:val="00F53720"/>
    <w:rsid w:val="00F53740"/>
    <w:rsid w:val="00F53817"/>
    <w:rsid w:val="00F538D8"/>
    <w:rsid w:val="00F53E5F"/>
    <w:rsid w:val="00F5406D"/>
    <w:rsid w:val="00F540C7"/>
    <w:rsid w:val="00F54129"/>
    <w:rsid w:val="00F5419A"/>
    <w:rsid w:val="00F545E0"/>
    <w:rsid w:val="00F545EE"/>
    <w:rsid w:val="00F546FD"/>
    <w:rsid w:val="00F54E1E"/>
    <w:rsid w:val="00F5501A"/>
    <w:rsid w:val="00F55251"/>
    <w:rsid w:val="00F553C5"/>
    <w:rsid w:val="00F5549C"/>
    <w:rsid w:val="00F558AF"/>
    <w:rsid w:val="00F55B06"/>
    <w:rsid w:val="00F55CAB"/>
    <w:rsid w:val="00F55DA0"/>
    <w:rsid w:val="00F55DF1"/>
    <w:rsid w:val="00F55EF3"/>
    <w:rsid w:val="00F56007"/>
    <w:rsid w:val="00F564B1"/>
    <w:rsid w:val="00F56502"/>
    <w:rsid w:val="00F566AB"/>
    <w:rsid w:val="00F568AA"/>
    <w:rsid w:val="00F574D8"/>
    <w:rsid w:val="00F575E8"/>
    <w:rsid w:val="00F57956"/>
    <w:rsid w:val="00F57CEB"/>
    <w:rsid w:val="00F57E29"/>
    <w:rsid w:val="00F60330"/>
    <w:rsid w:val="00F6039C"/>
    <w:rsid w:val="00F609A0"/>
    <w:rsid w:val="00F60E04"/>
    <w:rsid w:val="00F61870"/>
    <w:rsid w:val="00F61893"/>
    <w:rsid w:val="00F61E8B"/>
    <w:rsid w:val="00F6288D"/>
    <w:rsid w:val="00F62E6F"/>
    <w:rsid w:val="00F630AF"/>
    <w:rsid w:val="00F632B5"/>
    <w:rsid w:val="00F633CD"/>
    <w:rsid w:val="00F63680"/>
    <w:rsid w:val="00F63A3C"/>
    <w:rsid w:val="00F63D77"/>
    <w:rsid w:val="00F63F6B"/>
    <w:rsid w:val="00F63FDF"/>
    <w:rsid w:val="00F64096"/>
    <w:rsid w:val="00F64964"/>
    <w:rsid w:val="00F64AEE"/>
    <w:rsid w:val="00F64D2F"/>
    <w:rsid w:val="00F6509A"/>
    <w:rsid w:val="00F656BF"/>
    <w:rsid w:val="00F6608E"/>
    <w:rsid w:val="00F6620B"/>
    <w:rsid w:val="00F6625F"/>
    <w:rsid w:val="00F66631"/>
    <w:rsid w:val="00F66722"/>
    <w:rsid w:val="00F66B82"/>
    <w:rsid w:val="00F66C8A"/>
    <w:rsid w:val="00F676F9"/>
    <w:rsid w:val="00F6775D"/>
    <w:rsid w:val="00F677EA"/>
    <w:rsid w:val="00F679DE"/>
    <w:rsid w:val="00F67D52"/>
    <w:rsid w:val="00F67DD2"/>
    <w:rsid w:val="00F70308"/>
    <w:rsid w:val="00F703BD"/>
    <w:rsid w:val="00F705EC"/>
    <w:rsid w:val="00F70602"/>
    <w:rsid w:val="00F70669"/>
    <w:rsid w:val="00F70F5B"/>
    <w:rsid w:val="00F7165F"/>
    <w:rsid w:val="00F71A12"/>
    <w:rsid w:val="00F71B1C"/>
    <w:rsid w:val="00F71B30"/>
    <w:rsid w:val="00F721F0"/>
    <w:rsid w:val="00F72482"/>
    <w:rsid w:val="00F72572"/>
    <w:rsid w:val="00F72977"/>
    <w:rsid w:val="00F73476"/>
    <w:rsid w:val="00F7348B"/>
    <w:rsid w:val="00F73E97"/>
    <w:rsid w:val="00F73FA8"/>
    <w:rsid w:val="00F740C0"/>
    <w:rsid w:val="00F74539"/>
    <w:rsid w:val="00F74863"/>
    <w:rsid w:val="00F748AA"/>
    <w:rsid w:val="00F74E51"/>
    <w:rsid w:val="00F74F33"/>
    <w:rsid w:val="00F76162"/>
    <w:rsid w:val="00F761D4"/>
    <w:rsid w:val="00F764D0"/>
    <w:rsid w:val="00F764E9"/>
    <w:rsid w:val="00F76590"/>
    <w:rsid w:val="00F7665B"/>
    <w:rsid w:val="00F7688B"/>
    <w:rsid w:val="00F76C10"/>
    <w:rsid w:val="00F77977"/>
    <w:rsid w:val="00F77A4A"/>
    <w:rsid w:val="00F77A59"/>
    <w:rsid w:val="00F77DB5"/>
    <w:rsid w:val="00F80764"/>
    <w:rsid w:val="00F807EB"/>
    <w:rsid w:val="00F808CE"/>
    <w:rsid w:val="00F80A72"/>
    <w:rsid w:val="00F810C3"/>
    <w:rsid w:val="00F81370"/>
    <w:rsid w:val="00F816C4"/>
    <w:rsid w:val="00F81A28"/>
    <w:rsid w:val="00F81E5A"/>
    <w:rsid w:val="00F81FDD"/>
    <w:rsid w:val="00F821E8"/>
    <w:rsid w:val="00F82A66"/>
    <w:rsid w:val="00F82DD4"/>
    <w:rsid w:val="00F838D2"/>
    <w:rsid w:val="00F83BCA"/>
    <w:rsid w:val="00F83BCC"/>
    <w:rsid w:val="00F84160"/>
    <w:rsid w:val="00F844F2"/>
    <w:rsid w:val="00F84799"/>
    <w:rsid w:val="00F84C50"/>
    <w:rsid w:val="00F85925"/>
    <w:rsid w:val="00F85B3C"/>
    <w:rsid w:val="00F85F3E"/>
    <w:rsid w:val="00F865DF"/>
    <w:rsid w:val="00F86F69"/>
    <w:rsid w:val="00F871F7"/>
    <w:rsid w:val="00F8758B"/>
    <w:rsid w:val="00F87700"/>
    <w:rsid w:val="00F87947"/>
    <w:rsid w:val="00F87F06"/>
    <w:rsid w:val="00F900C1"/>
    <w:rsid w:val="00F9096C"/>
    <w:rsid w:val="00F90AC7"/>
    <w:rsid w:val="00F90CEE"/>
    <w:rsid w:val="00F9153D"/>
    <w:rsid w:val="00F91ADB"/>
    <w:rsid w:val="00F92078"/>
    <w:rsid w:val="00F9219F"/>
    <w:rsid w:val="00F924AD"/>
    <w:rsid w:val="00F92F39"/>
    <w:rsid w:val="00F93032"/>
    <w:rsid w:val="00F930BC"/>
    <w:rsid w:val="00F934ED"/>
    <w:rsid w:val="00F939C1"/>
    <w:rsid w:val="00F93A88"/>
    <w:rsid w:val="00F93D58"/>
    <w:rsid w:val="00F9403D"/>
    <w:rsid w:val="00F942DB"/>
    <w:rsid w:val="00F94560"/>
    <w:rsid w:val="00F946C9"/>
    <w:rsid w:val="00F94C1F"/>
    <w:rsid w:val="00F94FCA"/>
    <w:rsid w:val="00F9509C"/>
    <w:rsid w:val="00F95449"/>
    <w:rsid w:val="00F9562F"/>
    <w:rsid w:val="00F956D6"/>
    <w:rsid w:val="00F956F9"/>
    <w:rsid w:val="00F957B7"/>
    <w:rsid w:val="00F95A96"/>
    <w:rsid w:val="00F95B1C"/>
    <w:rsid w:val="00F95F88"/>
    <w:rsid w:val="00F960CD"/>
    <w:rsid w:val="00F96281"/>
    <w:rsid w:val="00F9680A"/>
    <w:rsid w:val="00F96869"/>
    <w:rsid w:val="00F9686B"/>
    <w:rsid w:val="00F96A38"/>
    <w:rsid w:val="00F96B17"/>
    <w:rsid w:val="00F96CBA"/>
    <w:rsid w:val="00F96E18"/>
    <w:rsid w:val="00F9701E"/>
    <w:rsid w:val="00F9751F"/>
    <w:rsid w:val="00F97943"/>
    <w:rsid w:val="00F97E6C"/>
    <w:rsid w:val="00FA0351"/>
    <w:rsid w:val="00FA0F6F"/>
    <w:rsid w:val="00FA1134"/>
    <w:rsid w:val="00FA135C"/>
    <w:rsid w:val="00FA16B9"/>
    <w:rsid w:val="00FA1726"/>
    <w:rsid w:val="00FA1980"/>
    <w:rsid w:val="00FA1D87"/>
    <w:rsid w:val="00FA284D"/>
    <w:rsid w:val="00FA296B"/>
    <w:rsid w:val="00FA2FFA"/>
    <w:rsid w:val="00FA3470"/>
    <w:rsid w:val="00FA3B3A"/>
    <w:rsid w:val="00FA42D5"/>
    <w:rsid w:val="00FA45E6"/>
    <w:rsid w:val="00FA4688"/>
    <w:rsid w:val="00FA48B7"/>
    <w:rsid w:val="00FA5060"/>
    <w:rsid w:val="00FA50F9"/>
    <w:rsid w:val="00FA5574"/>
    <w:rsid w:val="00FA5580"/>
    <w:rsid w:val="00FA558C"/>
    <w:rsid w:val="00FA5B47"/>
    <w:rsid w:val="00FA5C3E"/>
    <w:rsid w:val="00FA6138"/>
    <w:rsid w:val="00FA6649"/>
    <w:rsid w:val="00FA66B1"/>
    <w:rsid w:val="00FA6982"/>
    <w:rsid w:val="00FA6FDB"/>
    <w:rsid w:val="00FA7140"/>
    <w:rsid w:val="00FA7211"/>
    <w:rsid w:val="00FA72E3"/>
    <w:rsid w:val="00FA7CC5"/>
    <w:rsid w:val="00FA7D6D"/>
    <w:rsid w:val="00FA7E55"/>
    <w:rsid w:val="00FA7F80"/>
    <w:rsid w:val="00FB01A0"/>
    <w:rsid w:val="00FB08FC"/>
    <w:rsid w:val="00FB0D95"/>
    <w:rsid w:val="00FB23A3"/>
    <w:rsid w:val="00FB26F2"/>
    <w:rsid w:val="00FB270D"/>
    <w:rsid w:val="00FB2909"/>
    <w:rsid w:val="00FB2C62"/>
    <w:rsid w:val="00FB2F0D"/>
    <w:rsid w:val="00FB32B9"/>
    <w:rsid w:val="00FB38F2"/>
    <w:rsid w:val="00FB3B9A"/>
    <w:rsid w:val="00FB435C"/>
    <w:rsid w:val="00FB4575"/>
    <w:rsid w:val="00FB45F6"/>
    <w:rsid w:val="00FB4B19"/>
    <w:rsid w:val="00FB4CDD"/>
    <w:rsid w:val="00FB5287"/>
    <w:rsid w:val="00FB5325"/>
    <w:rsid w:val="00FB5789"/>
    <w:rsid w:val="00FB5B35"/>
    <w:rsid w:val="00FB62AA"/>
    <w:rsid w:val="00FB6858"/>
    <w:rsid w:val="00FB6928"/>
    <w:rsid w:val="00FB6AB1"/>
    <w:rsid w:val="00FB6EB9"/>
    <w:rsid w:val="00FB6ECD"/>
    <w:rsid w:val="00FB6F2E"/>
    <w:rsid w:val="00FB6F82"/>
    <w:rsid w:val="00FB7190"/>
    <w:rsid w:val="00FB731C"/>
    <w:rsid w:val="00FB7687"/>
    <w:rsid w:val="00FB76C8"/>
    <w:rsid w:val="00FB76E5"/>
    <w:rsid w:val="00FB7A17"/>
    <w:rsid w:val="00FC030F"/>
    <w:rsid w:val="00FC092D"/>
    <w:rsid w:val="00FC0D64"/>
    <w:rsid w:val="00FC137A"/>
    <w:rsid w:val="00FC158F"/>
    <w:rsid w:val="00FC1D68"/>
    <w:rsid w:val="00FC1E65"/>
    <w:rsid w:val="00FC2119"/>
    <w:rsid w:val="00FC27B6"/>
    <w:rsid w:val="00FC37C5"/>
    <w:rsid w:val="00FC3893"/>
    <w:rsid w:val="00FC3BC2"/>
    <w:rsid w:val="00FC3D1F"/>
    <w:rsid w:val="00FC426A"/>
    <w:rsid w:val="00FC4326"/>
    <w:rsid w:val="00FC4B88"/>
    <w:rsid w:val="00FC4C25"/>
    <w:rsid w:val="00FC4F30"/>
    <w:rsid w:val="00FC5426"/>
    <w:rsid w:val="00FC5AD5"/>
    <w:rsid w:val="00FC5BF2"/>
    <w:rsid w:val="00FC5D55"/>
    <w:rsid w:val="00FC5E15"/>
    <w:rsid w:val="00FC5F7A"/>
    <w:rsid w:val="00FC6103"/>
    <w:rsid w:val="00FC6371"/>
    <w:rsid w:val="00FC657E"/>
    <w:rsid w:val="00FC6872"/>
    <w:rsid w:val="00FC6B31"/>
    <w:rsid w:val="00FC6C2F"/>
    <w:rsid w:val="00FC6C40"/>
    <w:rsid w:val="00FC6D65"/>
    <w:rsid w:val="00FC736F"/>
    <w:rsid w:val="00FC7D05"/>
    <w:rsid w:val="00FC7E74"/>
    <w:rsid w:val="00FD020F"/>
    <w:rsid w:val="00FD04E9"/>
    <w:rsid w:val="00FD070C"/>
    <w:rsid w:val="00FD09EE"/>
    <w:rsid w:val="00FD0BD2"/>
    <w:rsid w:val="00FD1304"/>
    <w:rsid w:val="00FD13FA"/>
    <w:rsid w:val="00FD1421"/>
    <w:rsid w:val="00FD19EA"/>
    <w:rsid w:val="00FD1FF2"/>
    <w:rsid w:val="00FD24E5"/>
    <w:rsid w:val="00FD2986"/>
    <w:rsid w:val="00FD31E6"/>
    <w:rsid w:val="00FD3590"/>
    <w:rsid w:val="00FD3B30"/>
    <w:rsid w:val="00FD41D8"/>
    <w:rsid w:val="00FD437B"/>
    <w:rsid w:val="00FD446E"/>
    <w:rsid w:val="00FD4626"/>
    <w:rsid w:val="00FD4881"/>
    <w:rsid w:val="00FD5525"/>
    <w:rsid w:val="00FD5553"/>
    <w:rsid w:val="00FD56F5"/>
    <w:rsid w:val="00FD58D9"/>
    <w:rsid w:val="00FD5B0B"/>
    <w:rsid w:val="00FD5C08"/>
    <w:rsid w:val="00FD5CF6"/>
    <w:rsid w:val="00FD60F3"/>
    <w:rsid w:val="00FD6209"/>
    <w:rsid w:val="00FD6996"/>
    <w:rsid w:val="00FD7798"/>
    <w:rsid w:val="00FD7917"/>
    <w:rsid w:val="00FD7B33"/>
    <w:rsid w:val="00FD7CC4"/>
    <w:rsid w:val="00FD7EC9"/>
    <w:rsid w:val="00FE036D"/>
    <w:rsid w:val="00FE0B2E"/>
    <w:rsid w:val="00FE14EC"/>
    <w:rsid w:val="00FE1887"/>
    <w:rsid w:val="00FE1ECC"/>
    <w:rsid w:val="00FE2122"/>
    <w:rsid w:val="00FE23B6"/>
    <w:rsid w:val="00FE29AA"/>
    <w:rsid w:val="00FE2D10"/>
    <w:rsid w:val="00FE3067"/>
    <w:rsid w:val="00FE3957"/>
    <w:rsid w:val="00FE3A5A"/>
    <w:rsid w:val="00FE3EC2"/>
    <w:rsid w:val="00FE3F6B"/>
    <w:rsid w:val="00FE4003"/>
    <w:rsid w:val="00FE4E99"/>
    <w:rsid w:val="00FE519B"/>
    <w:rsid w:val="00FE53A1"/>
    <w:rsid w:val="00FE5673"/>
    <w:rsid w:val="00FE5866"/>
    <w:rsid w:val="00FE60CA"/>
    <w:rsid w:val="00FE60D6"/>
    <w:rsid w:val="00FE692B"/>
    <w:rsid w:val="00FE6AC5"/>
    <w:rsid w:val="00FE6D55"/>
    <w:rsid w:val="00FE6E8C"/>
    <w:rsid w:val="00FE6EA1"/>
    <w:rsid w:val="00FE6F14"/>
    <w:rsid w:val="00FE7437"/>
    <w:rsid w:val="00FE799B"/>
    <w:rsid w:val="00FE7EBD"/>
    <w:rsid w:val="00FF09D0"/>
    <w:rsid w:val="00FF0A58"/>
    <w:rsid w:val="00FF0A75"/>
    <w:rsid w:val="00FF0FBF"/>
    <w:rsid w:val="00FF1241"/>
    <w:rsid w:val="00FF14E7"/>
    <w:rsid w:val="00FF1892"/>
    <w:rsid w:val="00FF1915"/>
    <w:rsid w:val="00FF198C"/>
    <w:rsid w:val="00FF1A9B"/>
    <w:rsid w:val="00FF2C6E"/>
    <w:rsid w:val="00FF2E3D"/>
    <w:rsid w:val="00FF32FB"/>
    <w:rsid w:val="00FF3986"/>
    <w:rsid w:val="00FF3A27"/>
    <w:rsid w:val="00FF3AB2"/>
    <w:rsid w:val="00FF3CB7"/>
    <w:rsid w:val="00FF3F46"/>
    <w:rsid w:val="00FF409C"/>
    <w:rsid w:val="00FF43D5"/>
    <w:rsid w:val="00FF4FEE"/>
    <w:rsid w:val="00FF51DB"/>
    <w:rsid w:val="00FF52F7"/>
    <w:rsid w:val="00FF5417"/>
    <w:rsid w:val="00FF5869"/>
    <w:rsid w:val="00FF5ADC"/>
    <w:rsid w:val="00FF5B3D"/>
    <w:rsid w:val="00FF5C6B"/>
    <w:rsid w:val="00FF5CAC"/>
    <w:rsid w:val="00FF5EEB"/>
    <w:rsid w:val="00FF6186"/>
    <w:rsid w:val="00FF65BC"/>
    <w:rsid w:val="00FF6A62"/>
    <w:rsid w:val="00FF6B1B"/>
    <w:rsid w:val="00FF703D"/>
    <w:rsid w:val="00FF711A"/>
    <w:rsid w:val="00FF7128"/>
    <w:rsid w:val="00FF7144"/>
    <w:rsid w:val="00FF7151"/>
    <w:rsid w:val="00FF71DE"/>
    <w:rsid w:val="00FF7592"/>
    <w:rsid w:val="00FF770B"/>
    <w:rsid w:val="00FF78EA"/>
    <w:rsid w:val="00FF7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o:shapedefaults>
    <o:shapelayout v:ext="edit">
      <o:idmap v:ext="edit" data="2"/>
    </o:shapelayout>
  </w:shapeDefaults>
  <w:decimalSymbol w:val="."/>
  <w:listSeparator w:val=","/>
  <w14:docId w14:val="1080B175"/>
  <w15:docId w15:val="{28194E0D-917B-4650-81B0-1C6AE42C3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021E"/>
    <w:rPr>
      <w:rFonts w:ascii="Arial" w:hAnsi="Arial"/>
      <w:sz w:val="19"/>
      <w:szCs w:val="24"/>
    </w:rPr>
  </w:style>
  <w:style w:type="paragraph" w:styleId="Heading1">
    <w:name w:val="heading 1"/>
    <w:basedOn w:val="Normal"/>
    <w:next w:val="Normal"/>
    <w:link w:val="Heading1Char"/>
    <w:qFormat/>
    <w:rsid w:val="00F96869"/>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semiHidden/>
    <w:unhideWhenUsed/>
    <w:qFormat/>
    <w:rsid w:val="009661D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6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16A5A"/>
    <w:pPr>
      <w:tabs>
        <w:tab w:val="center" w:pos="4153"/>
        <w:tab w:val="right" w:pos="8306"/>
      </w:tabs>
    </w:pPr>
  </w:style>
  <w:style w:type="paragraph" w:styleId="Footer">
    <w:name w:val="footer"/>
    <w:basedOn w:val="Normal"/>
    <w:rsid w:val="00E16A5A"/>
    <w:pPr>
      <w:tabs>
        <w:tab w:val="center" w:pos="4153"/>
        <w:tab w:val="right" w:pos="8306"/>
      </w:tabs>
    </w:pPr>
  </w:style>
  <w:style w:type="character" w:styleId="Hyperlink">
    <w:name w:val="Hyperlink"/>
    <w:rsid w:val="00C61CDA"/>
    <w:rPr>
      <w:rFonts w:ascii="Verdana" w:hAnsi="Verdana"/>
      <w:color w:val="000080"/>
      <w:sz w:val="18"/>
      <w:szCs w:val="18"/>
      <w:u w:val="single" w:color="000080"/>
    </w:rPr>
  </w:style>
  <w:style w:type="character" w:styleId="FollowedHyperlink">
    <w:name w:val="FollowedHyperlink"/>
    <w:rsid w:val="00C61CDA"/>
    <w:rPr>
      <w:rFonts w:ascii="Verdana" w:hAnsi="Verdana"/>
      <w:color w:val="800080"/>
      <w:sz w:val="18"/>
      <w:szCs w:val="18"/>
      <w:u w:val="single" w:color="800080"/>
    </w:rPr>
  </w:style>
  <w:style w:type="paragraph" w:styleId="BalloonText">
    <w:name w:val="Balloon Text"/>
    <w:basedOn w:val="Normal"/>
    <w:semiHidden/>
    <w:rsid w:val="00B53715"/>
    <w:rPr>
      <w:rFonts w:ascii="Tahoma" w:hAnsi="Tahoma" w:cs="Tahoma"/>
      <w:sz w:val="16"/>
      <w:szCs w:val="16"/>
    </w:rPr>
  </w:style>
  <w:style w:type="paragraph" w:customStyle="1" w:styleId="Default">
    <w:name w:val="Default"/>
    <w:rsid w:val="0076397D"/>
    <w:pPr>
      <w:autoSpaceDE w:val="0"/>
      <w:autoSpaceDN w:val="0"/>
      <w:adjustRightInd w:val="0"/>
    </w:pPr>
    <w:rPr>
      <w:rFonts w:ascii="Verdana" w:hAnsi="Verdana" w:cs="Verdana"/>
      <w:color w:val="000000"/>
      <w:sz w:val="24"/>
      <w:szCs w:val="24"/>
    </w:rPr>
  </w:style>
  <w:style w:type="character" w:styleId="CommentReference">
    <w:name w:val="annotation reference"/>
    <w:rsid w:val="00C273F9"/>
    <w:rPr>
      <w:sz w:val="16"/>
      <w:szCs w:val="16"/>
    </w:rPr>
  </w:style>
  <w:style w:type="paragraph" w:styleId="CommentText">
    <w:name w:val="annotation text"/>
    <w:basedOn w:val="Normal"/>
    <w:link w:val="CommentTextChar"/>
    <w:rsid w:val="00C273F9"/>
    <w:rPr>
      <w:sz w:val="20"/>
      <w:szCs w:val="20"/>
    </w:rPr>
  </w:style>
  <w:style w:type="character" w:customStyle="1" w:styleId="CommentTextChar">
    <w:name w:val="Comment Text Char"/>
    <w:basedOn w:val="DefaultParagraphFont"/>
    <w:link w:val="CommentText"/>
    <w:rsid w:val="00C273F9"/>
  </w:style>
  <w:style w:type="paragraph" w:styleId="CommentSubject">
    <w:name w:val="annotation subject"/>
    <w:basedOn w:val="CommentText"/>
    <w:next w:val="CommentText"/>
    <w:link w:val="CommentSubjectChar"/>
    <w:rsid w:val="00C273F9"/>
    <w:rPr>
      <w:b/>
      <w:bCs/>
    </w:rPr>
  </w:style>
  <w:style w:type="character" w:customStyle="1" w:styleId="CommentSubjectChar">
    <w:name w:val="Comment Subject Char"/>
    <w:link w:val="CommentSubject"/>
    <w:rsid w:val="00C273F9"/>
    <w:rPr>
      <w:b/>
      <w:bCs/>
    </w:rPr>
  </w:style>
  <w:style w:type="character" w:customStyle="1" w:styleId="Heading3Char">
    <w:name w:val="Heading 3 Char"/>
    <w:link w:val="Heading3"/>
    <w:semiHidden/>
    <w:rsid w:val="009661D0"/>
    <w:rPr>
      <w:rFonts w:ascii="Cambria" w:eastAsia="Times New Roman" w:hAnsi="Cambria" w:cs="Times New Roman"/>
      <w:b/>
      <w:bCs/>
      <w:sz w:val="26"/>
      <w:szCs w:val="26"/>
    </w:rPr>
  </w:style>
  <w:style w:type="character" w:customStyle="1" w:styleId="Heading1Char">
    <w:name w:val="Heading 1 Char"/>
    <w:link w:val="Heading1"/>
    <w:rsid w:val="00F96869"/>
    <w:rPr>
      <w:rFonts w:ascii="Cambria" w:eastAsia="Times New Roman" w:hAnsi="Cambria" w:cs="Times New Roman"/>
      <w:b/>
      <w:bCs/>
      <w:kern w:val="32"/>
      <w:sz w:val="32"/>
      <w:szCs w:val="32"/>
    </w:rPr>
  </w:style>
  <w:style w:type="paragraph" w:customStyle="1" w:styleId="Explanatorytext">
    <w:name w:val="Explanatory text"/>
    <w:basedOn w:val="Normal"/>
    <w:link w:val="ExplanatorytextChar"/>
    <w:qFormat/>
    <w:rsid w:val="00CD021E"/>
    <w:pPr>
      <w:tabs>
        <w:tab w:val="center" w:pos="3152"/>
      </w:tabs>
    </w:pPr>
    <w:rPr>
      <w:rFonts w:cs="Arial"/>
      <w:sz w:val="16"/>
      <w:szCs w:val="19"/>
      <w:lang w:val="en-US"/>
    </w:rPr>
  </w:style>
  <w:style w:type="character" w:customStyle="1" w:styleId="ExplanatorytextChar">
    <w:name w:val="Explanatory text Char"/>
    <w:basedOn w:val="DefaultParagraphFont"/>
    <w:link w:val="Explanatorytext"/>
    <w:rsid w:val="00CD021E"/>
    <w:rPr>
      <w:rFonts w:ascii="Arial" w:hAnsi="Arial" w:cs="Arial"/>
      <w:sz w:val="16"/>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2655">
      <w:bodyDiv w:val="1"/>
      <w:marLeft w:val="0"/>
      <w:marRight w:val="0"/>
      <w:marTop w:val="0"/>
      <w:marBottom w:val="0"/>
      <w:divBdr>
        <w:top w:val="none" w:sz="0" w:space="0" w:color="auto"/>
        <w:left w:val="none" w:sz="0" w:space="0" w:color="auto"/>
        <w:bottom w:val="none" w:sz="0" w:space="0" w:color="auto"/>
        <w:right w:val="none" w:sz="0" w:space="0" w:color="auto"/>
      </w:divBdr>
    </w:div>
    <w:div w:id="18940625">
      <w:bodyDiv w:val="1"/>
      <w:marLeft w:val="0"/>
      <w:marRight w:val="0"/>
      <w:marTop w:val="0"/>
      <w:marBottom w:val="0"/>
      <w:divBdr>
        <w:top w:val="none" w:sz="0" w:space="0" w:color="auto"/>
        <w:left w:val="none" w:sz="0" w:space="0" w:color="auto"/>
        <w:bottom w:val="none" w:sz="0" w:space="0" w:color="auto"/>
        <w:right w:val="none" w:sz="0" w:space="0" w:color="auto"/>
      </w:divBdr>
    </w:div>
    <w:div w:id="36780126">
      <w:bodyDiv w:val="1"/>
      <w:marLeft w:val="0"/>
      <w:marRight w:val="0"/>
      <w:marTop w:val="0"/>
      <w:marBottom w:val="0"/>
      <w:divBdr>
        <w:top w:val="none" w:sz="0" w:space="0" w:color="auto"/>
        <w:left w:val="none" w:sz="0" w:space="0" w:color="auto"/>
        <w:bottom w:val="none" w:sz="0" w:space="0" w:color="auto"/>
        <w:right w:val="none" w:sz="0" w:space="0" w:color="auto"/>
      </w:divBdr>
    </w:div>
    <w:div w:id="44254406">
      <w:bodyDiv w:val="1"/>
      <w:marLeft w:val="0"/>
      <w:marRight w:val="0"/>
      <w:marTop w:val="0"/>
      <w:marBottom w:val="0"/>
      <w:divBdr>
        <w:top w:val="none" w:sz="0" w:space="0" w:color="auto"/>
        <w:left w:val="none" w:sz="0" w:space="0" w:color="auto"/>
        <w:bottom w:val="none" w:sz="0" w:space="0" w:color="auto"/>
        <w:right w:val="none" w:sz="0" w:space="0" w:color="auto"/>
      </w:divBdr>
    </w:div>
    <w:div w:id="49577063">
      <w:bodyDiv w:val="1"/>
      <w:marLeft w:val="0"/>
      <w:marRight w:val="0"/>
      <w:marTop w:val="0"/>
      <w:marBottom w:val="0"/>
      <w:divBdr>
        <w:top w:val="none" w:sz="0" w:space="0" w:color="auto"/>
        <w:left w:val="none" w:sz="0" w:space="0" w:color="auto"/>
        <w:bottom w:val="none" w:sz="0" w:space="0" w:color="auto"/>
        <w:right w:val="none" w:sz="0" w:space="0" w:color="auto"/>
      </w:divBdr>
    </w:div>
    <w:div w:id="50203157">
      <w:bodyDiv w:val="1"/>
      <w:marLeft w:val="0"/>
      <w:marRight w:val="0"/>
      <w:marTop w:val="0"/>
      <w:marBottom w:val="0"/>
      <w:divBdr>
        <w:top w:val="none" w:sz="0" w:space="0" w:color="auto"/>
        <w:left w:val="none" w:sz="0" w:space="0" w:color="auto"/>
        <w:bottom w:val="none" w:sz="0" w:space="0" w:color="auto"/>
        <w:right w:val="none" w:sz="0" w:space="0" w:color="auto"/>
      </w:divBdr>
    </w:div>
    <w:div w:id="75133025">
      <w:bodyDiv w:val="1"/>
      <w:marLeft w:val="0"/>
      <w:marRight w:val="0"/>
      <w:marTop w:val="0"/>
      <w:marBottom w:val="0"/>
      <w:divBdr>
        <w:top w:val="none" w:sz="0" w:space="0" w:color="auto"/>
        <w:left w:val="none" w:sz="0" w:space="0" w:color="auto"/>
        <w:bottom w:val="none" w:sz="0" w:space="0" w:color="auto"/>
        <w:right w:val="none" w:sz="0" w:space="0" w:color="auto"/>
      </w:divBdr>
    </w:div>
    <w:div w:id="105078129">
      <w:bodyDiv w:val="1"/>
      <w:marLeft w:val="0"/>
      <w:marRight w:val="0"/>
      <w:marTop w:val="0"/>
      <w:marBottom w:val="0"/>
      <w:divBdr>
        <w:top w:val="none" w:sz="0" w:space="0" w:color="auto"/>
        <w:left w:val="none" w:sz="0" w:space="0" w:color="auto"/>
        <w:bottom w:val="none" w:sz="0" w:space="0" w:color="auto"/>
        <w:right w:val="none" w:sz="0" w:space="0" w:color="auto"/>
      </w:divBdr>
    </w:div>
    <w:div w:id="166293802">
      <w:bodyDiv w:val="1"/>
      <w:marLeft w:val="0"/>
      <w:marRight w:val="0"/>
      <w:marTop w:val="0"/>
      <w:marBottom w:val="0"/>
      <w:divBdr>
        <w:top w:val="none" w:sz="0" w:space="0" w:color="auto"/>
        <w:left w:val="none" w:sz="0" w:space="0" w:color="auto"/>
        <w:bottom w:val="none" w:sz="0" w:space="0" w:color="auto"/>
        <w:right w:val="none" w:sz="0" w:space="0" w:color="auto"/>
      </w:divBdr>
    </w:div>
    <w:div w:id="182062482">
      <w:bodyDiv w:val="1"/>
      <w:marLeft w:val="0"/>
      <w:marRight w:val="0"/>
      <w:marTop w:val="0"/>
      <w:marBottom w:val="0"/>
      <w:divBdr>
        <w:top w:val="none" w:sz="0" w:space="0" w:color="auto"/>
        <w:left w:val="none" w:sz="0" w:space="0" w:color="auto"/>
        <w:bottom w:val="none" w:sz="0" w:space="0" w:color="auto"/>
        <w:right w:val="none" w:sz="0" w:space="0" w:color="auto"/>
      </w:divBdr>
    </w:div>
    <w:div w:id="188568170">
      <w:bodyDiv w:val="1"/>
      <w:marLeft w:val="0"/>
      <w:marRight w:val="0"/>
      <w:marTop w:val="0"/>
      <w:marBottom w:val="0"/>
      <w:divBdr>
        <w:top w:val="none" w:sz="0" w:space="0" w:color="auto"/>
        <w:left w:val="none" w:sz="0" w:space="0" w:color="auto"/>
        <w:bottom w:val="none" w:sz="0" w:space="0" w:color="auto"/>
        <w:right w:val="none" w:sz="0" w:space="0" w:color="auto"/>
      </w:divBdr>
    </w:div>
    <w:div w:id="196285041">
      <w:bodyDiv w:val="1"/>
      <w:marLeft w:val="0"/>
      <w:marRight w:val="0"/>
      <w:marTop w:val="0"/>
      <w:marBottom w:val="0"/>
      <w:divBdr>
        <w:top w:val="none" w:sz="0" w:space="0" w:color="auto"/>
        <w:left w:val="none" w:sz="0" w:space="0" w:color="auto"/>
        <w:bottom w:val="none" w:sz="0" w:space="0" w:color="auto"/>
        <w:right w:val="none" w:sz="0" w:space="0" w:color="auto"/>
      </w:divBdr>
    </w:div>
    <w:div w:id="205456442">
      <w:bodyDiv w:val="1"/>
      <w:marLeft w:val="0"/>
      <w:marRight w:val="0"/>
      <w:marTop w:val="0"/>
      <w:marBottom w:val="0"/>
      <w:divBdr>
        <w:top w:val="none" w:sz="0" w:space="0" w:color="auto"/>
        <w:left w:val="none" w:sz="0" w:space="0" w:color="auto"/>
        <w:bottom w:val="none" w:sz="0" w:space="0" w:color="auto"/>
        <w:right w:val="none" w:sz="0" w:space="0" w:color="auto"/>
      </w:divBdr>
    </w:div>
    <w:div w:id="225457942">
      <w:bodyDiv w:val="1"/>
      <w:marLeft w:val="0"/>
      <w:marRight w:val="0"/>
      <w:marTop w:val="0"/>
      <w:marBottom w:val="0"/>
      <w:divBdr>
        <w:top w:val="none" w:sz="0" w:space="0" w:color="auto"/>
        <w:left w:val="none" w:sz="0" w:space="0" w:color="auto"/>
        <w:bottom w:val="none" w:sz="0" w:space="0" w:color="auto"/>
        <w:right w:val="none" w:sz="0" w:space="0" w:color="auto"/>
      </w:divBdr>
    </w:div>
    <w:div w:id="241646439">
      <w:bodyDiv w:val="1"/>
      <w:marLeft w:val="0"/>
      <w:marRight w:val="0"/>
      <w:marTop w:val="0"/>
      <w:marBottom w:val="0"/>
      <w:divBdr>
        <w:top w:val="none" w:sz="0" w:space="0" w:color="auto"/>
        <w:left w:val="none" w:sz="0" w:space="0" w:color="auto"/>
        <w:bottom w:val="none" w:sz="0" w:space="0" w:color="auto"/>
        <w:right w:val="none" w:sz="0" w:space="0" w:color="auto"/>
      </w:divBdr>
    </w:div>
    <w:div w:id="262612622">
      <w:bodyDiv w:val="1"/>
      <w:marLeft w:val="0"/>
      <w:marRight w:val="0"/>
      <w:marTop w:val="0"/>
      <w:marBottom w:val="0"/>
      <w:divBdr>
        <w:top w:val="none" w:sz="0" w:space="0" w:color="auto"/>
        <w:left w:val="none" w:sz="0" w:space="0" w:color="auto"/>
        <w:bottom w:val="none" w:sz="0" w:space="0" w:color="auto"/>
        <w:right w:val="none" w:sz="0" w:space="0" w:color="auto"/>
      </w:divBdr>
    </w:div>
    <w:div w:id="268316975">
      <w:bodyDiv w:val="1"/>
      <w:marLeft w:val="0"/>
      <w:marRight w:val="0"/>
      <w:marTop w:val="0"/>
      <w:marBottom w:val="0"/>
      <w:divBdr>
        <w:top w:val="none" w:sz="0" w:space="0" w:color="auto"/>
        <w:left w:val="none" w:sz="0" w:space="0" w:color="auto"/>
        <w:bottom w:val="none" w:sz="0" w:space="0" w:color="auto"/>
        <w:right w:val="none" w:sz="0" w:space="0" w:color="auto"/>
      </w:divBdr>
    </w:div>
    <w:div w:id="271980019">
      <w:bodyDiv w:val="1"/>
      <w:marLeft w:val="0"/>
      <w:marRight w:val="0"/>
      <w:marTop w:val="0"/>
      <w:marBottom w:val="0"/>
      <w:divBdr>
        <w:top w:val="none" w:sz="0" w:space="0" w:color="auto"/>
        <w:left w:val="none" w:sz="0" w:space="0" w:color="auto"/>
        <w:bottom w:val="none" w:sz="0" w:space="0" w:color="auto"/>
        <w:right w:val="none" w:sz="0" w:space="0" w:color="auto"/>
      </w:divBdr>
    </w:div>
    <w:div w:id="281309733">
      <w:bodyDiv w:val="1"/>
      <w:marLeft w:val="0"/>
      <w:marRight w:val="0"/>
      <w:marTop w:val="0"/>
      <w:marBottom w:val="0"/>
      <w:divBdr>
        <w:top w:val="none" w:sz="0" w:space="0" w:color="auto"/>
        <w:left w:val="none" w:sz="0" w:space="0" w:color="auto"/>
        <w:bottom w:val="none" w:sz="0" w:space="0" w:color="auto"/>
        <w:right w:val="none" w:sz="0" w:space="0" w:color="auto"/>
      </w:divBdr>
    </w:div>
    <w:div w:id="299922167">
      <w:bodyDiv w:val="1"/>
      <w:marLeft w:val="0"/>
      <w:marRight w:val="0"/>
      <w:marTop w:val="0"/>
      <w:marBottom w:val="0"/>
      <w:divBdr>
        <w:top w:val="none" w:sz="0" w:space="0" w:color="auto"/>
        <w:left w:val="none" w:sz="0" w:space="0" w:color="auto"/>
        <w:bottom w:val="none" w:sz="0" w:space="0" w:color="auto"/>
        <w:right w:val="none" w:sz="0" w:space="0" w:color="auto"/>
      </w:divBdr>
    </w:div>
    <w:div w:id="301160891">
      <w:bodyDiv w:val="1"/>
      <w:marLeft w:val="0"/>
      <w:marRight w:val="0"/>
      <w:marTop w:val="0"/>
      <w:marBottom w:val="0"/>
      <w:divBdr>
        <w:top w:val="none" w:sz="0" w:space="0" w:color="auto"/>
        <w:left w:val="none" w:sz="0" w:space="0" w:color="auto"/>
        <w:bottom w:val="none" w:sz="0" w:space="0" w:color="auto"/>
        <w:right w:val="none" w:sz="0" w:space="0" w:color="auto"/>
      </w:divBdr>
    </w:div>
    <w:div w:id="304697955">
      <w:bodyDiv w:val="1"/>
      <w:marLeft w:val="0"/>
      <w:marRight w:val="0"/>
      <w:marTop w:val="0"/>
      <w:marBottom w:val="0"/>
      <w:divBdr>
        <w:top w:val="none" w:sz="0" w:space="0" w:color="auto"/>
        <w:left w:val="none" w:sz="0" w:space="0" w:color="auto"/>
        <w:bottom w:val="none" w:sz="0" w:space="0" w:color="auto"/>
        <w:right w:val="none" w:sz="0" w:space="0" w:color="auto"/>
      </w:divBdr>
    </w:div>
    <w:div w:id="313025055">
      <w:bodyDiv w:val="1"/>
      <w:marLeft w:val="0"/>
      <w:marRight w:val="0"/>
      <w:marTop w:val="0"/>
      <w:marBottom w:val="0"/>
      <w:divBdr>
        <w:top w:val="none" w:sz="0" w:space="0" w:color="auto"/>
        <w:left w:val="none" w:sz="0" w:space="0" w:color="auto"/>
        <w:bottom w:val="none" w:sz="0" w:space="0" w:color="auto"/>
        <w:right w:val="none" w:sz="0" w:space="0" w:color="auto"/>
      </w:divBdr>
    </w:div>
    <w:div w:id="329790941">
      <w:bodyDiv w:val="1"/>
      <w:marLeft w:val="0"/>
      <w:marRight w:val="0"/>
      <w:marTop w:val="0"/>
      <w:marBottom w:val="0"/>
      <w:divBdr>
        <w:top w:val="none" w:sz="0" w:space="0" w:color="auto"/>
        <w:left w:val="none" w:sz="0" w:space="0" w:color="auto"/>
        <w:bottom w:val="none" w:sz="0" w:space="0" w:color="auto"/>
        <w:right w:val="none" w:sz="0" w:space="0" w:color="auto"/>
      </w:divBdr>
    </w:div>
    <w:div w:id="350422774">
      <w:bodyDiv w:val="1"/>
      <w:marLeft w:val="0"/>
      <w:marRight w:val="0"/>
      <w:marTop w:val="0"/>
      <w:marBottom w:val="0"/>
      <w:divBdr>
        <w:top w:val="none" w:sz="0" w:space="0" w:color="auto"/>
        <w:left w:val="none" w:sz="0" w:space="0" w:color="auto"/>
        <w:bottom w:val="none" w:sz="0" w:space="0" w:color="auto"/>
        <w:right w:val="none" w:sz="0" w:space="0" w:color="auto"/>
      </w:divBdr>
    </w:div>
    <w:div w:id="353506112">
      <w:bodyDiv w:val="1"/>
      <w:marLeft w:val="0"/>
      <w:marRight w:val="0"/>
      <w:marTop w:val="0"/>
      <w:marBottom w:val="0"/>
      <w:divBdr>
        <w:top w:val="none" w:sz="0" w:space="0" w:color="auto"/>
        <w:left w:val="none" w:sz="0" w:space="0" w:color="auto"/>
        <w:bottom w:val="none" w:sz="0" w:space="0" w:color="auto"/>
        <w:right w:val="none" w:sz="0" w:space="0" w:color="auto"/>
      </w:divBdr>
    </w:div>
    <w:div w:id="357661603">
      <w:bodyDiv w:val="1"/>
      <w:marLeft w:val="0"/>
      <w:marRight w:val="0"/>
      <w:marTop w:val="0"/>
      <w:marBottom w:val="0"/>
      <w:divBdr>
        <w:top w:val="none" w:sz="0" w:space="0" w:color="auto"/>
        <w:left w:val="none" w:sz="0" w:space="0" w:color="auto"/>
        <w:bottom w:val="none" w:sz="0" w:space="0" w:color="auto"/>
        <w:right w:val="none" w:sz="0" w:space="0" w:color="auto"/>
      </w:divBdr>
    </w:div>
    <w:div w:id="410395297">
      <w:bodyDiv w:val="1"/>
      <w:marLeft w:val="0"/>
      <w:marRight w:val="0"/>
      <w:marTop w:val="0"/>
      <w:marBottom w:val="0"/>
      <w:divBdr>
        <w:top w:val="none" w:sz="0" w:space="0" w:color="auto"/>
        <w:left w:val="none" w:sz="0" w:space="0" w:color="auto"/>
        <w:bottom w:val="none" w:sz="0" w:space="0" w:color="auto"/>
        <w:right w:val="none" w:sz="0" w:space="0" w:color="auto"/>
      </w:divBdr>
    </w:div>
    <w:div w:id="440492896">
      <w:bodyDiv w:val="1"/>
      <w:marLeft w:val="0"/>
      <w:marRight w:val="0"/>
      <w:marTop w:val="0"/>
      <w:marBottom w:val="0"/>
      <w:divBdr>
        <w:top w:val="none" w:sz="0" w:space="0" w:color="auto"/>
        <w:left w:val="none" w:sz="0" w:space="0" w:color="auto"/>
        <w:bottom w:val="none" w:sz="0" w:space="0" w:color="auto"/>
        <w:right w:val="none" w:sz="0" w:space="0" w:color="auto"/>
      </w:divBdr>
    </w:div>
    <w:div w:id="470828134">
      <w:bodyDiv w:val="1"/>
      <w:marLeft w:val="0"/>
      <w:marRight w:val="0"/>
      <w:marTop w:val="0"/>
      <w:marBottom w:val="0"/>
      <w:divBdr>
        <w:top w:val="none" w:sz="0" w:space="0" w:color="auto"/>
        <w:left w:val="none" w:sz="0" w:space="0" w:color="auto"/>
        <w:bottom w:val="none" w:sz="0" w:space="0" w:color="auto"/>
        <w:right w:val="none" w:sz="0" w:space="0" w:color="auto"/>
      </w:divBdr>
    </w:div>
    <w:div w:id="480464002">
      <w:bodyDiv w:val="1"/>
      <w:marLeft w:val="0"/>
      <w:marRight w:val="0"/>
      <w:marTop w:val="0"/>
      <w:marBottom w:val="0"/>
      <w:divBdr>
        <w:top w:val="none" w:sz="0" w:space="0" w:color="auto"/>
        <w:left w:val="none" w:sz="0" w:space="0" w:color="auto"/>
        <w:bottom w:val="none" w:sz="0" w:space="0" w:color="auto"/>
        <w:right w:val="none" w:sz="0" w:space="0" w:color="auto"/>
      </w:divBdr>
    </w:div>
    <w:div w:id="496532464">
      <w:bodyDiv w:val="1"/>
      <w:marLeft w:val="0"/>
      <w:marRight w:val="0"/>
      <w:marTop w:val="0"/>
      <w:marBottom w:val="0"/>
      <w:divBdr>
        <w:top w:val="none" w:sz="0" w:space="0" w:color="auto"/>
        <w:left w:val="none" w:sz="0" w:space="0" w:color="auto"/>
        <w:bottom w:val="none" w:sz="0" w:space="0" w:color="auto"/>
        <w:right w:val="none" w:sz="0" w:space="0" w:color="auto"/>
      </w:divBdr>
    </w:div>
    <w:div w:id="505635167">
      <w:bodyDiv w:val="1"/>
      <w:marLeft w:val="0"/>
      <w:marRight w:val="0"/>
      <w:marTop w:val="0"/>
      <w:marBottom w:val="0"/>
      <w:divBdr>
        <w:top w:val="none" w:sz="0" w:space="0" w:color="auto"/>
        <w:left w:val="none" w:sz="0" w:space="0" w:color="auto"/>
        <w:bottom w:val="none" w:sz="0" w:space="0" w:color="auto"/>
        <w:right w:val="none" w:sz="0" w:space="0" w:color="auto"/>
      </w:divBdr>
    </w:div>
    <w:div w:id="526722528">
      <w:bodyDiv w:val="1"/>
      <w:marLeft w:val="0"/>
      <w:marRight w:val="0"/>
      <w:marTop w:val="0"/>
      <w:marBottom w:val="0"/>
      <w:divBdr>
        <w:top w:val="none" w:sz="0" w:space="0" w:color="auto"/>
        <w:left w:val="none" w:sz="0" w:space="0" w:color="auto"/>
        <w:bottom w:val="none" w:sz="0" w:space="0" w:color="auto"/>
        <w:right w:val="none" w:sz="0" w:space="0" w:color="auto"/>
      </w:divBdr>
    </w:div>
    <w:div w:id="546260429">
      <w:bodyDiv w:val="1"/>
      <w:marLeft w:val="0"/>
      <w:marRight w:val="0"/>
      <w:marTop w:val="0"/>
      <w:marBottom w:val="0"/>
      <w:divBdr>
        <w:top w:val="none" w:sz="0" w:space="0" w:color="auto"/>
        <w:left w:val="none" w:sz="0" w:space="0" w:color="auto"/>
        <w:bottom w:val="none" w:sz="0" w:space="0" w:color="auto"/>
        <w:right w:val="none" w:sz="0" w:space="0" w:color="auto"/>
      </w:divBdr>
    </w:div>
    <w:div w:id="576134585">
      <w:bodyDiv w:val="1"/>
      <w:marLeft w:val="0"/>
      <w:marRight w:val="0"/>
      <w:marTop w:val="0"/>
      <w:marBottom w:val="0"/>
      <w:divBdr>
        <w:top w:val="none" w:sz="0" w:space="0" w:color="auto"/>
        <w:left w:val="none" w:sz="0" w:space="0" w:color="auto"/>
        <w:bottom w:val="none" w:sz="0" w:space="0" w:color="auto"/>
        <w:right w:val="none" w:sz="0" w:space="0" w:color="auto"/>
      </w:divBdr>
    </w:div>
    <w:div w:id="596445269">
      <w:bodyDiv w:val="1"/>
      <w:marLeft w:val="0"/>
      <w:marRight w:val="0"/>
      <w:marTop w:val="0"/>
      <w:marBottom w:val="0"/>
      <w:divBdr>
        <w:top w:val="none" w:sz="0" w:space="0" w:color="auto"/>
        <w:left w:val="none" w:sz="0" w:space="0" w:color="auto"/>
        <w:bottom w:val="none" w:sz="0" w:space="0" w:color="auto"/>
        <w:right w:val="none" w:sz="0" w:space="0" w:color="auto"/>
      </w:divBdr>
    </w:div>
    <w:div w:id="604581575">
      <w:bodyDiv w:val="1"/>
      <w:marLeft w:val="0"/>
      <w:marRight w:val="0"/>
      <w:marTop w:val="0"/>
      <w:marBottom w:val="0"/>
      <w:divBdr>
        <w:top w:val="none" w:sz="0" w:space="0" w:color="auto"/>
        <w:left w:val="none" w:sz="0" w:space="0" w:color="auto"/>
        <w:bottom w:val="none" w:sz="0" w:space="0" w:color="auto"/>
        <w:right w:val="none" w:sz="0" w:space="0" w:color="auto"/>
      </w:divBdr>
    </w:div>
    <w:div w:id="641154061">
      <w:bodyDiv w:val="1"/>
      <w:marLeft w:val="0"/>
      <w:marRight w:val="0"/>
      <w:marTop w:val="0"/>
      <w:marBottom w:val="0"/>
      <w:divBdr>
        <w:top w:val="none" w:sz="0" w:space="0" w:color="auto"/>
        <w:left w:val="none" w:sz="0" w:space="0" w:color="auto"/>
        <w:bottom w:val="none" w:sz="0" w:space="0" w:color="auto"/>
        <w:right w:val="none" w:sz="0" w:space="0" w:color="auto"/>
      </w:divBdr>
    </w:div>
    <w:div w:id="651788207">
      <w:bodyDiv w:val="1"/>
      <w:marLeft w:val="0"/>
      <w:marRight w:val="0"/>
      <w:marTop w:val="0"/>
      <w:marBottom w:val="0"/>
      <w:divBdr>
        <w:top w:val="none" w:sz="0" w:space="0" w:color="auto"/>
        <w:left w:val="none" w:sz="0" w:space="0" w:color="auto"/>
        <w:bottom w:val="none" w:sz="0" w:space="0" w:color="auto"/>
        <w:right w:val="none" w:sz="0" w:space="0" w:color="auto"/>
      </w:divBdr>
    </w:div>
    <w:div w:id="686950297">
      <w:bodyDiv w:val="1"/>
      <w:marLeft w:val="0"/>
      <w:marRight w:val="0"/>
      <w:marTop w:val="0"/>
      <w:marBottom w:val="0"/>
      <w:divBdr>
        <w:top w:val="none" w:sz="0" w:space="0" w:color="auto"/>
        <w:left w:val="none" w:sz="0" w:space="0" w:color="auto"/>
        <w:bottom w:val="none" w:sz="0" w:space="0" w:color="auto"/>
        <w:right w:val="none" w:sz="0" w:space="0" w:color="auto"/>
      </w:divBdr>
    </w:div>
    <w:div w:id="716705382">
      <w:bodyDiv w:val="1"/>
      <w:marLeft w:val="0"/>
      <w:marRight w:val="0"/>
      <w:marTop w:val="0"/>
      <w:marBottom w:val="0"/>
      <w:divBdr>
        <w:top w:val="none" w:sz="0" w:space="0" w:color="auto"/>
        <w:left w:val="none" w:sz="0" w:space="0" w:color="auto"/>
        <w:bottom w:val="none" w:sz="0" w:space="0" w:color="auto"/>
        <w:right w:val="none" w:sz="0" w:space="0" w:color="auto"/>
      </w:divBdr>
    </w:div>
    <w:div w:id="719551592">
      <w:bodyDiv w:val="1"/>
      <w:marLeft w:val="0"/>
      <w:marRight w:val="0"/>
      <w:marTop w:val="0"/>
      <w:marBottom w:val="0"/>
      <w:divBdr>
        <w:top w:val="none" w:sz="0" w:space="0" w:color="auto"/>
        <w:left w:val="none" w:sz="0" w:space="0" w:color="auto"/>
        <w:bottom w:val="none" w:sz="0" w:space="0" w:color="auto"/>
        <w:right w:val="none" w:sz="0" w:space="0" w:color="auto"/>
      </w:divBdr>
    </w:div>
    <w:div w:id="768159267">
      <w:bodyDiv w:val="1"/>
      <w:marLeft w:val="0"/>
      <w:marRight w:val="0"/>
      <w:marTop w:val="0"/>
      <w:marBottom w:val="0"/>
      <w:divBdr>
        <w:top w:val="none" w:sz="0" w:space="0" w:color="auto"/>
        <w:left w:val="none" w:sz="0" w:space="0" w:color="auto"/>
        <w:bottom w:val="none" w:sz="0" w:space="0" w:color="auto"/>
        <w:right w:val="none" w:sz="0" w:space="0" w:color="auto"/>
      </w:divBdr>
    </w:div>
    <w:div w:id="775758363">
      <w:bodyDiv w:val="1"/>
      <w:marLeft w:val="0"/>
      <w:marRight w:val="0"/>
      <w:marTop w:val="0"/>
      <w:marBottom w:val="0"/>
      <w:divBdr>
        <w:top w:val="none" w:sz="0" w:space="0" w:color="auto"/>
        <w:left w:val="none" w:sz="0" w:space="0" w:color="auto"/>
        <w:bottom w:val="none" w:sz="0" w:space="0" w:color="auto"/>
        <w:right w:val="none" w:sz="0" w:space="0" w:color="auto"/>
      </w:divBdr>
    </w:div>
    <w:div w:id="775835043">
      <w:bodyDiv w:val="1"/>
      <w:marLeft w:val="0"/>
      <w:marRight w:val="0"/>
      <w:marTop w:val="0"/>
      <w:marBottom w:val="0"/>
      <w:divBdr>
        <w:top w:val="none" w:sz="0" w:space="0" w:color="auto"/>
        <w:left w:val="none" w:sz="0" w:space="0" w:color="auto"/>
        <w:bottom w:val="none" w:sz="0" w:space="0" w:color="auto"/>
        <w:right w:val="none" w:sz="0" w:space="0" w:color="auto"/>
      </w:divBdr>
    </w:div>
    <w:div w:id="812259928">
      <w:bodyDiv w:val="1"/>
      <w:marLeft w:val="0"/>
      <w:marRight w:val="0"/>
      <w:marTop w:val="0"/>
      <w:marBottom w:val="0"/>
      <w:divBdr>
        <w:top w:val="none" w:sz="0" w:space="0" w:color="auto"/>
        <w:left w:val="none" w:sz="0" w:space="0" w:color="auto"/>
        <w:bottom w:val="none" w:sz="0" w:space="0" w:color="auto"/>
        <w:right w:val="none" w:sz="0" w:space="0" w:color="auto"/>
      </w:divBdr>
    </w:div>
    <w:div w:id="836308796">
      <w:bodyDiv w:val="1"/>
      <w:marLeft w:val="0"/>
      <w:marRight w:val="0"/>
      <w:marTop w:val="0"/>
      <w:marBottom w:val="0"/>
      <w:divBdr>
        <w:top w:val="none" w:sz="0" w:space="0" w:color="auto"/>
        <w:left w:val="none" w:sz="0" w:space="0" w:color="auto"/>
        <w:bottom w:val="none" w:sz="0" w:space="0" w:color="auto"/>
        <w:right w:val="none" w:sz="0" w:space="0" w:color="auto"/>
      </w:divBdr>
    </w:div>
    <w:div w:id="845486405">
      <w:bodyDiv w:val="1"/>
      <w:marLeft w:val="0"/>
      <w:marRight w:val="0"/>
      <w:marTop w:val="0"/>
      <w:marBottom w:val="0"/>
      <w:divBdr>
        <w:top w:val="none" w:sz="0" w:space="0" w:color="auto"/>
        <w:left w:val="none" w:sz="0" w:space="0" w:color="auto"/>
        <w:bottom w:val="none" w:sz="0" w:space="0" w:color="auto"/>
        <w:right w:val="none" w:sz="0" w:space="0" w:color="auto"/>
      </w:divBdr>
    </w:div>
    <w:div w:id="850342537">
      <w:bodyDiv w:val="1"/>
      <w:marLeft w:val="0"/>
      <w:marRight w:val="0"/>
      <w:marTop w:val="0"/>
      <w:marBottom w:val="0"/>
      <w:divBdr>
        <w:top w:val="none" w:sz="0" w:space="0" w:color="auto"/>
        <w:left w:val="none" w:sz="0" w:space="0" w:color="auto"/>
        <w:bottom w:val="none" w:sz="0" w:space="0" w:color="auto"/>
        <w:right w:val="none" w:sz="0" w:space="0" w:color="auto"/>
      </w:divBdr>
    </w:div>
    <w:div w:id="893154804">
      <w:bodyDiv w:val="1"/>
      <w:marLeft w:val="0"/>
      <w:marRight w:val="0"/>
      <w:marTop w:val="0"/>
      <w:marBottom w:val="0"/>
      <w:divBdr>
        <w:top w:val="none" w:sz="0" w:space="0" w:color="auto"/>
        <w:left w:val="none" w:sz="0" w:space="0" w:color="auto"/>
        <w:bottom w:val="none" w:sz="0" w:space="0" w:color="auto"/>
        <w:right w:val="none" w:sz="0" w:space="0" w:color="auto"/>
      </w:divBdr>
    </w:div>
    <w:div w:id="901251177">
      <w:bodyDiv w:val="1"/>
      <w:marLeft w:val="0"/>
      <w:marRight w:val="0"/>
      <w:marTop w:val="0"/>
      <w:marBottom w:val="0"/>
      <w:divBdr>
        <w:top w:val="none" w:sz="0" w:space="0" w:color="auto"/>
        <w:left w:val="none" w:sz="0" w:space="0" w:color="auto"/>
        <w:bottom w:val="none" w:sz="0" w:space="0" w:color="auto"/>
        <w:right w:val="none" w:sz="0" w:space="0" w:color="auto"/>
      </w:divBdr>
    </w:div>
    <w:div w:id="937711592">
      <w:bodyDiv w:val="1"/>
      <w:marLeft w:val="0"/>
      <w:marRight w:val="0"/>
      <w:marTop w:val="0"/>
      <w:marBottom w:val="0"/>
      <w:divBdr>
        <w:top w:val="none" w:sz="0" w:space="0" w:color="auto"/>
        <w:left w:val="none" w:sz="0" w:space="0" w:color="auto"/>
        <w:bottom w:val="none" w:sz="0" w:space="0" w:color="auto"/>
        <w:right w:val="none" w:sz="0" w:space="0" w:color="auto"/>
      </w:divBdr>
    </w:div>
    <w:div w:id="960039579">
      <w:bodyDiv w:val="1"/>
      <w:marLeft w:val="0"/>
      <w:marRight w:val="0"/>
      <w:marTop w:val="0"/>
      <w:marBottom w:val="0"/>
      <w:divBdr>
        <w:top w:val="none" w:sz="0" w:space="0" w:color="auto"/>
        <w:left w:val="none" w:sz="0" w:space="0" w:color="auto"/>
        <w:bottom w:val="none" w:sz="0" w:space="0" w:color="auto"/>
        <w:right w:val="none" w:sz="0" w:space="0" w:color="auto"/>
      </w:divBdr>
    </w:div>
    <w:div w:id="990794495">
      <w:bodyDiv w:val="1"/>
      <w:marLeft w:val="0"/>
      <w:marRight w:val="0"/>
      <w:marTop w:val="0"/>
      <w:marBottom w:val="0"/>
      <w:divBdr>
        <w:top w:val="none" w:sz="0" w:space="0" w:color="auto"/>
        <w:left w:val="none" w:sz="0" w:space="0" w:color="auto"/>
        <w:bottom w:val="none" w:sz="0" w:space="0" w:color="auto"/>
        <w:right w:val="none" w:sz="0" w:space="0" w:color="auto"/>
      </w:divBdr>
    </w:div>
    <w:div w:id="1000737428">
      <w:bodyDiv w:val="1"/>
      <w:marLeft w:val="0"/>
      <w:marRight w:val="0"/>
      <w:marTop w:val="0"/>
      <w:marBottom w:val="0"/>
      <w:divBdr>
        <w:top w:val="none" w:sz="0" w:space="0" w:color="auto"/>
        <w:left w:val="none" w:sz="0" w:space="0" w:color="auto"/>
        <w:bottom w:val="none" w:sz="0" w:space="0" w:color="auto"/>
        <w:right w:val="none" w:sz="0" w:space="0" w:color="auto"/>
      </w:divBdr>
    </w:div>
    <w:div w:id="1011302341">
      <w:bodyDiv w:val="1"/>
      <w:marLeft w:val="0"/>
      <w:marRight w:val="0"/>
      <w:marTop w:val="0"/>
      <w:marBottom w:val="0"/>
      <w:divBdr>
        <w:top w:val="none" w:sz="0" w:space="0" w:color="auto"/>
        <w:left w:val="none" w:sz="0" w:space="0" w:color="auto"/>
        <w:bottom w:val="none" w:sz="0" w:space="0" w:color="auto"/>
        <w:right w:val="none" w:sz="0" w:space="0" w:color="auto"/>
      </w:divBdr>
    </w:div>
    <w:div w:id="1037196896">
      <w:bodyDiv w:val="1"/>
      <w:marLeft w:val="0"/>
      <w:marRight w:val="0"/>
      <w:marTop w:val="0"/>
      <w:marBottom w:val="0"/>
      <w:divBdr>
        <w:top w:val="none" w:sz="0" w:space="0" w:color="auto"/>
        <w:left w:val="none" w:sz="0" w:space="0" w:color="auto"/>
        <w:bottom w:val="none" w:sz="0" w:space="0" w:color="auto"/>
        <w:right w:val="none" w:sz="0" w:space="0" w:color="auto"/>
      </w:divBdr>
    </w:div>
    <w:div w:id="1043209617">
      <w:bodyDiv w:val="1"/>
      <w:marLeft w:val="0"/>
      <w:marRight w:val="0"/>
      <w:marTop w:val="0"/>
      <w:marBottom w:val="0"/>
      <w:divBdr>
        <w:top w:val="none" w:sz="0" w:space="0" w:color="auto"/>
        <w:left w:val="none" w:sz="0" w:space="0" w:color="auto"/>
        <w:bottom w:val="none" w:sz="0" w:space="0" w:color="auto"/>
        <w:right w:val="none" w:sz="0" w:space="0" w:color="auto"/>
      </w:divBdr>
    </w:div>
    <w:div w:id="1095320843">
      <w:bodyDiv w:val="1"/>
      <w:marLeft w:val="0"/>
      <w:marRight w:val="0"/>
      <w:marTop w:val="0"/>
      <w:marBottom w:val="0"/>
      <w:divBdr>
        <w:top w:val="none" w:sz="0" w:space="0" w:color="auto"/>
        <w:left w:val="none" w:sz="0" w:space="0" w:color="auto"/>
        <w:bottom w:val="none" w:sz="0" w:space="0" w:color="auto"/>
        <w:right w:val="none" w:sz="0" w:space="0" w:color="auto"/>
      </w:divBdr>
    </w:div>
    <w:div w:id="1115445023">
      <w:bodyDiv w:val="1"/>
      <w:marLeft w:val="0"/>
      <w:marRight w:val="0"/>
      <w:marTop w:val="0"/>
      <w:marBottom w:val="0"/>
      <w:divBdr>
        <w:top w:val="none" w:sz="0" w:space="0" w:color="auto"/>
        <w:left w:val="none" w:sz="0" w:space="0" w:color="auto"/>
        <w:bottom w:val="none" w:sz="0" w:space="0" w:color="auto"/>
        <w:right w:val="none" w:sz="0" w:space="0" w:color="auto"/>
      </w:divBdr>
    </w:div>
    <w:div w:id="1154033411">
      <w:bodyDiv w:val="1"/>
      <w:marLeft w:val="0"/>
      <w:marRight w:val="0"/>
      <w:marTop w:val="0"/>
      <w:marBottom w:val="0"/>
      <w:divBdr>
        <w:top w:val="none" w:sz="0" w:space="0" w:color="auto"/>
        <w:left w:val="none" w:sz="0" w:space="0" w:color="auto"/>
        <w:bottom w:val="none" w:sz="0" w:space="0" w:color="auto"/>
        <w:right w:val="none" w:sz="0" w:space="0" w:color="auto"/>
      </w:divBdr>
    </w:div>
    <w:div w:id="1185905074">
      <w:bodyDiv w:val="1"/>
      <w:marLeft w:val="0"/>
      <w:marRight w:val="0"/>
      <w:marTop w:val="0"/>
      <w:marBottom w:val="0"/>
      <w:divBdr>
        <w:top w:val="none" w:sz="0" w:space="0" w:color="auto"/>
        <w:left w:val="none" w:sz="0" w:space="0" w:color="auto"/>
        <w:bottom w:val="none" w:sz="0" w:space="0" w:color="auto"/>
        <w:right w:val="none" w:sz="0" w:space="0" w:color="auto"/>
      </w:divBdr>
    </w:div>
    <w:div w:id="1198087235">
      <w:bodyDiv w:val="1"/>
      <w:marLeft w:val="0"/>
      <w:marRight w:val="0"/>
      <w:marTop w:val="0"/>
      <w:marBottom w:val="0"/>
      <w:divBdr>
        <w:top w:val="none" w:sz="0" w:space="0" w:color="auto"/>
        <w:left w:val="none" w:sz="0" w:space="0" w:color="auto"/>
        <w:bottom w:val="none" w:sz="0" w:space="0" w:color="auto"/>
        <w:right w:val="none" w:sz="0" w:space="0" w:color="auto"/>
      </w:divBdr>
    </w:div>
    <w:div w:id="1207252199">
      <w:bodyDiv w:val="1"/>
      <w:marLeft w:val="0"/>
      <w:marRight w:val="0"/>
      <w:marTop w:val="0"/>
      <w:marBottom w:val="0"/>
      <w:divBdr>
        <w:top w:val="none" w:sz="0" w:space="0" w:color="auto"/>
        <w:left w:val="none" w:sz="0" w:space="0" w:color="auto"/>
        <w:bottom w:val="none" w:sz="0" w:space="0" w:color="auto"/>
        <w:right w:val="none" w:sz="0" w:space="0" w:color="auto"/>
      </w:divBdr>
    </w:div>
    <w:div w:id="1234967197">
      <w:bodyDiv w:val="1"/>
      <w:marLeft w:val="0"/>
      <w:marRight w:val="0"/>
      <w:marTop w:val="0"/>
      <w:marBottom w:val="0"/>
      <w:divBdr>
        <w:top w:val="none" w:sz="0" w:space="0" w:color="auto"/>
        <w:left w:val="none" w:sz="0" w:space="0" w:color="auto"/>
        <w:bottom w:val="none" w:sz="0" w:space="0" w:color="auto"/>
        <w:right w:val="none" w:sz="0" w:space="0" w:color="auto"/>
      </w:divBdr>
    </w:div>
    <w:div w:id="1265074049">
      <w:bodyDiv w:val="1"/>
      <w:marLeft w:val="0"/>
      <w:marRight w:val="0"/>
      <w:marTop w:val="0"/>
      <w:marBottom w:val="0"/>
      <w:divBdr>
        <w:top w:val="none" w:sz="0" w:space="0" w:color="auto"/>
        <w:left w:val="none" w:sz="0" w:space="0" w:color="auto"/>
        <w:bottom w:val="none" w:sz="0" w:space="0" w:color="auto"/>
        <w:right w:val="none" w:sz="0" w:space="0" w:color="auto"/>
      </w:divBdr>
    </w:div>
    <w:div w:id="1282154651">
      <w:bodyDiv w:val="1"/>
      <w:marLeft w:val="0"/>
      <w:marRight w:val="0"/>
      <w:marTop w:val="0"/>
      <w:marBottom w:val="0"/>
      <w:divBdr>
        <w:top w:val="none" w:sz="0" w:space="0" w:color="auto"/>
        <w:left w:val="none" w:sz="0" w:space="0" w:color="auto"/>
        <w:bottom w:val="none" w:sz="0" w:space="0" w:color="auto"/>
        <w:right w:val="none" w:sz="0" w:space="0" w:color="auto"/>
      </w:divBdr>
    </w:div>
    <w:div w:id="1294480727">
      <w:bodyDiv w:val="1"/>
      <w:marLeft w:val="0"/>
      <w:marRight w:val="0"/>
      <w:marTop w:val="0"/>
      <w:marBottom w:val="0"/>
      <w:divBdr>
        <w:top w:val="none" w:sz="0" w:space="0" w:color="auto"/>
        <w:left w:val="none" w:sz="0" w:space="0" w:color="auto"/>
        <w:bottom w:val="none" w:sz="0" w:space="0" w:color="auto"/>
        <w:right w:val="none" w:sz="0" w:space="0" w:color="auto"/>
      </w:divBdr>
    </w:div>
    <w:div w:id="1296526062">
      <w:bodyDiv w:val="1"/>
      <w:marLeft w:val="0"/>
      <w:marRight w:val="0"/>
      <w:marTop w:val="0"/>
      <w:marBottom w:val="0"/>
      <w:divBdr>
        <w:top w:val="none" w:sz="0" w:space="0" w:color="auto"/>
        <w:left w:val="none" w:sz="0" w:space="0" w:color="auto"/>
        <w:bottom w:val="none" w:sz="0" w:space="0" w:color="auto"/>
        <w:right w:val="none" w:sz="0" w:space="0" w:color="auto"/>
      </w:divBdr>
    </w:div>
    <w:div w:id="1389257293">
      <w:bodyDiv w:val="1"/>
      <w:marLeft w:val="0"/>
      <w:marRight w:val="0"/>
      <w:marTop w:val="0"/>
      <w:marBottom w:val="0"/>
      <w:divBdr>
        <w:top w:val="none" w:sz="0" w:space="0" w:color="auto"/>
        <w:left w:val="none" w:sz="0" w:space="0" w:color="auto"/>
        <w:bottom w:val="none" w:sz="0" w:space="0" w:color="auto"/>
        <w:right w:val="none" w:sz="0" w:space="0" w:color="auto"/>
      </w:divBdr>
    </w:div>
    <w:div w:id="1392968968">
      <w:bodyDiv w:val="1"/>
      <w:marLeft w:val="0"/>
      <w:marRight w:val="0"/>
      <w:marTop w:val="0"/>
      <w:marBottom w:val="0"/>
      <w:divBdr>
        <w:top w:val="none" w:sz="0" w:space="0" w:color="auto"/>
        <w:left w:val="none" w:sz="0" w:space="0" w:color="auto"/>
        <w:bottom w:val="none" w:sz="0" w:space="0" w:color="auto"/>
        <w:right w:val="none" w:sz="0" w:space="0" w:color="auto"/>
      </w:divBdr>
    </w:div>
    <w:div w:id="1397703627">
      <w:bodyDiv w:val="1"/>
      <w:marLeft w:val="0"/>
      <w:marRight w:val="0"/>
      <w:marTop w:val="0"/>
      <w:marBottom w:val="0"/>
      <w:divBdr>
        <w:top w:val="none" w:sz="0" w:space="0" w:color="auto"/>
        <w:left w:val="none" w:sz="0" w:space="0" w:color="auto"/>
        <w:bottom w:val="none" w:sz="0" w:space="0" w:color="auto"/>
        <w:right w:val="none" w:sz="0" w:space="0" w:color="auto"/>
      </w:divBdr>
    </w:div>
    <w:div w:id="1404990067">
      <w:bodyDiv w:val="1"/>
      <w:marLeft w:val="0"/>
      <w:marRight w:val="0"/>
      <w:marTop w:val="0"/>
      <w:marBottom w:val="0"/>
      <w:divBdr>
        <w:top w:val="none" w:sz="0" w:space="0" w:color="auto"/>
        <w:left w:val="none" w:sz="0" w:space="0" w:color="auto"/>
        <w:bottom w:val="none" w:sz="0" w:space="0" w:color="auto"/>
        <w:right w:val="none" w:sz="0" w:space="0" w:color="auto"/>
      </w:divBdr>
    </w:div>
    <w:div w:id="1429694291">
      <w:bodyDiv w:val="1"/>
      <w:marLeft w:val="0"/>
      <w:marRight w:val="0"/>
      <w:marTop w:val="0"/>
      <w:marBottom w:val="0"/>
      <w:divBdr>
        <w:top w:val="none" w:sz="0" w:space="0" w:color="auto"/>
        <w:left w:val="none" w:sz="0" w:space="0" w:color="auto"/>
        <w:bottom w:val="none" w:sz="0" w:space="0" w:color="auto"/>
        <w:right w:val="none" w:sz="0" w:space="0" w:color="auto"/>
      </w:divBdr>
    </w:div>
    <w:div w:id="1430420429">
      <w:bodyDiv w:val="1"/>
      <w:marLeft w:val="0"/>
      <w:marRight w:val="0"/>
      <w:marTop w:val="0"/>
      <w:marBottom w:val="0"/>
      <w:divBdr>
        <w:top w:val="none" w:sz="0" w:space="0" w:color="auto"/>
        <w:left w:val="none" w:sz="0" w:space="0" w:color="auto"/>
        <w:bottom w:val="none" w:sz="0" w:space="0" w:color="auto"/>
        <w:right w:val="none" w:sz="0" w:space="0" w:color="auto"/>
      </w:divBdr>
    </w:div>
    <w:div w:id="1461341093">
      <w:bodyDiv w:val="1"/>
      <w:marLeft w:val="0"/>
      <w:marRight w:val="0"/>
      <w:marTop w:val="0"/>
      <w:marBottom w:val="0"/>
      <w:divBdr>
        <w:top w:val="none" w:sz="0" w:space="0" w:color="auto"/>
        <w:left w:val="none" w:sz="0" w:space="0" w:color="auto"/>
        <w:bottom w:val="none" w:sz="0" w:space="0" w:color="auto"/>
        <w:right w:val="none" w:sz="0" w:space="0" w:color="auto"/>
      </w:divBdr>
    </w:div>
    <w:div w:id="1468546754">
      <w:bodyDiv w:val="1"/>
      <w:marLeft w:val="0"/>
      <w:marRight w:val="0"/>
      <w:marTop w:val="0"/>
      <w:marBottom w:val="0"/>
      <w:divBdr>
        <w:top w:val="none" w:sz="0" w:space="0" w:color="auto"/>
        <w:left w:val="none" w:sz="0" w:space="0" w:color="auto"/>
        <w:bottom w:val="none" w:sz="0" w:space="0" w:color="auto"/>
        <w:right w:val="none" w:sz="0" w:space="0" w:color="auto"/>
      </w:divBdr>
    </w:div>
    <w:div w:id="1493332429">
      <w:bodyDiv w:val="1"/>
      <w:marLeft w:val="0"/>
      <w:marRight w:val="0"/>
      <w:marTop w:val="0"/>
      <w:marBottom w:val="0"/>
      <w:divBdr>
        <w:top w:val="none" w:sz="0" w:space="0" w:color="auto"/>
        <w:left w:val="none" w:sz="0" w:space="0" w:color="auto"/>
        <w:bottom w:val="none" w:sz="0" w:space="0" w:color="auto"/>
        <w:right w:val="none" w:sz="0" w:space="0" w:color="auto"/>
      </w:divBdr>
    </w:div>
    <w:div w:id="1507793962">
      <w:bodyDiv w:val="1"/>
      <w:marLeft w:val="0"/>
      <w:marRight w:val="0"/>
      <w:marTop w:val="0"/>
      <w:marBottom w:val="0"/>
      <w:divBdr>
        <w:top w:val="none" w:sz="0" w:space="0" w:color="auto"/>
        <w:left w:val="none" w:sz="0" w:space="0" w:color="auto"/>
        <w:bottom w:val="none" w:sz="0" w:space="0" w:color="auto"/>
        <w:right w:val="none" w:sz="0" w:space="0" w:color="auto"/>
      </w:divBdr>
    </w:div>
    <w:div w:id="1594124303">
      <w:bodyDiv w:val="1"/>
      <w:marLeft w:val="0"/>
      <w:marRight w:val="0"/>
      <w:marTop w:val="0"/>
      <w:marBottom w:val="0"/>
      <w:divBdr>
        <w:top w:val="none" w:sz="0" w:space="0" w:color="auto"/>
        <w:left w:val="none" w:sz="0" w:space="0" w:color="auto"/>
        <w:bottom w:val="none" w:sz="0" w:space="0" w:color="auto"/>
        <w:right w:val="none" w:sz="0" w:space="0" w:color="auto"/>
      </w:divBdr>
    </w:div>
    <w:div w:id="1611013285">
      <w:bodyDiv w:val="1"/>
      <w:marLeft w:val="0"/>
      <w:marRight w:val="0"/>
      <w:marTop w:val="0"/>
      <w:marBottom w:val="0"/>
      <w:divBdr>
        <w:top w:val="none" w:sz="0" w:space="0" w:color="auto"/>
        <w:left w:val="none" w:sz="0" w:space="0" w:color="auto"/>
        <w:bottom w:val="none" w:sz="0" w:space="0" w:color="auto"/>
        <w:right w:val="none" w:sz="0" w:space="0" w:color="auto"/>
      </w:divBdr>
    </w:div>
    <w:div w:id="1615209440">
      <w:bodyDiv w:val="1"/>
      <w:marLeft w:val="0"/>
      <w:marRight w:val="0"/>
      <w:marTop w:val="0"/>
      <w:marBottom w:val="0"/>
      <w:divBdr>
        <w:top w:val="none" w:sz="0" w:space="0" w:color="auto"/>
        <w:left w:val="none" w:sz="0" w:space="0" w:color="auto"/>
        <w:bottom w:val="none" w:sz="0" w:space="0" w:color="auto"/>
        <w:right w:val="none" w:sz="0" w:space="0" w:color="auto"/>
      </w:divBdr>
    </w:div>
    <w:div w:id="1639795843">
      <w:bodyDiv w:val="1"/>
      <w:marLeft w:val="0"/>
      <w:marRight w:val="0"/>
      <w:marTop w:val="0"/>
      <w:marBottom w:val="0"/>
      <w:divBdr>
        <w:top w:val="none" w:sz="0" w:space="0" w:color="auto"/>
        <w:left w:val="none" w:sz="0" w:space="0" w:color="auto"/>
        <w:bottom w:val="none" w:sz="0" w:space="0" w:color="auto"/>
        <w:right w:val="none" w:sz="0" w:space="0" w:color="auto"/>
      </w:divBdr>
    </w:div>
    <w:div w:id="1645811258">
      <w:bodyDiv w:val="1"/>
      <w:marLeft w:val="0"/>
      <w:marRight w:val="0"/>
      <w:marTop w:val="0"/>
      <w:marBottom w:val="0"/>
      <w:divBdr>
        <w:top w:val="none" w:sz="0" w:space="0" w:color="auto"/>
        <w:left w:val="none" w:sz="0" w:space="0" w:color="auto"/>
        <w:bottom w:val="none" w:sz="0" w:space="0" w:color="auto"/>
        <w:right w:val="none" w:sz="0" w:space="0" w:color="auto"/>
      </w:divBdr>
    </w:div>
    <w:div w:id="1651712236">
      <w:bodyDiv w:val="1"/>
      <w:marLeft w:val="0"/>
      <w:marRight w:val="0"/>
      <w:marTop w:val="0"/>
      <w:marBottom w:val="0"/>
      <w:divBdr>
        <w:top w:val="none" w:sz="0" w:space="0" w:color="auto"/>
        <w:left w:val="none" w:sz="0" w:space="0" w:color="auto"/>
        <w:bottom w:val="none" w:sz="0" w:space="0" w:color="auto"/>
        <w:right w:val="none" w:sz="0" w:space="0" w:color="auto"/>
      </w:divBdr>
    </w:div>
    <w:div w:id="1674604773">
      <w:bodyDiv w:val="1"/>
      <w:marLeft w:val="0"/>
      <w:marRight w:val="0"/>
      <w:marTop w:val="0"/>
      <w:marBottom w:val="0"/>
      <w:divBdr>
        <w:top w:val="none" w:sz="0" w:space="0" w:color="auto"/>
        <w:left w:val="none" w:sz="0" w:space="0" w:color="auto"/>
        <w:bottom w:val="none" w:sz="0" w:space="0" w:color="auto"/>
        <w:right w:val="none" w:sz="0" w:space="0" w:color="auto"/>
      </w:divBdr>
    </w:div>
    <w:div w:id="1694334174">
      <w:bodyDiv w:val="1"/>
      <w:marLeft w:val="0"/>
      <w:marRight w:val="0"/>
      <w:marTop w:val="0"/>
      <w:marBottom w:val="0"/>
      <w:divBdr>
        <w:top w:val="none" w:sz="0" w:space="0" w:color="auto"/>
        <w:left w:val="none" w:sz="0" w:space="0" w:color="auto"/>
        <w:bottom w:val="none" w:sz="0" w:space="0" w:color="auto"/>
        <w:right w:val="none" w:sz="0" w:space="0" w:color="auto"/>
      </w:divBdr>
    </w:div>
    <w:div w:id="1702977027">
      <w:bodyDiv w:val="1"/>
      <w:marLeft w:val="0"/>
      <w:marRight w:val="0"/>
      <w:marTop w:val="0"/>
      <w:marBottom w:val="0"/>
      <w:divBdr>
        <w:top w:val="none" w:sz="0" w:space="0" w:color="auto"/>
        <w:left w:val="none" w:sz="0" w:space="0" w:color="auto"/>
        <w:bottom w:val="none" w:sz="0" w:space="0" w:color="auto"/>
        <w:right w:val="none" w:sz="0" w:space="0" w:color="auto"/>
      </w:divBdr>
    </w:div>
    <w:div w:id="1714771540">
      <w:bodyDiv w:val="1"/>
      <w:marLeft w:val="0"/>
      <w:marRight w:val="0"/>
      <w:marTop w:val="0"/>
      <w:marBottom w:val="0"/>
      <w:divBdr>
        <w:top w:val="none" w:sz="0" w:space="0" w:color="auto"/>
        <w:left w:val="none" w:sz="0" w:space="0" w:color="auto"/>
        <w:bottom w:val="none" w:sz="0" w:space="0" w:color="auto"/>
        <w:right w:val="none" w:sz="0" w:space="0" w:color="auto"/>
      </w:divBdr>
    </w:div>
    <w:div w:id="1717970674">
      <w:bodyDiv w:val="1"/>
      <w:marLeft w:val="0"/>
      <w:marRight w:val="0"/>
      <w:marTop w:val="0"/>
      <w:marBottom w:val="0"/>
      <w:divBdr>
        <w:top w:val="none" w:sz="0" w:space="0" w:color="auto"/>
        <w:left w:val="none" w:sz="0" w:space="0" w:color="auto"/>
        <w:bottom w:val="none" w:sz="0" w:space="0" w:color="auto"/>
        <w:right w:val="none" w:sz="0" w:space="0" w:color="auto"/>
      </w:divBdr>
    </w:div>
    <w:div w:id="1718627999">
      <w:bodyDiv w:val="1"/>
      <w:marLeft w:val="0"/>
      <w:marRight w:val="0"/>
      <w:marTop w:val="0"/>
      <w:marBottom w:val="0"/>
      <w:divBdr>
        <w:top w:val="none" w:sz="0" w:space="0" w:color="auto"/>
        <w:left w:val="none" w:sz="0" w:space="0" w:color="auto"/>
        <w:bottom w:val="none" w:sz="0" w:space="0" w:color="auto"/>
        <w:right w:val="none" w:sz="0" w:space="0" w:color="auto"/>
      </w:divBdr>
    </w:div>
    <w:div w:id="1760364207">
      <w:bodyDiv w:val="1"/>
      <w:marLeft w:val="0"/>
      <w:marRight w:val="0"/>
      <w:marTop w:val="0"/>
      <w:marBottom w:val="0"/>
      <w:divBdr>
        <w:top w:val="none" w:sz="0" w:space="0" w:color="auto"/>
        <w:left w:val="none" w:sz="0" w:space="0" w:color="auto"/>
        <w:bottom w:val="none" w:sz="0" w:space="0" w:color="auto"/>
        <w:right w:val="none" w:sz="0" w:space="0" w:color="auto"/>
      </w:divBdr>
    </w:div>
    <w:div w:id="1788500207">
      <w:bodyDiv w:val="1"/>
      <w:marLeft w:val="0"/>
      <w:marRight w:val="0"/>
      <w:marTop w:val="0"/>
      <w:marBottom w:val="0"/>
      <w:divBdr>
        <w:top w:val="none" w:sz="0" w:space="0" w:color="auto"/>
        <w:left w:val="none" w:sz="0" w:space="0" w:color="auto"/>
        <w:bottom w:val="none" w:sz="0" w:space="0" w:color="auto"/>
        <w:right w:val="none" w:sz="0" w:space="0" w:color="auto"/>
      </w:divBdr>
    </w:div>
    <w:div w:id="1791583748">
      <w:bodyDiv w:val="1"/>
      <w:marLeft w:val="0"/>
      <w:marRight w:val="0"/>
      <w:marTop w:val="0"/>
      <w:marBottom w:val="0"/>
      <w:divBdr>
        <w:top w:val="none" w:sz="0" w:space="0" w:color="auto"/>
        <w:left w:val="none" w:sz="0" w:space="0" w:color="auto"/>
        <w:bottom w:val="none" w:sz="0" w:space="0" w:color="auto"/>
        <w:right w:val="none" w:sz="0" w:space="0" w:color="auto"/>
      </w:divBdr>
    </w:div>
    <w:div w:id="1820268103">
      <w:bodyDiv w:val="1"/>
      <w:marLeft w:val="0"/>
      <w:marRight w:val="0"/>
      <w:marTop w:val="0"/>
      <w:marBottom w:val="0"/>
      <w:divBdr>
        <w:top w:val="none" w:sz="0" w:space="0" w:color="auto"/>
        <w:left w:val="none" w:sz="0" w:space="0" w:color="auto"/>
        <w:bottom w:val="none" w:sz="0" w:space="0" w:color="auto"/>
        <w:right w:val="none" w:sz="0" w:space="0" w:color="auto"/>
      </w:divBdr>
    </w:div>
    <w:div w:id="1870605754">
      <w:bodyDiv w:val="1"/>
      <w:marLeft w:val="0"/>
      <w:marRight w:val="0"/>
      <w:marTop w:val="0"/>
      <w:marBottom w:val="0"/>
      <w:divBdr>
        <w:top w:val="none" w:sz="0" w:space="0" w:color="auto"/>
        <w:left w:val="none" w:sz="0" w:space="0" w:color="auto"/>
        <w:bottom w:val="none" w:sz="0" w:space="0" w:color="auto"/>
        <w:right w:val="none" w:sz="0" w:space="0" w:color="auto"/>
      </w:divBdr>
    </w:div>
    <w:div w:id="1871601511">
      <w:bodyDiv w:val="1"/>
      <w:marLeft w:val="0"/>
      <w:marRight w:val="0"/>
      <w:marTop w:val="0"/>
      <w:marBottom w:val="0"/>
      <w:divBdr>
        <w:top w:val="none" w:sz="0" w:space="0" w:color="auto"/>
        <w:left w:val="none" w:sz="0" w:space="0" w:color="auto"/>
        <w:bottom w:val="none" w:sz="0" w:space="0" w:color="auto"/>
        <w:right w:val="none" w:sz="0" w:space="0" w:color="auto"/>
      </w:divBdr>
    </w:div>
    <w:div w:id="1914509998">
      <w:bodyDiv w:val="1"/>
      <w:marLeft w:val="0"/>
      <w:marRight w:val="0"/>
      <w:marTop w:val="0"/>
      <w:marBottom w:val="0"/>
      <w:divBdr>
        <w:top w:val="none" w:sz="0" w:space="0" w:color="auto"/>
        <w:left w:val="none" w:sz="0" w:space="0" w:color="auto"/>
        <w:bottom w:val="none" w:sz="0" w:space="0" w:color="auto"/>
        <w:right w:val="none" w:sz="0" w:space="0" w:color="auto"/>
      </w:divBdr>
    </w:div>
    <w:div w:id="1919703644">
      <w:bodyDiv w:val="1"/>
      <w:marLeft w:val="0"/>
      <w:marRight w:val="0"/>
      <w:marTop w:val="0"/>
      <w:marBottom w:val="0"/>
      <w:divBdr>
        <w:top w:val="none" w:sz="0" w:space="0" w:color="auto"/>
        <w:left w:val="none" w:sz="0" w:space="0" w:color="auto"/>
        <w:bottom w:val="none" w:sz="0" w:space="0" w:color="auto"/>
        <w:right w:val="none" w:sz="0" w:space="0" w:color="auto"/>
      </w:divBdr>
    </w:div>
    <w:div w:id="1963149470">
      <w:bodyDiv w:val="1"/>
      <w:marLeft w:val="0"/>
      <w:marRight w:val="0"/>
      <w:marTop w:val="0"/>
      <w:marBottom w:val="0"/>
      <w:divBdr>
        <w:top w:val="none" w:sz="0" w:space="0" w:color="auto"/>
        <w:left w:val="none" w:sz="0" w:space="0" w:color="auto"/>
        <w:bottom w:val="none" w:sz="0" w:space="0" w:color="auto"/>
        <w:right w:val="none" w:sz="0" w:space="0" w:color="auto"/>
      </w:divBdr>
    </w:div>
    <w:div w:id="1981298860">
      <w:bodyDiv w:val="1"/>
      <w:marLeft w:val="0"/>
      <w:marRight w:val="0"/>
      <w:marTop w:val="0"/>
      <w:marBottom w:val="0"/>
      <w:divBdr>
        <w:top w:val="none" w:sz="0" w:space="0" w:color="auto"/>
        <w:left w:val="none" w:sz="0" w:space="0" w:color="auto"/>
        <w:bottom w:val="none" w:sz="0" w:space="0" w:color="auto"/>
        <w:right w:val="none" w:sz="0" w:space="0" w:color="auto"/>
      </w:divBdr>
    </w:div>
    <w:div w:id="2027242316">
      <w:bodyDiv w:val="1"/>
      <w:marLeft w:val="0"/>
      <w:marRight w:val="0"/>
      <w:marTop w:val="0"/>
      <w:marBottom w:val="0"/>
      <w:divBdr>
        <w:top w:val="none" w:sz="0" w:space="0" w:color="auto"/>
        <w:left w:val="none" w:sz="0" w:space="0" w:color="auto"/>
        <w:bottom w:val="none" w:sz="0" w:space="0" w:color="auto"/>
        <w:right w:val="none" w:sz="0" w:space="0" w:color="auto"/>
      </w:divBdr>
    </w:div>
    <w:div w:id="2029721901">
      <w:bodyDiv w:val="1"/>
      <w:marLeft w:val="0"/>
      <w:marRight w:val="0"/>
      <w:marTop w:val="0"/>
      <w:marBottom w:val="0"/>
      <w:divBdr>
        <w:top w:val="none" w:sz="0" w:space="0" w:color="auto"/>
        <w:left w:val="none" w:sz="0" w:space="0" w:color="auto"/>
        <w:bottom w:val="none" w:sz="0" w:space="0" w:color="auto"/>
        <w:right w:val="none" w:sz="0" w:space="0" w:color="auto"/>
      </w:divBdr>
    </w:div>
    <w:div w:id="2135370551">
      <w:bodyDiv w:val="1"/>
      <w:marLeft w:val="0"/>
      <w:marRight w:val="0"/>
      <w:marTop w:val="0"/>
      <w:marBottom w:val="0"/>
      <w:divBdr>
        <w:top w:val="none" w:sz="0" w:space="0" w:color="auto"/>
        <w:left w:val="none" w:sz="0" w:space="0" w:color="auto"/>
        <w:bottom w:val="none" w:sz="0" w:space="0" w:color="auto"/>
        <w:right w:val="none" w:sz="0" w:space="0" w:color="auto"/>
      </w:divBdr>
      <w:divsChild>
        <w:div w:id="482041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mailto:nwmedinfo@nhs.net?subject=New%20Medicines%20Newslette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s.nhs.uk"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kmi.nhs.uk/nd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nwmedinfo@nhs.net?subject=New%20Medicines%20Newslette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nwmedinfo@nhs.net?subject=New%20Medicines%20Newslette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s://www.sps.nhs.uk/articles/sps-horizon-scanning/" TargetMode="External"/><Relationship Id="rId2" Type="http://schemas.openxmlformats.org/officeDocument/2006/relationships/image" Target="media/image4.png"/><Relationship Id="rId1" Type="http://schemas.openxmlformats.org/officeDocument/2006/relationships/image" Target="media/image2.jpeg"/><Relationship Id="rId4" Type="http://schemas.openxmlformats.org/officeDocument/2006/relationships/hyperlink" Target="https://www.sps.nhs.uk/home/planning/annual-medicines-planning/" TargetMode="External"/></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s://digitalliverpool.sharepoint.com/sites/MA/Horizon%20Scanning/SPS%20HS%20publications/New%20Medicines%20News%20(incl%20Clinical%20Pharmacist)/Admin/New%20Medicines%20News%20template%202024.dotx?OR=81dd2b71-fb82-4b33-ac71-fed46bf0f87a&amp;CID=a76a6da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9F8181707A014BAADECFD0EF2EB9F0" ma:contentTypeVersion="16" ma:contentTypeDescription="Create a new document." ma:contentTypeScope="" ma:versionID="69551a5784e70bddd807bb4d969773d2">
  <xsd:schema xmlns:xsd="http://www.w3.org/2001/XMLSchema" xmlns:xs="http://www.w3.org/2001/XMLSchema" xmlns:p="http://schemas.microsoft.com/office/2006/metadata/properties" xmlns:ns2="bc6437e3-65b5-4a7b-a123-cc0b1a712dbe" xmlns:ns3="9930fb2e-2b64-4524-8d19-1f206af19760" targetNamespace="http://schemas.microsoft.com/office/2006/metadata/properties" ma:root="true" ma:fieldsID="2f214097e4153fa8a951522943d18534" ns2:_="" ns3:_="">
    <xsd:import namespace="bc6437e3-65b5-4a7b-a123-cc0b1a712dbe"/>
    <xsd:import namespace="9930fb2e-2b64-4524-8d19-1f206af19760"/>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element ref="ns2:MediaServiceObjectDetectorVersions" minOccurs="0"/>
                <xsd:element ref="ns2:Checker"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437e3-65b5-4a7b-a123-cc0b1a712dbe"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Draft complete"/>
          <xsd:enumeration value="Draft screened"/>
          <xsd:enumeration value="Draft ready for check"/>
          <xsd:enumeration value="Draft checked"/>
          <xsd:enumeration value="Draft finalis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Checker" ma:index="13" nillable="true" ma:displayName="Checker" ma:format="Dropdown" ma:list="UserInfo" ma:SharePointGroup="0" ma:internalName="Check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f7bbe51-9dae-4c22-8e8f-1dcfaba2806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30fb2e-2b64-4524-8d19-1f206af1976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974dfa-c764-4829-9cd5-f0d2f4cc9654}" ma:internalName="TaxCatchAll" ma:showField="CatchAllData" ma:web="9930fb2e-2b64-4524-8d19-1f206af197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c6437e3-65b5-4a7b-a123-cc0b1a712dbe" xsi:nil="true"/>
    <Checker xmlns="bc6437e3-65b5-4a7b-a123-cc0b1a712dbe">
      <UserInfo>
        <DisplayName/>
        <AccountId xsi:nil="true"/>
        <AccountType/>
      </UserInfo>
    </Checker>
    <TaxCatchAll xmlns="9930fb2e-2b64-4524-8d19-1f206af19760" xsi:nil="true"/>
    <lcf76f155ced4ddcb4097134ff3c332f xmlns="bc6437e3-65b5-4a7b-a123-cc0b1a712db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98619-2BC3-4096-8BFA-F961D2693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437e3-65b5-4a7b-a123-cc0b1a712dbe"/>
    <ds:schemaRef ds:uri="9930fb2e-2b64-4524-8d19-1f206af19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491869-6A80-4380-B4C8-BDFECDE465A6}">
  <ds:schemaRefs>
    <ds:schemaRef ds:uri="http://schemas.microsoft.com/sharepoint/v3/contenttype/forms"/>
  </ds:schemaRefs>
</ds:datastoreItem>
</file>

<file path=customXml/itemProps3.xml><?xml version="1.0" encoding="utf-8"?>
<ds:datastoreItem xmlns:ds="http://schemas.openxmlformats.org/officeDocument/2006/customXml" ds:itemID="{1EB4F6B2-13C0-4835-BE83-75A0D0B4856D}">
  <ds:schemaRefs>
    <ds:schemaRef ds:uri="http://schemas.microsoft.com/office/2006/metadata/properties"/>
    <ds:schemaRef ds:uri="http://schemas.microsoft.com/office/infopath/2007/PartnerControls"/>
    <ds:schemaRef ds:uri="bc6437e3-65b5-4a7b-a123-cc0b1a712dbe"/>
    <ds:schemaRef ds:uri="9930fb2e-2b64-4524-8d19-1f206af19760"/>
  </ds:schemaRefs>
</ds:datastoreItem>
</file>

<file path=customXml/itemProps4.xml><?xml version="1.0" encoding="utf-8"?>
<ds:datastoreItem xmlns:ds="http://schemas.openxmlformats.org/officeDocument/2006/customXml" ds:itemID="{E9F6E074-DAC3-464B-8E55-384774156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New%20Medicines%20News%20template%202024.dotx?OR=81dd2b71-fb82-4b33-ac71-fed46bf0f87a&amp;CID=a76a6da1-30</Template>
  <TotalTime>1347</TotalTime>
  <Pages>8</Pages>
  <Words>4355</Words>
  <Characters>24824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NDO home | Contact | Register for NDO access</vt:lpstr>
    </vt:vector>
  </TitlesOfParts>
  <Company>NMHIS</Company>
  <LinksUpToDate>false</LinksUpToDate>
  <CharactersWithSpaces>29121</CharactersWithSpaces>
  <SharedDoc>false</SharedDoc>
  <HLinks>
    <vt:vector size="498" baseType="variant">
      <vt:variant>
        <vt:i4>458841</vt:i4>
      </vt:variant>
      <vt:variant>
        <vt:i4>228</vt:i4>
      </vt:variant>
      <vt:variant>
        <vt:i4>0</vt:i4>
      </vt:variant>
      <vt:variant>
        <vt:i4>5</vt:i4>
      </vt:variant>
      <vt:variant>
        <vt:lpwstr>https://www.sps.nhs.uk/medicines/zuranolone/</vt:lpwstr>
      </vt:variant>
      <vt:variant>
        <vt:lpwstr/>
      </vt:variant>
      <vt:variant>
        <vt:i4>7602219</vt:i4>
      </vt:variant>
      <vt:variant>
        <vt:i4>225</vt:i4>
      </vt:variant>
      <vt:variant>
        <vt:i4>0</vt:i4>
      </vt:variant>
      <vt:variant>
        <vt:i4>5</vt:i4>
      </vt:variant>
      <vt:variant>
        <vt:lpwstr>https://www.sps.nhs.uk/medicines/zoliflodacin/</vt:lpwstr>
      </vt:variant>
      <vt:variant>
        <vt:lpwstr/>
      </vt:variant>
      <vt:variant>
        <vt:i4>8323111</vt:i4>
      </vt:variant>
      <vt:variant>
        <vt:i4>222</vt:i4>
      </vt:variant>
      <vt:variant>
        <vt:i4>0</vt:i4>
      </vt:variant>
      <vt:variant>
        <vt:i4>5</vt:i4>
      </vt:variant>
      <vt:variant>
        <vt:lpwstr>https://www.sps.nhs.uk/medicines/upadacitinib/</vt:lpwstr>
      </vt:variant>
      <vt:variant>
        <vt:lpwstr/>
      </vt:variant>
      <vt:variant>
        <vt:i4>5570648</vt:i4>
      </vt:variant>
      <vt:variant>
        <vt:i4>219</vt:i4>
      </vt:variant>
      <vt:variant>
        <vt:i4>0</vt:i4>
      </vt:variant>
      <vt:variant>
        <vt:i4>5</vt:i4>
      </vt:variant>
      <vt:variant>
        <vt:lpwstr>https://www.sps.nhs.uk/medicines/sep-363856/</vt:lpwstr>
      </vt:variant>
      <vt:variant>
        <vt:lpwstr/>
      </vt:variant>
      <vt:variant>
        <vt:i4>131160</vt:i4>
      </vt:variant>
      <vt:variant>
        <vt:i4>216</vt:i4>
      </vt:variant>
      <vt:variant>
        <vt:i4>0</vt:i4>
      </vt:variant>
      <vt:variant>
        <vt:i4>5</vt:i4>
      </vt:variant>
      <vt:variant>
        <vt:lpwstr>https://www.sps.nhs.uk/medicines/padesvonil/</vt:lpwstr>
      </vt:variant>
      <vt:variant>
        <vt:lpwstr/>
      </vt:variant>
      <vt:variant>
        <vt:i4>4456520</vt:i4>
      </vt:variant>
      <vt:variant>
        <vt:i4>213</vt:i4>
      </vt:variant>
      <vt:variant>
        <vt:i4>0</vt:i4>
      </vt:variant>
      <vt:variant>
        <vt:i4>5</vt:i4>
      </vt:variant>
      <vt:variant>
        <vt:lpwstr>https://www.sps.nhs.uk/medicines/opiranserin/</vt:lpwstr>
      </vt:variant>
      <vt:variant>
        <vt:lpwstr/>
      </vt:variant>
      <vt:variant>
        <vt:i4>2555944</vt:i4>
      </vt:variant>
      <vt:variant>
        <vt:i4>210</vt:i4>
      </vt:variant>
      <vt:variant>
        <vt:i4>0</vt:i4>
      </vt:variant>
      <vt:variant>
        <vt:i4>5</vt:i4>
      </vt:variant>
      <vt:variant>
        <vt:lpwstr>https://www.sps.nhs.uk/medicines/mitapivat/</vt:lpwstr>
      </vt:variant>
      <vt:variant>
        <vt:lpwstr/>
      </vt:variant>
      <vt:variant>
        <vt:i4>393288</vt:i4>
      </vt:variant>
      <vt:variant>
        <vt:i4>207</vt:i4>
      </vt:variant>
      <vt:variant>
        <vt:i4>0</vt:i4>
      </vt:variant>
      <vt:variant>
        <vt:i4>5</vt:i4>
      </vt:variant>
      <vt:variant>
        <vt:lpwstr>https://www.sps.nhs.uk/medicines/linzagolix/</vt:lpwstr>
      </vt:variant>
      <vt:variant>
        <vt:lpwstr/>
      </vt:variant>
      <vt:variant>
        <vt:i4>3604520</vt:i4>
      </vt:variant>
      <vt:variant>
        <vt:i4>204</vt:i4>
      </vt:variant>
      <vt:variant>
        <vt:i4>0</vt:i4>
      </vt:variant>
      <vt:variant>
        <vt:i4>5</vt:i4>
      </vt:variant>
      <vt:variant>
        <vt:lpwstr>https://www.sps.nhs.uk/medicines/leriglitazone/</vt:lpwstr>
      </vt:variant>
      <vt:variant>
        <vt:lpwstr/>
      </vt:variant>
      <vt:variant>
        <vt:i4>7929889</vt:i4>
      </vt:variant>
      <vt:variant>
        <vt:i4>201</vt:i4>
      </vt:variant>
      <vt:variant>
        <vt:i4>0</vt:i4>
      </vt:variant>
      <vt:variant>
        <vt:i4>5</vt:i4>
      </vt:variant>
      <vt:variant>
        <vt:lpwstr>https://www.sps.nhs.uk/medicines/lebrikizumab/</vt:lpwstr>
      </vt:variant>
      <vt:variant>
        <vt:lpwstr/>
      </vt:variant>
      <vt:variant>
        <vt:i4>524381</vt:i4>
      </vt:variant>
      <vt:variant>
        <vt:i4>198</vt:i4>
      </vt:variant>
      <vt:variant>
        <vt:i4>0</vt:i4>
      </vt:variant>
      <vt:variant>
        <vt:i4>5</vt:i4>
      </vt:variant>
      <vt:variant>
        <vt:lpwstr>https://www.sps.nhs.uk/medicines/glatiramer/</vt:lpwstr>
      </vt:variant>
      <vt:variant>
        <vt:lpwstr/>
      </vt:variant>
      <vt:variant>
        <vt:i4>5832790</vt:i4>
      </vt:variant>
      <vt:variant>
        <vt:i4>195</vt:i4>
      </vt:variant>
      <vt:variant>
        <vt:i4>0</vt:i4>
      </vt:variant>
      <vt:variant>
        <vt:i4>5</vt:i4>
      </vt:variant>
      <vt:variant>
        <vt:lpwstr>https://www.sps.nhs.uk/medicines/fcr-001/</vt:lpwstr>
      </vt:variant>
      <vt:variant>
        <vt:lpwstr/>
      </vt:variant>
      <vt:variant>
        <vt:i4>3080232</vt:i4>
      </vt:variant>
      <vt:variant>
        <vt:i4>192</vt:i4>
      </vt:variant>
      <vt:variant>
        <vt:i4>0</vt:i4>
      </vt:variant>
      <vt:variant>
        <vt:i4>5</vt:i4>
      </vt:variant>
      <vt:variant>
        <vt:lpwstr>https://www.sps.nhs.uk/medicines/empagliflozin/</vt:lpwstr>
      </vt:variant>
      <vt:variant>
        <vt:lpwstr/>
      </vt:variant>
      <vt:variant>
        <vt:i4>2752551</vt:i4>
      </vt:variant>
      <vt:variant>
        <vt:i4>189</vt:i4>
      </vt:variant>
      <vt:variant>
        <vt:i4>0</vt:i4>
      </vt:variant>
      <vt:variant>
        <vt:i4>5</vt:i4>
      </vt:variant>
      <vt:variant>
        <vt:lpwstr>https://www.sps.nhs.uk/medicines/diazoxide/</vt:lpwstr>
      </vt:variant>
      <vt:variant>
        <vt:lpwstr/>
      </vt:variant>
      <vt:variant>
        <vt:i4>6815782</vt:i4>
      </vt:variant>
      <vt:variant>
        <vt:i4>186</vt:i4>
      </vt:variant>
      <vt:variant>
        <vt:i4>0</vt:i4>
      </vt:variant>
      <vt:variant>
        <vt:i4>5</vt:i4>
      </vt:variant>
      <vt:variant>
        <vt:lpwstr>https://www.sps.nhs.uk/medicines/dasiglucagon/</vt:lpwstr>
      </vt:variant>
      <vt:variant>
        <vt:lpwstr/>
      </vt:variant>
      <vt:variant>
        <vt:i4>4194380</vt:i4>
      </vt:variant>
      <vt:variant>
        <vt:i4>183</vt:i4>
      </vt:variant>
      <vt:variant>
        <vt:i4>0</vt:i4>
      </vt:variant>
      <vt:variant>
        <vt:i4>5</vt:i4>
      </vt:variant>
      <vt:variant>
        <vt:lpwstr>https://www.sps.nhs.uk/medicines/cyclobenzaprine/</vt:lpwstr>
      </vt:variant>
      <vt:variant>
        <vt:lpwstr/>
      </vt:variant>
      <vt:variant>
        <vt:i4>1179733</vt:i4>
      </vt:variant>
      <vt:variant>
        <vt:i4>180</vt:i4>
      </vt:variant>
      <vt:variant>
        <vt:i4>0</vt:i4>
      </vt:variant>
      <vt:variant>
        <vt:i4>5</vt:i4>
      </vt:variant>
      <vt:variant>
        <vt:lpwstr>https://www.sps.nhs.uk/medicines/bumetanide/</vt:lpwstr>
      </vt:variant>
      <vt:variant>
        <vt:lpwstr/>
      </vt:variant>
      <vt:variant>
        <vt:i4>1835099</vt:i4>
      </vt:variant>
      <vt:variant>
        <vt:i4>177</vt:i4>
      </vt:variant>
      <vt:variant>
        <vt:i4>0</vt:i4>
      </vt:variant>
      <vt:variant>
        <vt:i4>5</vt:i4>
      </vt:variant>
      <vt:variant>
        <vt:lpwstr>https://www.sps.nhs.uk/medicines/budesonide/</vt:lpwstr>
      </vt:variant>
      <vt:variant>
        <vt:lpwstr/>
      </vt:variant>
      <vt:variant>
        <vt:i4>1638427</vt:i4>
      </vt:variant>
      <vt:variant>
        <vt:i4>174</vt:i4>
      </vt:variant>
      <vt:variant>
        <vt:i4>0</vt:i4>
      </vt:variant>
      <vt:variant>
        <vt:i4>5</vt:i4>
      </vt:variant>
      <vt:variant>
        <vt:lpwstr>https://www.sps.nhs.uk/medicines/bardoxolone-methyl/</vt:lpwstr>
      </vt:variant>
      <vt:variant>
        <vt:lpwstr/>
      </vt:variant>
      <vt:variant>
        <vt:i4>5767195</vt:i4>
      </vt:variant>
      <vt:variant>
        <vt:i4>171</vt:i4>
      </vt:variant>
      <vt:variant>
        <vt:i4>0</vt:i4>
      </vt:variant>
      <vt:variant>
        <vt:i4>5</vt:i4>
      </vt:variant>
      <vt:variant>
        <vt:lpwstr>https://www.sps.nhs.uk/medicines/autologous-bm-derived-stem-cell-therapy/</vt:lpwstr>
      </vt:variant>
      <vt:variant>
        <vt:lpwstr/>
      </vt:variant>
      <vt:variant>
        <vt:i4>4587591</vt:i4>
      </vt:variant>
      <vt:variant>
        <vt:i4>168</vt:i4>
      </vt:variant>
      <vt:variant>
        <vt:i4>0</vt:i4>
      </vt:variant>
      <vt:variant>
        <vt:i4>5</vt:i4>
      </vt:variant>
      <vt:variant>
        <vt:lpwstr>https://www.sps.nhs.uk/medicines/at-gtx-501/</vt:lpwstr>
      </vt:variant>
      <vt:variant>
        <vt:lpwstr/>
      </vt:variant>
      <vt:variant>
        <vt:i4>7864359</vt:i4>
      </vt:variant>
      <vt:variant>
        <vt:i4>165</vt:i4>
      </vt:variant>
      <vt:variant>
        <vt:i4>0</vt:i4>
      </vt:variant>
      <vt:variant>
        <vt:i4>5</vt:i4>
      </vt:variant>
      <vt:variant>
        <vt:lpwstr>https://www.sps.nhs.uk/medicines/telapristone/</vt:lpwstr>
      </vt:variant>
      <vt:variant>
        <vt:lpwstr/>
      </vt:variant>
      <vt:variant>
        <vt:i4>7864359</vt:i4>
      </vt:variant>
      <vt:variant>
        <vt:i4>162</vt:i4>
      </vt:variant>
      <vt:variant>
        <vt:i4>0</vt:i4>
      </vt:variant>
      <vt:variant>
        <vt:i4>5</vt:i4>
      </vt:variant>
      <vt:variant>
        <vt:lpwstr>https://www.sps.nhs.uk/medicines/telapristone/</vt:lpwstr>
      </vt:variant>
      <vt:variant>
        <vt:lpwstr/>
      </vt:variant>
      <vt:variant>
        <vt:i4>1769490</vt:i4>
      </vt:variant>
      <vt:variant>
        <vt:i4>159</vt:i4>
      </vt:variant>
      <vt:variant>
        <vt:i4>0</vt:i4>
      </vt:variant>
      <vt:variant>
        <vt:i4>5</vt:i4>
      </vt:variant>
      <vt:variant>
        <vt:lpwstr>https://www.sps.nhs.uk/medicines/t-cell-replacement-therapy/</vt:lpwstr>
      </vt:variant>
      <vt:variant>
        <vt:lpwstr/>
      </vt:variant>
      <vt:variant>
        <vt:i4>1245262</vt:i4>
      </vt:variant>
      <vt:variant>
        <vt:i4>156</vt:i4>
      </vt:variant>
      <vt:variant>
        <vt:i4>0</vt:i4>
      </vt:variant>
      <vt:variant>
        <vt:i4>5</vt:i4>
      </vt:variant>
      <vt:variant>
        <vt:lpwstr>https://www.sps.nhs.uk/medicines/salmeterol/</vt:lpwstr>
      </vt:variant>
      <vt:variant>
        <vt:lpwstr/>
      </vt:variant>
      <vt:variant>
        <vt:i4>1966174</vt:i4>
      </vt:variant>
      <vt:variant>
        <vt:i4>153</vt:i4>
      </vt:variant>
      <vt:variant>
        <vt:i4>0</vt:i4>
      </vt:variant>
      <vt:variant>
        <vt:i4>5</vt:i4>
      </vt:variant>
      <vt:variant>
        <vt:lpwstr>https://www.sps.nhs.uk/medicines/rapastinel/</vt:lpwstr>
      </vt:variant>
      <vt:variant>
        <vt:lpwstr/>
      </vt:variant>
      <vt:variant>
        <vt:i4>3276927</vt:i4>
      </vt:variant>
      <vt:variant>
        <vt:i4>150</vt:i4>
      </vt:variant>
      <vt:variant>
        <vt:i4>0</vt:i4>
      </vt:variant>
      <vt:variant>
        <vt:i4>5</vt:i4>
      </vt:variant>
      <vt:variant>
        <vt:lpwstr>https://www.sps.nhs.uk/medicines/pegylated-recombinant-human-hyaluronidase/</vt:lpwstr>
      </vt:variant>
      <vt:variant>
        <vt:lpwstr/>
      </vt:variant>
      <vt:variant>
        <vt:i4>4849741</vt:i4>
      </vt:variant>
      <vt:variant>
        <vt:i4>147</vt:i4>
      </vt:variant>
      <vt:variant>
        <vt:i4>0</vt:i4>
      </vt:variant>
      <vt:variant>
        <vt:i4>5</vt:i4>
      </vt:variant>
      <vt:variant>
        <vt:lpwstr>https://www.sps.nhs.uk/medicines/nilvadipine/</vt:lpwstr>
      </vt:variant>
      <vt:variant>
        <vt:lpwstr/>
      </vt:variant>
      <vt:variant>
        <vt:i4>7798828</vt:i4>
      </vt:variant>
      <vt:variant>
        <vt:i4>144</vt:i4>
      </vt:variant>
      <vt:variant>
        <vt:i4>0</vt:i4>
      </vt:variant>
      <vt:variant>
        <vt:i4>5</vt:i4>
      </vt:variant>
      <vt:variant>
        <vt:lpwstr>https://www.sps.nhs.uk/medicines/naloxone/</vt:lpwstr>
      </vt:variant>
      <vt:variant>
        <vt:lpwstr/>
      </vt:variant>
      <vt:variant>
        <vt:i4>1441887</vt:i4>
      </vt:variant>
      <vt:variant>
        <vt:i4>141</vt:i4>
      </vt:variant>
      <vt:variant>
        <vt:i4>0</vt:i4>
      </vt:variant>
      <vt:variant>
        <vt:i4>5</vt:i4>
      </vt:variant>
      <vt:variant>
        <vt:lpwstr>https://www.sps.nhs.uk/medicines/macitentan/</vt:lpwstr>
      </vt:variant>
      <vt:variant>
        <vt:lpwstr/>
      </vt:variant>
      <vt:variant>
        <vt:i4>6225993</vt:i4>
      </vt:variant>
      <vt:variant>
        <vt:i4>138</vt:i4>
      </vt:variant>
      <vt:variant>
        <vt:i4>0</vt:i4>
      </vt:variant>
      <vt:variant>
        <vt:i4>5</vt:i4>
      </vt:variant>
      <vt:variant>
        <vt:lpwstr>https://www.sps.nhs.uk/medicines/hydroxyprogesterone/</vt:lpwstr>
      </vt:variant>
      <vt:variant>
        <vt:lpwstr/>
      </vt:variant>
      <vt:variant>
        <vt:i4>2687026</vt:i4>
      </vt:variant>
      <vt:variant>
        <vt:i4>135</vt:i4>
      </vt:variant>
      <vt:variant>
        <vt:i4>0</vt:i4>
      </vt:variant>
      <vt:variant>
        <vt:i4>5</vt:i4>
      </vt:variant>
      <vt:variant>
        <vt:lpwstr>https://www.sps.nhs.uk/medicines/ciprofloxacin/</vt:lpwstr>
      </vt:variant>
      <vt:variant>
        <vt:lpwstr/>
      </vt:variant>
      <vt:variant>
        <vt:i4>196702</vt:i4>
      </vt:variant>
      <vt:variant>
        <vt:i4>132</vt:i4>
      </vt:variant>
      <vt:variant>
        <vt:i4>0</vt:i4>
      </vt:variant>
      <vt:variant>
        <vt:i4>5</vt:i4>
      </vt:variant>
      <vt:variant>
        <vt:lpwstr>https://www.sps.nhs.uk/medicines/calcitonin/</vt:lpwstr>
      </vt:variant>
      <vt:variant>
        <vt:lpwstr/>
      </vt:variant>
      <vt:variant>
        <vt:i4>7667749</vt:i4>
      </vt:variant>
      <vt:variant>
        <vt:i4>129</vt:i4>
      </vt:variant>
      <vt:variant>
        <vt:i4>0</vt:i4>
      </vt:variant>
      <vt:variant>
        <vt:i4>5</vt:i4>
      </vt:variant>
      <vt:variant>
        <vt:lpwstr>https://www.sps.nhs.uk/medicines/c1-esterase-inhibitor/</vt:lpwstr>
      </vt:variant>
      <vt:variant>
        <vt:lpwstr/>
      </vt:variant>
      <vt:variant>
        <vt:i4>2490478</vt:i4>
      </vt:variant>
      <vt:variant>
        <vt:i4>126</vt:i4>
      </vt:variant>
      <vt:variant>
        <vt:i4>0</vt:i4>
      </vt:variant>
      <vt:variant>
        <vt:i4>5</vt:i4>
      </vt:variant>
      <vt:variant>
        <vt:lpwstr>https://www.sps.nhs.uk/medicines/buprenorphine-samidorphan/</vt:lpwstr>
      </vt:variant>
      <vt:variant>
        <vt:lpwstr/>
      </vt:variant>
      <vt:variant>
        <vt:i4>2621493</vt:i4>
      </vt:variant>
      <vt:variant>
        <vt:i4>123</vt:i4>
      </vt:variant>
      <vt:variant>
        <vt:i4>0</vt:i4>
      </vt:variant>
      <vt:variant>
        <vt:i4>5</vt:i4>
      </vt:variant>
      <vt:variant>
        <vt:lpwstr>https://www.sps.nhs.uk/medicines/buprenorphine/</vt:lpwstr>
      </vt:variant>
      <vt:variant>
        <vt:lpwstr/>
      </vt:variant>
      <vt:variant>
        <vt:i4>3538984</vt:i4>
      </vt:variant>
      <vt:variant>
        <vt:i4>120</vt:i4>
      </vt:variant>
      <vt:variant>
        <vt:i4>0</vt:i4>
      </vt:variant>
      <vt:variant>
        <vt:i4>5</vt:i4>
      </vt:variant>
      <vt:variant>
        <vt:lpwstr>https://www.sps.nhs.uk/medicines/botulinum-a-toxin/</vt:lpwstr>
      </vt:variant>
      <vt:variant>
        <vt:lpwstr/>
      </vt:variant>
      <vt:variant>
        <vt:i4>458843</vt:i4>
      </vt:variant>
      <vt:variant>
        <vt:i4>117</vt:i4>
      </vt:variant>
      <vt:variant>
        <vt:i4>0</vt:i4>
      </vt:variant>
      <vt:variant>
        <vt:i4>5</vt:i4>
      </vt:variant>
      <vt:variant>
        <vt:lpwstr>https://www.sps.nhs.uk/medicines/biotin/</vt:lpwstr>
      </vt:variant>
      <vt:variant>
        <vt:lpwstr/>
      </vt:variant>
      <vt:variant>
        <vt:i4>3145761</vt:i4>
      </vt:variant>
      <vt:variant>
        <vt:i4>114</vt:i4>
      </vt:variant>
      <vt:variant>
        <vt:i4>0</vt:i4>
      </vt:variant>
      <vt:variant>
        <vt:i4>5</vt:i4>
      </vt:variant>
      <vt:variant>
        <vt:lpwstr>https://www.sps.nhs.uk/medicines/arbaclofen-placarbil/</vt:lpwstr>
      </vt:variant>
      <vt:variant>
        <vt:lpwstr/>
      </vt:variant>
      <vt:variant>
        <vt:i4>1572889</vt:i4>
      </vt:variant>
      <vt:variant>
        <vt:i4>111</vt:i4>
      </vt:variant>
      <vt:variant>
        <vt:i4>0</vt:i4>
      </vt:variant>
      <vt:variant>
        <vt:i4>5</vt:i4>
      </vt:variant>
      <vt:variant>
        <vt:lpwstr>https://www.sps.nhs.uk/medicines/valoctocogene-roxaparvovec/</vt:lpwstr>
      </vt:variant>
      <vt:variant>
        <vt:lpwstr/>
      </vt:variant>
      <vt:variant>
        <vt:i4>2031697</vt:i4>
      </vt:variant>
      <vt:variant>
        <vt:i4>108</vt:i4>
      </vt:variant>
      <vt:variant>
        <vt:i4>0</vt:i4>
      </vt:variant>
      <vt:variant>
        <vt:i4>5</vt:i4>
      </vt:variant>
      <vt:variant>
        <vt:lpwstr>https://www.sps.nhs.uk/medicines/meningococcal-groups-a-c-w135-y-vaccine/</vt:lpwstr>
      </vt:variant>
      <vt:variant>
        <vt:lpwstr/>
      </vt:variant>
      <vt:variant>
        <vt:i4>5374020</vt:i4>
      </vt:variant>
      <vt:variant>
        <vt:i4>105</vt:i4>
      </vt:variant>
      <vt:variant>
        <vt:i4>0</vt:i4>
      </vt:variant>
      <vt:variant>
        <vt:i4>5</vt:i4>
      </vt:variant>
      <vt:variant>
        <vt:lpwstr>https://www.sps.nhs.uk/medicines/encorafenib/</vt:lpwstr>
      </vt:variant>
      <vt:variant>
        <vt:lpwstr/>
      </vt:variant>
      <vt:variant>
        <vt:i4>7209001</vt:i4>
      </vt:variant>
      <vt:variant>
        <vt:i4>102</vt:i4>
      </vt:variant>
      <vt:variant>
        <vt:i4>0</vt:i4>
      </vt:variant>
      <vt:variant>
        <vt:i4>5</vt:i4>
      </vt:variant>
      <vt:variant>
        <vt:lpwstr>https://www.sps.nhs.uk/medicines/elexacaftor-ivacaftor-tezacaftor/</vt:lpwstr>
      </vt:variant>
      <vt:variant>
        <vt:lpwstr/>
      </vt:variant>
      <vt:variant>
        <vt:i4>4849729</vt:i4>
      </vt:variant>
      <vt:variant>
        <vt:i4>99</vt:i4>
      </vt:variant>
      <vt:variant>
        <vt:i4>0</vt:i4>
      </vt:variant>
      <vt:variant>
        <vt:i4>5</vt:i4>
      </vt:variant>
      <vt:variant>
        <vt:lpwstr>https://www.sps.nhs.uk/medicines/bulevirtide/</vt:lpwstr>
      </vt:variant>
      <vt:variant>
        <vt:lpwstr/>
      </vt:variant>
      <vt:variant>
        <vt:i4>5570637</vt:i4>
      </vt:variant>
      <vt:variant>
        <vt:i4>96</vt:i4>
      </vt:variant>
      <vt:variant>
        <vt:i4>0</vt:i4>
      </vt:variant>
      <vt:variant>
        <vt:i4>5</vt:i4>
      </vt:variant>
      <vt:variant>
        <vt:lpwstr>https://www.sps.nhs.uk/medicines/binimetinib/</vt:lpwstr>
      </vt:variant>
      <vt:variant>
        <vt:lpwstr/>
      </vt:variant>
      <vt:variant>
        <vt:i4>4128817</vt:i4>
      </vt:variant>
      <vt:variant>
        <vt:i4>93</vt:i4>
      </vt:variant>
      <vt:variant>
        <vt:i4>0</vt:i4>
      </vt:variant>
      <vt:variant>
        <vt:i4>5</vt:i4>
      </vt:variant>
      <vt:variant>
        <vt:lpwstr>https://www.sps.nhs.uk/medicines/ad26-ebov-vaccine/</vt:lpwstr>
      </vt:variant>
      <vt:variant>
        <vt:lpwstr/>
      </vt:variant>
      <vt:variant>
        <vt:i4>2555952</vt:i4>
      </vt:variant>
      <vt:variant>
        <vt:i4>90</vt:i4>
      </vt:variant>
      <vt:variant>
        <vt:i4>0</vt:i4>
      </vt:variant>
      <vt:variant>
        <vt:i4>5</vt:i4>
      </vt:variant>
      <vt:variant>
        <vt:lpwstr>https://www.sps.nhs.uk/medicines/acalabrutinib/</vt:lpwstr>
      </vt:variant>
      <vt:variant>
        <vt:lpwstr/>
      </vt:variant>
      <vt:variant>
        <vt:i4>2818164</vt:i4>
      </vt:variant>
      <vt:variant>
        <vt:i4>87</vt:i4>
      </vt:variant>
      <vt:variant>
        <vt:i4>0</vt:i4>
      </vt:variant>
      <vt:variant>
        <vt:i4>5</vt:i4>
      </vt:variant>
      <vt:variant>
        <vt:lpwstr>https://www.sps.nhs.uk/medicines/trastuzumab-emtansine/</vt:lpwstr>
      </vt:variant>
      <vt:variant>
        <vt:lpwstr/>
      </vt:variant>
      <vt:variant>
        <vt:i4>7471146</vt:i4>
      </vt:variant>
      <vt:variant>
        <vt:i4>84</vt:i4>
      </vt:variant>
      <vt:variant>
        <vt:i4>0</vt:i4>
      </vt:variant>
      <vt:variant>
        <vt:i4>5</vt:i4>
      </vt:variant>
      <vt:variant>
        <vt:lpwstr>https://www.sps.nhs.uk/medicines/solriamfetol/</vt:lpwstr>
      </vt:variant>
      <vt:variant>
        <vt:lpwstr/>
      </vt:variant>
      <vt:variant>
        <vt:i4>2621480</vt:i4>
      </vt:variant>
      <vt:variant>
        <vt:i4>81</vt:i4>
      </vt:variant>
      <vt:variant>
        <vt:i4>0</vt:i4>
      </vt:variant>
      <vt:variant>
        <vt:i4>5</vt:i4>
      </vt:variant>
      <vt:variant>
        <vt:lpwstr>https://www.sps.nhs.uk/medicines/siponimod/</vt:lpwstr>
      </vt:variant>
      <vt:variant>
        <vt:lpwstr/>
      </vt:variant>
      <vt:variant>
        <vt:i4>5308487</vt:i4>
      </vt:variant>
      <vt:variant>
        <vt:i4>78</vt:i4>
      </vt:variant>
      <vt:variant>
        <vt:i4>0</vt:i4>
      </vt:variant>
      <vt:variant>
        <vt:i4>5</vt:i4>
      </vt:variant>
      <vt:variant>
        <vt:lpwstr>https://www.sps.nhs.uk/medicines/polatuzumab/</vt:lpwstr>
      </vt:variant>
      <vt:variant>
        <vt:lpwstr/>
      </vt:variant>
      <vt:variant>
        <vt:i4>6946876</vt:i4>
      </vt:variant>
      <vt:variant>
        <vt:i4>75</vt:i4>
      </vt:variant>
      <vt:variant>
        <vt:i4>0</vt:i4>
      </vt:variant>
      <vt:variant>
        <vt:i4>5</vt:i4>
      </vt:variant>
      <vt:variant>
        <vt:lpwstr>https://www.sps.nhs.uk/medicines/osilodrostat/</vt:lpwstr>
      </vt:variant>
      <vt:variant>
        <vt:lpwstr/>
      </vt:variant>
      <vt:variant>
        <vt:i4>6291494</vt:i4>
      </vt:variant>
      <vt:variant>
        <vt:i4>72</vt:i4>
      </vt:variant>
      <vt:variant>
        <vt:i4>0</vt:i4>
      </vt:variant>
      <vt:variant>
        <vt:i4>5</vt:i4>
      </vt:variant>
      <vt:variant>
        <vt:lpwstr>https://www.sps.nhs.uk/medicines/lenalidomide/</vt:lpwstr>
      </vt:variant>
      <vt:variant>
        <vt:lpwstr/>
      </vt:variant>
      <vt:variant>
        <vt:i4>7733280</vt:i4>
      </vt:variant>
      <vt:variant>
        <vt:i4>69</vt:i4>
      </vt:variant>
      <vt:variant>
        <vt:i4>0</vt:i4>
      </vt:variant>
      <vt:variant>
        <vt:i4>5</vt:i4>
      </vt:variant>
      <vt:variant>
        <vt:lpwstr>https://www.sps.nhs.uk/medicines/fostamatinib-disodium/</vt:lpwstr>
      </vt:variant>
      <vt:variant>
        <vt:lpwstr/>
      </vt:variant>
      <vt:variant>
        <vt:i4>3342373</vt:i4>
      </vt:variant>
      <vt:variant>
        <vt:i4>66</vt:i4>
      </vt:variant>
      <vt:variant>
        <vt:i4>0</vt:i4>
      </vt:variant>
      <vt:variant>
        <vt:i4>5</vt:i4>
      </vt:variant>
      <vt:variant>
        <vt:lpwstr>https://www.sps.nhs.uk/medicines/trientine/</vt:lpwstr>
      </vt:variant>
      <vt:variant>
        <vt:lpwstr/>
      </vt:variant>
      <vt:variant>
        <vt:i4>1900625</vt:i4>
      </vt:variant>
      <vt:variant>
        <vt:i4>63</vt:i4>
      </vt:variant>
      <vt:variant>
        <vt:i4>0</vt:i4>
      </vt:variant>
      <vt:variant>
        <vt:i4>5</vt:i4>
      </vt:variant>
      <vt:variant>
        <vt:lpwstr>https://www.sps.nhs.uk/medicines/netarsudil-mesilate/</vt:lpwstr>
      </vt:variant>
      <vt:variant>
        <vt:lpwstr/>
      </vt:variant>
      <vt:variant>
        <vt:i4>7143468</vt:i4>
      </vt:variant>
      <vt:variant>
        <vt:i4>60</vt:i4>
      </vt:variant>
      <vt:variant>
        <vt:i4>0</vt:i4>
      </vt:variant>
      <vt:variant>
        <vt:i4>5</vt:i4>
      </vt:variant>
      <vt:variant>
        <vt:lpwstr>https://www.sps.nhs.uk/medicines/levodopa/</vt:lpwstr>
      </vt:variant>
      <vt:variant>
        <vt:lpwstr/>
      </vt:variant>
      <vt:variant>
        <vt:i4>852061</vt:i4>
      </vt:variant>
      <vt:variant>
        <vt:i4>57</vt:i4>
      </vt:variant>
      <vt:variant>
        <vt:i4>0</vt:i4>
      </vt:variant>
      <vt:variant>
        <vt:i4>5</vt:i4>
      </vt:variant>
      <vt:variant>
        <vt:lpwstr>https://www.sps.nhs.uk/medicines/infliximab/</vt:lpwstr>
      </vt:variant>
      <vt:variant>
        <vt:lpwstr/>
      </vt:variant>
      <vt:variant>
        <vt:i4>4063335</vt:i4>
      </vt:variant>
      <vt:variant>
        <vt:i4>54</vt:i4>
      </vt:variant>
      <vt:variant>
        <vt:i4>0</vt:i4>
      </vt:variant>
      <vt:variant>
        <vt:i4>5</vt:i4>
      </vt:variant>
      <vt:variant>
        <vt:lpwstr>https://www.sps.nhs.uk/medicines/ebola-vaccine/</vt:lpwstr>
      </vt:variant>
      <vt:variant>
        <vt:lpwstr/>
      </vt:variant>
      <vt:variant>
        <vt:i4>2621493</vt:i4>
      </vt:variant>
      <vt:variant>
        <vt:i4>51</vt:i4>
      </vt:variant>
      <vt:variant>
        <vt:i4>0</vt:i4>
      </vt:variant>
      <vt:variant>
        <vt:i4>5</vt:i4>
      </vt:variant>
      <vt:variant>
        <vt:lpwstr>https://www.sps.nhs.uk/medicines/buprenorphine/</vt:lpwstr>
      </vt:variant>
      <vt:variant>
        <vt:lpwstr/>
      </vt:variant>
      <vt:variant>
        <vt:i4>1179726</vt:i4>
      </vt:variant>
      <vt:variant>
        <vt:i4>48</vt:i4>
      </vt:variant>
      <vt:variant>
        <vt:i4>0</vt:i4>
      </vt:variant>
      <vt:variant>
        <vt:i4>5</vt:i4>
      </vt:variant>
      <vt:variant>
        <vt:lpwstr>https://www.sps.nhs.uk/medicines/arginine-lysine/</vt:lpwstr>
      </vt:variant>
      <vt:variant>
        <vt:lpwstr/>
      </vt:variant>
      <vt:variant>
        <vt:i4>7798824</vt:i4>
      </vt:variant>
      <vt:variant>
        <vt:i4>45</vt:i4>
      </vt:variant>
      <vt:variant>
        <vt:i4>0</vt:i4>
      </vt:variant>
      <vt:variant>
        <vt:i4>5</vt:i4>
      </vt:variant>
      <vt:variant>
        <vt:lpwstr>https://www.sps.nhs.uk/medicines/teriparatide/</vt:lpwstr>
      </vt:variant>
      <vt:variant>
        <vt:lpwstr/>
      </vt:variant>
      <vt:variant>
        <vt:i4>5767235</vt:i4>
      </vt:variant>
      <vt:variant>
        <vt:i4>42</vt:i4>
      </vt:variant>
      <vt:variant>
        <vt:i4>0</vt:i4>
      </vt:variant>
      <vt:variant>
        <vt:i4>5</vt:i4>
      </vt:variant>
      <vt:variant>
        <vt:lpwstr>https://www.sps.nhs.uk/medicines/paracetamol/</vt:lpwstr>
      </vt:variant>
      <vt:variant>
        <vt:lpwstr/>
      </vt:variant>
      <vt:variant>
        <vt:i4>2162736</vt:i4>
      </vt:variant>
      <vt:variant>
        <vt:i4>39</vt:i4>
      </vt:variant>
      <vt:variant>
        <vt:i4>0</vt:i4>
      </vt:variant>
      <vt:variant>
        <vt:i4>5</vt:i4>
      </vt:variant>
      <vt:variant>
        <vt:lpwstr>https://www.sps.nhs.uk/articles/ukmi-product-safety-assessments-2/</vt:lpwstr>
      </vt:variant>
      <vt:variant>
        <vt:lpwstr/>
      </vt:variant>
      <vt:variant>
        <vt:i4>5767196</vt:i4>
      </vt:variant>
      <vt:variant>
        <vt:i4>36</vt:i4>
      </vt:variant>
      <vt:variant>
        <vt:i4>0</vt:i4>
      </vt:variant>
      <vt:variant>
        <vt:i4>5</vt:i4>
      </vt:variant>
      <vt:variant>
        <vt:lpwstr>https://www.sps.nhs.uk/articles/prioritising-new-products-for-a-ukmi-product-safety-assessment-a-resource-for-ukmi-patient-safety-working-group/</vt:lpwstr>
      </vt:variant>
      <vt:variant>
        <vt:lpwstr/>
      </vt:variant>
      <vt:variant>
        <vt:i4>3211304</vt:i4>
      </vt:variant>
      <vt:variant>
        <vt:i4>33</vt:i4>
      </vt:variant>
      <vt:variant>
        <vt:i4>0</vt:i4>
      </vt:variant>
      <vt:variant>
        <vt:i4>5</vt:i4>
      </vt:variant>
      <vt:variant>
        <vt:lpwstr>https://www.sps.nhs.uk/medicines/zanamivir/</vt:lpwstr>
      </vt:variant>
      <vt:variant>
        <vt:lpwstr/>
      </vt:variant>
      <vt:variant>
        <vt:i4>5111887</vt:i4>
      </vt:variant>
      <vt:variant>
        <vt:i4>30</vt:i4>
      </vt:variant>
      <vt:variant>
        <vt:i4>0</vt:i4>
      </vt:variant>
      <vt:variant>
        <vt:i4>5</vt:i4>
      </vt:variant>
      <vt:variant>
        <vt:lpwstr>https://www.sps.nhs.uk/medicines/talazoparib/</vt:lpwstr>
      </vt:variant>
      <vt:variant>
        <vt:lpwstr/>
      </vt:variant>
      <vt:variant>
        <vt:i4>4653149</vt:i4>
      </vt:variant>
      <vt:variant>
        <vt:i4>27</vt:i4>
      </vt:variant>
      <vt:variant>
        <vt:i4>0</vt:i4>
      </vt:variant>
      <vt:variant>
        <vt:i4>5</vt:i4>
      </vt:variant>
      <vt:variant>
        <vt:lpwstr>https://www.sps.nhs.uk/medicines/ranibizumab/</vt:lpwstr>
      </vt:variant>
      <vt:variant>
        <vt:lpwstr/>
      </vt:variant>
      <vt:variant>
        <vt:i4>3801149</vt:i4>
      </vt:variant>
      <vt:variant>
        <vt:i4>24</vt:i4>
      </vt:variant>
      <vt:variant>
        <vt:i4>0</vt:i4>
      </vt:variant>
      <vt:variant>
        <vt:i4>5</vt:i4>
      </vt:variant>
      <vt:variant>
        <vt:lpwstr>https://www.sps.nhs.uk/medicines/pembrolizumab/</vt:lpwstr>
      </vt:variant>
      <vt:variant>
        <vt:lpwstr/>
      </vt:variant>
      <vt:variant>
        <vt:i4>7602210</vt:i4>
      </vt:variant>
      <vt:variant>
        <vt:i4>21</vt:i4>
      </vt:variant>
      <vt:variant>
        <vt:i4>0</vt:i4>
      </vt:variant>
      <vt:variant>
        <vt:i4>5</vt:i4>
      </vt:variant>
      <vt:variant>
        <vt:lpwstr>https://www.sps.nhs.uk/medicines/nicotine/</vt:lpwstr>
      </vt:variant>
      <vt:variant>
        <vt:lpwstr/>
      </vt:variant>
      <vt:variant>
        <vt:i4>4063329</vt:i4>
      </vt:variant>
      <vt:variant>
        <vt:i4>18</vt:i4>
      </vt:variant>
      <vt:variant>
        <vt:i4>0</vt:i4>
      </vt:variant>
      <vt:variant>
        <vt:i4>5</vt:i4>
      </vt:variant>
      <vt:variant>
        <vt:lpwstr>https://www.sps.nhs.uk/medicines/meropenem-vaborbactam/</vt:lpwstr>
      </vt:variant>
      <vt:variant>
        <vt:lpwstr/>
      </vt:variant>
      <vt:variant>
        <vt:i4>4980828</vt:i4>
      </vt:variant>
      <vt:variant>
        <vt:i4>15</vt:i4>
      </vt:variant>
      <vt:variant>
        <vt:i4>0</vt:i4>
      </vt:variant>
      <vt:variant>
        <vt:i4>5</vt:i4>
      </vt:variant>
      <vt:variant>
        <vt:lpwstr>https://www.sps.nhs.uk/medicines/liraglutide/</vt:lpwstr>
      </vt:variant>
      <vt:variant>
        <vt:lpwstr/>
      </vt:variant>
      <vt:variant>
        <vt:i4>6553663</vt:i4>
      </vt:variant>
      <vt:variant>
        <vt:i4>12</vt:i4>
      </vt:variant>
      <vt:variant>
        <vt:i4>0</vt:i4>
      </vt:variant>
      <vt:variant>
        <vt:i4>5</vt:i4>
      </vt:variant>
      <vt:variant>
        <vt:lpwstr>https://www.sps.nhs.uk/medicines/gilteritinib/</vt:lpwstr>
      </vt:variant>
      <vt:variant>
        <vt:lpwstr/>
      </vt:variant>
      <vt:variant>
        <vt:i4>4980809</vt:i4>
      </vt:variant>
      <vt:variant>
        <vt:i4>9</vt:i4>
      </vt:variant>
      <vt:variant>
        <vt:i4>0</vt:i4>
      </vt:variant>
      <vt:variant>
        <vt:i4>5</vt:i4>
      </vt:variant>
      <vt:variant>
        <vt:lpwstr>https://www.sps.nhs.uk/medicines/daratumumab/</vt:lpwstr>
      </vt:variant>
      <vt:variant>
        <vt:lpwstr/>
      </vt:variant>
      <vt:variant>
        <vt:i4>2883621</vt:i4>
      </vt:variant>
      <vt:variant>
        <vt:i4>6</vt:i4>
      </vt:variant>
      <vt:variant>
        <vt:i4>0</vt:i4>
      </vt:variant>
      <vt:variant>
        <vt:i4>5</vt:i4>
      </vt:variant>
      <vt:variant>
        <vt:lpwstr>https://www.sps.nhs.uk/medicines/beclometasone/</vt:lpwstr>
      </vt:variant>
      <vt:variant>
        <vt:lpwstr/>
      </vt:variant>
      <vt:variant>
        <vt:i4>589864</vt:i4>
      </vt:variant>
      <vt:variant>
        <vt:i4>3</vt:i4>
      </vt:variant>
      <vt:variant>
        <vt:i4>0</vt:i4>
      </vt:variant>
      <vt:variant>
        <vt:i4>5</vt:i4>
      </vt:variant>
      <vt:variant>
        <vt:lpwstr>mailto:nwmedinfo@nhs.net?subject=New%20Medicines%20Newsletter</vt:lpwstr>
      </vt:variant>
      <vt:variant>
        <vt:lpwstr/>
      </vt:variant>
      <vt:variant>
        <vt:i4>7077923</vt:i4>
      </vt:variant>
      <vt:variant>
        <vt:i4>0</vt:i4>
      </vt:variant>
      <vt:variant>
        <vt:i4>0</vt:i4>
      </vt:variant>
      <vt:variant>
        <vt:i4>5</vt:i4>
      </vt:variant>
      <vt:variant>
        <vt:lpwstr>http://www.sps.nhs.uk/</vt:lpwstr>
      </vt:variant>
      <vt:variant>
        <vt:lpwstr/>
      </vt:variant>
      <vt:variant>
        <vt:i4>589864</vt:i4>
      </vt:variant>
      <vt:variant>
        <vt:i4>18</vt:i4>
      </vt:variant>
      <vt:variant>
        <vt:i4>0</vt:i4>
      </vt:variant>
      <vt:variant>
        <vt:i4>5</vt:i4>
      </vt:variant>
      <vt:variant>
        <vt:lpwstr>mailto:nwmedinfo@nhs.net?subject=New%20Medicines%20Newsletter</vt:lpwstr>
      </vt:variant>
      <vt:variant>
        <vt:lpwstr/>
      </vt:variant>
      <vt:variant>
        <vt:i4>7929901</vt:i4>
      </vt:variant>
      <vt:variant>
        <vt:i4>15</vt:i4>
      </vt:variant>
      <vt:variant>
        <vt:i4>0</vt:i4>
      </vt:variant>
      <vt:variant>
        <vt:i4>5</vt:i4>
      </vt:variant>
      <vt:variant>
        <vt:lpwstr>https://www.sps.nhs.uk/wp-login.php?action=register</vt:lpwstr>
      </vt:variant>
      <vt:variant>
        <vt:lpwstr/>
      </vt:variant>
      <vt:variant>
        <vt:i4>7077923</vt:i4>
      </vt:variant>
      <vt:variant>
        <vt:i4>12</vt:i4>
      </vt:variant>
      <vt:variant>
        <vt:i4>0</vt:i4>
      </vt:variant>
      <vt:variant>
        <vt:i4>5</vt:i4>
      </vt:variant>
      <vt:variant>
        <vt:lpwstr>http://www.sps.nhs.uk/</vt:lpwstr>
      </vt:variant>
      <vt:variant>
        <vt:lpwstr/>
      </vt:variant>
      <vt:variant>
        <vt:i4>3211377</vt:i4>
      </vt:variant>
      <vt:variant>
        <vt:i4>9</vt:i4>
      </vt:variant>
      <vt:variant>
        <vt:i4>0</vt:i4>
      </vt:variant>
      <vt:variant>
        <vt:i4>5</vt:i4>
      </vt:variant>
      <vt:variant>
        <vt:lpwstr>http://www.ukmi.nhs.uk/ndo</vt:lpwstr>
      </vt:variant>
      <vt:variant>
        <vt:lpwstr/>
      </vt:variant>
      <vt:variant>
        <vt:i4>1638407</vt:i4>
      </vt:variant>
      <vt:variant>
        <vt:i4>6</vt:i4>
      </vt:variant>
      <vt:variant>
        <vt:i4>0</vt:i4>
      </vt:variant>
      <vt:variant>
        <vt:i4>5</vt:i4>
      </vt:variant>
      <vt:variant>
        <vt:lpwstr>https://www.sps.nhs.uk/prescribing-outlook-2019/</vt:lpwstr>
      </vt:variant>
      <vt:variant>
        <vt:lpwstr/>
      </vt:variant>
      <vt:variant>
        <vt:i4>7405691</vt:i4>
      </vt:variant>
      <vt:variant>
        <vt:i4>3</vt:i4>
      </vt:variant>
      <vt:variant>
        <vt:i4>0</vt:i4>
      </vt:variant>
      <vt:variant>
        <vt:i4>5</vt:i4>
      </vt:variant>
      <vt:variant>
        <vt:lpwstr>https://www.sps.nhs.uk/category/new-medicines/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NDO home | Contact | Register for NDO access</dc:title>
  <dc:creator>McEntee Joanne (RQ6) RLBUHT</dc:creator>
  <cp:lastModifiedBy>Joanne McEntee</cp:lastModifiedBy>
  <cp:revision>308</cp:revision>
  <cp:lastPrinted>2019-12-09T12:59:00Z</cp:lastPrinted>
  <dcterms:created xsi:type="dcterms:W3CDTF">2024-12-14T10:49:00Z</dcterms:created>
  <dcterms:modified xsi:type="dcterms:W3CDTF">2025-01-09T09:07:00Z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0x010100EF9F8181707A014BAADECFD0EF2EB9F0</vt:lpwstr>
  </property>
  <property fmtid="{D5CDD505-2E9C-101B-9397-08002B2CF9AE}" pid="4" name="MediaServiceImageTags">
    <vt:lpwstr/>
  </property>
</Properties>
</file>