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722F" w:rsidP="0F7EFD06" w:rsidRDefault="0068722F" w14:paraId="0FC49767" w14:textId="425D2872">
      <w:pPr>
        <w:pStyle w:val="Title"/>
      </w:pPr>
      <w:r w:rsidR="009D2C03">
        <w:rPr/>
        <w:t xml:space="preserve">Risk Assessment Tool: Occupational exposure to </w:t>
      </w:r>
      <w:r w:rsidR="009D2C03">
        <w:rPr/>
        <w:t>mAb</w:t>
      </w:r>
      <w:r w:rsidR="12388EA8">
        <w:rPr/>
        <w:t xml:space="preserve"> </w:t>
      </w:r>
      <w:r w:rsidRPr="0F7EFD06" w:rsidR="12388EA8">
        <w:rPr>
          <w:rStyle w:val="SubtitleChar"/>
        </w:rPr>
        <w:t>V</w:t>
      </w:r>
      <w:r w:rsidRPr="0F7EFD06" w:rsidR="0068722F">
        <w:rPr>
          <w:rStyle w:val="SubtitleChar"/>
        </w:rPr>
        <w:t xml:space="preserve">ersion 1 June </w:t>
      </w:r>
      <w:r w:rsidRPr="0F7EFD06" w:rsidR="0068722F">
        <w:rPr>
          <w:rStyle w:val="SubtitleChar"/>
        </w:rPr>
        <w:t>2025</w:t>
      </w:r>
    </w:p>
    <w:p w:rsidR="56E667BA" w:rsidP="4B8E389F" w:rsidRDefault="56E667BA" w14:paraId="12BBB2B5" w14:textId="1BADCA26">
      <w:pPr/>
      <w:r w:rsidRPr="0F7EFD06" w:rsidR="10B512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Text </w:t>
      </w:r>
      <w:r w:rsidRPr="0F7EFD06" w:rsidR="10B512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highlight w:val="green"/>
          <w:lang w:val="en-GB"/>
        </w:rPr>
        <w:t>highlighted in green</w:t>
      </w:r>
      <w:r w:rsidRPr="0F7EFD06" w:rsidR="10B512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 and in [square brackets] is example text</w:t>
      </w:r>
      <w:r w:rsidRPr="0F7EFD06" w:rsidR="10B5127D">
        <w:rPr>
          <w:lang w:val="en-US" w:eastAsia="en-GB"/>
        </w:rPr>
        <w:t xml:space="preserve"> </w:t>
      </w:r>
    </w:p>
    <w:p w:rsidR="56E667BA" w:rsidP="4B8E389F" w:rsidRDefault="56E667BA" w14:paraId="1224ED4C" w14:textId="65A048AB">
      <w:pPr>
        <w:rPr>
          <w:lang w:eastAsia="en-GB"/>
        </w:rPr>
      </w:pPr>
      <w:r w:rsidRPr="0F7EFD06" w:rsidR="56E667BA">
        <w:rPr>
          <w:lang w:val="en-US" w:eastAsia="en-GB"/>
        </w:rPr>
        <w:t>Hospital site:</w:t>
      </w:r>
      <w:r w:rsidRPr="0F7EFD06" w:rsidR="56E667BA">
        <w:rPr>
          <w:lang w:eastAsia="en-GB"/>
        </w:rPr>
        <w:t> </w:t>
      </w:r>
      <w:r>
        <w:tab/>
      </w:r>
      <w:r>
        <w:tab/>
      </w:r>
      <w:r w:rsidRPr="0F7EFD06" w:rsidR="4D54249D">
        <w:rPr>
          <w:highlight w:val="green"/>
          <w:lang w:eastAsia="en-GB"/>
        </w:rPr>
        <w:t>[</w:t>
      </w:r>
      <w:r w:rsidRPr="0F7EFD06" w:rsidR="2FD0F678">
        <w:rPr>
          <w:highlight w:val="green"/>
          <w:lang w:eastAsia="en-GB"/>
        </w:rPr>
        <w:t xml:space="preserve">Hospital </w:t>
      </w:r>
      <w:r w:rsidRPr="0F7EFD06" w:rsidR="2FD0F678">
        <w:rPr>
          <w:highlight w:val="green"/>
          <w:lang w:eastAsia="en-GB"/>
        </w:rPr>
        <w:t>ABC</w:t>
      </w:r>
      <w:r w:rsidRPr="0F7EFD06" w:rsidR="40646F49">
        <w:rPr>
          <w:highlight w:val="green"/>
          <w:lang w:eastAsia="en-GB"/>
        </w:rPr>
        <w:t>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F7EFD06" w:rsidR="1655A803">
        <w:rPr>
          <w:lang w:val="en-US" w:eastAsia="en-GB"/>
        </w:rPr>
        <w:t xml:space="preserve"> Date of assessment:</w:t>
      </w:r>
      <w:r w:rsidRPr="0F7EFD06" w:rsidR="40FAB1F1">
        <w:rPr>
          <w:lang w:val="en-US" w:eastAsia="en-GB"/>
        </w:rPr>
        <w:t xml:space="preserve"> </w:t>
      </w:r>
      <w:r w:rsidRPr="0F7EFD06" w:rsidR="5A80D829">
        <w:rPr>
          <w:highlight w:val="green"/>
          <w:lang w:val="en-US" w:eastAsia="en-GB"/>
        </w:rPr>
        <w:t>[</w:t>
      </w:r>
      <w:r w:rsidRPr="0F7EFD06" w:rsidR="40FAB1F1">
        <w:rPr>
          <w:highlight w:val="green"/>
          <w:lang w:val="en-US" w:eastAsia="en-GB"/>
        </w:rPr>
        <w:t>29</w:t>
      </w:r>
      <w:r w:rsidRPr="0F7EFD06" w:rsidR="40FAB1F1">
        <w:rPr>
          <w:highlight w:val="green"/>
          <w:vertAlign w:val="superscript"/>
          <w:lang w:val="en-US" w:eastAsia="en-GB"/>
        </w:rPr>
        <w:t>th</w:t>
      </w:r>
      <w:r w:rsidRPr="0F7EFD06" w:rsidR="40FAB1F1">
        <w:rPr>
          <w:highlight w:val="green"/>
          <w:lang w:val="en-US" w:eastAsia="en-GB"/>
        </w:rPr>
        <w:t xml:space="preserve"> May 2025</w:t>
      </w:r>
      <w:r w:rsidRPr="0F7EFD06" w:rsidR="0BC93D02">
        <w:rPr>
          <w:highlight w:val="green"/>
          <w:lang w:val="en-US" w:eastAsia="en-GB"/>
        </w:rPr>
        <w:t>]</w:t>
      </w:r>
    </w:p>
    <w:p w:rsidR="4A1457B8" w:rsidP="3402A4CD" w:rsidRDefault="4A1457B8" w14:paraId="3545E608" w14:textId="6DEAFEF2">
      <w:pPr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GB" w:bidi="ar-SA"/>
        </w:rPr>
      </w:pPr>
      <w:r w:rsidRPr="0F7EFD06" w:rsidR="4A1457B8">
        <w:rPr>
          <w:lang w:val="en-US" w:eastAsia="en-GB"/>
        </w:rPr>
        <w:t>Name, brand and strength of medicinal product:</w:t>
      </w:r>
      <w:r w:rsidRPr="0F7EFD06" w:rsidR="4A1457B8">
        <w:rPr>
          <w:lang w:eastAsia="en-GB"/>
        </w:rPr>
        <w:t> </w:t>
      </w:r>
      <w:r w:rsidRPr="0F7EFD06" w:rsidR="1000D768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GB" w:bidi="ar-SA"/>
        </w:rPr>
        <w:t xml:space="preserve"> </w:t>
      </w:r>
      <w:r w:rsidRPr="0F7EFD06" w:rsidR="0A9CA537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highlight w:val="green"/>
          <w:lang w:val="en-GB" w:eastAsia="en-GB" w:bidi="ar-SA"/>
        </w:rPr>
        <w:t>[</w:t>
      </w:r>
      <w:r w:rsidRPr="0F7EFD06" w:rsidR="69009EA1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highlight w:val="green"/>
          <w:lang w:val="en-GB" w:eastAsia="en-GB" w:bidi="ar-SA"/>
        </w:rPr>
        <w:t>Tra</w:t>
      </w:r>
      <w:r w:rsidRPr="0F7EFD06" w:rsidR="48B11BC0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highlight w:val="green"/>
          <w:lang w:val="en-GB" w:eastAsia="en-GB" w:bidi="ar-SA"/>
        </w:rPr>
        <w:t>s</w:t>
      </w:r>
      <w:r w:rsidRPr="0F7EFD06" w:rsidR="69009EA1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highlight w:val="green"/>
          <w:lang w:val="en-GB" w:eastAsia="en-GB" w:bidi="ar-SA"/>
        </w:rPr>
        <w:t>tuzumab</w:t>
      </w:r>
      <w:r w:rsidRPr="0F7EFD06" w:rsidR="69009EA1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highlight w:val="green"/>
          <w:lang w:val="en-GB" w:eastAsia="en-GB" w:bidi="ar-SA"/>
        </w:rPr>
        <w:t xml:space="preserve"> (Herceptin) 600mg sub-cutaneous injection</w:t>
      </w:r>
      <w:r w:rsidRPr="0F7EFD06" w:rsidR="384202AF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highlight w:val="green"/>
          <w:lang w:val="en-GB" w:eastAsia="en-GB" w:bidi="ar-SA"/>
        </w:rPr>
        <w:t>]</w:t>
      </w:r>
    </w:p>
    <w:p w:rsidRPr="0068722F" w:rsidR="00677C0F" w:rsidP="7C1E687D" w:rsidRDefault="009070A9" w14:paraId="1E0C9D78" w14:textId="77777777">
      <w:pPr>
        <w:pStyle w:val="Heading1"/>
      </w:pPr>
      <w:r w:rsidR="009070A9">
        <w:rPr/>
        <w:t>Risk factor</w:t>
      </w:r>
      <w:r w:rsidR="00677C0F">
        <w:rPr/>
        <w:t xml:space="preserve"> (</w:t>
      </w:r>
      <w:r w:rsidR="00677C0F">
        <w:rPr/>
        <w:t>A</w:t>
      </w:r>
      <w:r w:rsidR="00677C0F">
        <w:rPr/>
        <w:t>)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4125"/>
        <w:gridCol w:w="8025"/>
        <w:gridCol w:w="912"/>
        <w:gridCol w:w="886"/>
      </w:tblGrid>
      <w:tr w:rsidR="00677C0F" w:rsidTr="3499B67D" w14:paraId="736C4A48" w14:textId="77777777">
        <w:tc>
          <w:tcPr>
            <w:tcW w:w="4125" w:type="dxa"/>
            <w:tcMar/>
          </w:tcPr>
          <w:p w:rsidRPr="0068722F" w:rsidR="00677C0F" w:rsidP="7C1E687D" w:rsidRDefault="00677C0F" w14:paraId="6501CC26" w14:textId="77777777">
            <w:pPr>
              <w:pStyle w:val="Header"/>
            </w:pPr>
            <w:r w:rsidR="00677C0F">
              <w:rPr/>
              <w:t>Occupational exposure risk factor</w:t>
            </w:r>
          </w:p>
        </w:tc>
        <w:tc>
          <w:tcPr>
            <w:tcW w:w="8025" w:type="dxa"/>
            <w:tcMar/>
          </w:tcPr>
          <w:p w:rsidRPr="0068722F" w:rsidR="00677C0F" w:rsidP="7C1E687D" w:rsidRDefault="00A572A3" w14:paraId="1101B98E" w14:textId="77777777">
            <w:pPr>
              <w:pStyle w:val="Header"/>
            </w:pPr>
            <w:r w:rsidR="00A572A3">
              <w:rPr/>
              <w:t>Description</w:t>
            </w:r>
          </w:p>
        </w:tc>
        <w:tc>
          <w:tcPr>
            <w:tcW w:w="912" w:type="dxa"/>
            <w:tcMar/>
          </w:tcPr>
          <w:p w:rsidRPr="0068722F" w:rsidR="00677C0F" w:rsidP="7C1E687D" w:rsidRDefault="5BE882F0" w14:paraId="0A3837B5" w14:textId="17323970">
            <w:pPr>
              <w:pStyle w:val="Header"/>
            </w:pPr>
            <w:r w:rsidR="152F9AE3">
              <w:rPr/>
              <w:t>Y</w:t>
            </w:r>
            <w:r w:rsidR="00677C0F">
              <w:rPr/>
              <w:t>es</w:t>
            </w:r>
          </w:p>
        </w:tc>
        <w:tc>
          <w:tcPr>
            <w:tcW w:w="886" w:type="dxa"/>
            <w:tcMar/>
          </w:tcPr>
          <w:p w:rsidRPr="0068722F" w:rsidR="00677C0F" w:rsidP="7C1E687D" w:rsidRDefault="11381CC4" w14:paraId="29BDDA4B" w14:textId="79E6BEA9">
            <w:pPr>
              <w:pStyle w:val="Header"/>
            </w:pPr>
            <w:r w:rsidR="19335DDB">
              <w:rPr/>
              <w:t>N</w:t>
            </w:r>
            <w:r w:rsidR="00677C0F">
              <w:rPr/>
              <w:t>o</w:t>
            </w:r>
          </w:p>
        </w:tc>
      </w:tr>
      <w:tr w:rsidR="00677C0F" w:rsidTr="3499B67D" w14:paraId="0E389549" w14:textId="77777777">
        <w:tc>
          <w:tcPr>
            <w:tcW w:w="4125" w:type="dxa"/>
            <w:tcMar/>
          </w:tcPr>
          <w:p w:rsidRPr="00A572A3" w:rsidR="00677C0F" w:rsidRDefault="00677C0F" w14:paraId="1C6AA099" w14:textId="77777777">
            <w:pPr>
              <w:rPr>
                <w:rFonts w:cstheme="minorHAnsi"/>
                <w:sz w:val="20"/>
              </w:rPr>
            </w:pPr>
            <w:r w:rsidRPr="00A572A3">
              <w:rPr>
                <w:rFonts w:cstheme="minorHAnsi"/>
                <w:bCs/>
                <w:color w:val="000000"/>
                <w:sz w:val="20"/>
                <w:shd w:val="clear" w:color="auto" w:fill="FFFFFF"/>
              </w:rPr>
              <w:t>Organ Toxicity/ Genotoxicity/ Immunotoxicity</w:t>
            </w:r>
            <w:r w:rsidRPr="00A572A3">
              <w:rPr>
                <w:rStyle w:val="eop"/>
                <w:rFonts w:cstheme="minorHAnsi"/>
                <w:color w:val="000000"/>
                <w:sz w:val="20"/>
                <w:shd w:val="clear" w:color="auto" w:fill="FFFFFF"/>
              </w:rPr>
              <w:t> </w:t>
            </w:r>
          </w:p>
        </w:tc>
        <w:tc>
          <w:tcPr>
            <w:tcW w:w="8025" w:type="dxa"/>
            <w:tcMar/>
          </w:tcPr>
          <w:p w:rsidRPr="00A572A3" w:rsidR="00677C0F" w:rsidRDefault="00A572A3" w14:paraId="419FCB8C" w14:textId="77777777">
            <w:pPr>
              <w:rPr>
                <w:rFonts w:cstheme="minorHAnsi"/>
                <w:sz w:val="20"/>
              </w:rPr>
            </w:pPr>
            <w:r w:rsidRPr="00A572A3">
              <w:rPr>
                <w:rFonts w:cstheme="minorHAnsi"/>
                <w:color w:val="000000"/>
                <w:sz w:val="20"/>
                <w:shd w:val="clear" w:color="auto" w:fill="FFFFFF"/>
              </w:rPr>
              <w:t>Evidence of (e.g. on NIOSH/ETUI lists, data in SmPC)</w:t>
            </w:r>
            <w:r w:rsidRPr="00A572A3">
              <w:rPr>
                <w:rStyle w:val="eop"/>
                <w:rFonts w:cstheme="minorHAnsi"/>
                <w:color w:val="000000"/>
                <w:sz w:val="20"/>
                <w:shd w:val="clear" w:color="auto" w:fill="FFFFFF"/>
              </w:rPr>
              <w:t> </w:t>
            </w:r>
          </w:p>
        </w:tc>
        <w:tc>
          <w:tcPr>
            <w:tcW w:w="912" w:type="dxa"/>
            <w:tcMar/>
            <w:vAlign w:val="center"/>
          </w:tcPr>
          <w:p w:rsidR="00677C0F" w:rsidP="3B82215B" w:rsidRDefault="5E4D54E0" w14:paraId="2A509C04" w14:textId="1ACBDB93">
            <w:pPr>
              <w:jc w:val="center"/>
            </w:pPr>
            <w:r w:rsidR="146AFF7C">
              <w:rPr/>
              <w:t>+</w:t>
            </w:r>
            <w:r w:rsidR="00A572A3">
              <w:rPr/>
              <w:t>10</w:t>
            </w:r>
          </w:p>
        </w:tc>
        <w:tc>
          <w:tcPr>
            <w:tcW w:w="886" w:type="dxa"/>
            <w:tcMar/>
            <w:vAlign w:val="center"/>
          </w:tcPr>
          <w:p w:rsidR="00677C0F" w:rsidP="00A572A3" w:rsidRDefault="6A2E50FF" w14:paraId="717E1D57" w14:textId="4E21F852">
            <w:pPr>
              <w:jc w:val="center"/>
            </w:pPr>
            <w:r w:rsidRPr="758091CE" w:rsidR="0396FB9E">
              <w:rPr>
                <w:highlight w:val="green"/>
              </w:rPr>
              <w:t>[</w:t>
            </w:r>
            <w:r w:rsidRPr="758091CE" w:rsidR="394DA3BF">
              <w:rPr>
                <w:highlight w:val="green"/>
              </w:rPr>
              <w:t>0</w:t>
            </w:r>
            <w:r w:rsidRPr="758091CE" w:rsidR="0396FB9E">
              <w:rPr>
                <w:highlight w:val="green"/>
              </w:rPr>
              <w:t>]</w:t>
            </w:r>
          </w:p>
        </w:tc>
      </w:tr>
      <w:tr w:rsidR="00677C0F" w:rsidTr="3499B67D" w14:paraId="406C828E" w14:textId="77777777">
        <w:tc>
          <w:tcPr>
            <w:tcW w:w="4125" w:type="dxa"/>
            <w:tcMar/>
          </w:tcPr>
          <w:p w:rsidRPr="00A572A3" w:rsidR="00677C0F" w:rsidRDefault="00677C0F" w14:paraId="2BC3BC9B" w14:textId="77777777">
            <w:pPr>
              <w:rPr>
                <w:rFonts w:cstheme="minorHAnsi"/>
                <w:sz w:val="20"/>
              </w:rPr>
            </w:pPr>
            <w:r w:rsidRPr="00A572A3">
              <w:rPr>
                <w:rFonts w:cstheme="minorHAnsi"/>
                <w:bCs/>
                <w:color w:val="000000"/>
                <w:sz w:val="20"/>
                <w:shd w:val="clear" w:color="auto" w:fill="FFFFFF"/>
              </w:rPr>
              <w:t>Organ Toxicity/ Genotoxicity/ Immunotoxicity</w:t>
            </w:r>
            <w:r w:rsidRPr="00A572A3">
              <w:rPr>
                <w:rStyle w:val="eop"/>
                <w:rFonts w:cstheme="minorHAnsi"/>
                <w:color w:val="000000"/>
                <w:sz w:val="20"/>
                <w:shd w:val="clear" w:color="auto" w:fill="FFFFFF"/>
              </w:rPr>
              <w:t> </w:t>
            </w:r>
          </w:p>
        </w:tc>
        <w:tc>
          <w:tcPr>
            <w:tcW w:w="8025" w:type="dxa"/>
            <w:tcMar/>
          </w:tcPr>
          <w:p w:rsidRPr="00A572A3" w:rsidR="00677C0F" w:rsidRDefault="00A572A3" w14:paraId="0F274ACC" w14:textId="77777777">
            <w:pPr>
              <w:rPr>
                <w:rFonts w:cstheme="minorHAnsi"/>
                <w:sz w:val="20"/>
              </w:rPr>
            </w:pPr>
            <w:r w:rsidRPr="00A572A3">
              <w:rPr>
                <w:rFonts w:cstheme="minorHAnsi"/>
                <w:color w:val="000000"/>
                <w:sz w:val="20"/>
                <w:shd w:val="clear" w:color="auto" w:fill="FFFFFF"/>
              </w:rPr>
              <w:t>Theoretical risk (e.g. molecule-specific literature outside of the above recommended sources)</w:t>
            </w:r>
            <w:r w:rsidRPr="00A572A3">
              <w:rPr>
                <w:rStyle w:val="eop"/>
                <w:rFonts w:cstheme="minorHAnsi"/>
                <w:color w:val="000000"/>
                <w:sz w:val="20"/>
                <w:shd w:val="clear" w:color="auto" w:fill="FFFFFF"/>
              </w:rPr>
              <w:t> </w:t>
            </w:r>
          </w:p>
        </w:tc>
        <w:tc>
          <w:tcPr>
            <w:tcW w:w="912" w:type="dxa"/>
            <w:tcMar/>
            <w:vAlign w:val="center"/>
          </w:tcPr>
          <w:p w:rsidR="00677C0F" w:rsidP="00A572A3" w:rsidRDefault="445FD2BF" w14:paraId="716D2855" w14:textId="3C5978B3">
            <w:pPr>
              <w:jc w:val="center"/>
            </w:pPr>
            <w:r>
              <w:t>+</w:t>
            </w:r>
            <w:r w:rsidR="00A572A3">
              <w:t>2</w:t>
            </w:r>
          </w:p>
        </w:tc>
        <w:tc>
          <w:tcPr>
            <w:tcW w:w="886" w:type="dxa"/>
            <w:tcMar/>
            <w:vAlign w:val="center"/>
          </w:tcPr>
          <w:p w:rsidR="00677C0F" w:rsidP="3B82215B" w:rsidRDefault="673D96A4" w14:paraId="03B135E0" w14:textId="3E2B5154">
            <w:pPr>
              <w:jc w:val="center"/>
            </w:pPr>
            <w:r w:rsidRPr="758091CE" w:rsidR="387B4FA2">
              <w:rPr>
                <w:highlight w:val="green"/>
              </w:rPr>
              <w:t>[0]</w:t>
            </w:r>
          </w:p>
        </w:tc>
      </w:tr>
      <w:tr w:rsidR="00A572A3" w:rsidTr="3499B67D" w14:paraId="57634770" w14:textId="77777777">
        <w:tc>
          <w:tcPr>
            <w:tcW w:w="4125" w:type="dxa"/>
            <w:tcMar/>
          </w:tcPr>
          <w:p w:rsidRPr="00A572A3" w:rsidR="00A572A3" w:rsidRDefault="00A572A3" w14:paraId="1DD9538F" w14:textId="77777777">
            <w:pPr>
              <w:rPr>
                <w:rFonts w:cstheme="minorHAnsi"/>
                <w:sz w:val="20"/>
              </w:rPr>
            </w:pPr>
            <w:r w:rsidRPr="00A572A3">
              <w:rPr>
                <w:rFonts w:cstheme="minorHAnsi"/>
                <w:bCs/>
                <w:color w:val="000000"/>
                <w:sz w:val="20"/>
                <w:shd w:val="clear" w:color="auto" w:fill="FFFFFF"/>
              </w:rPr>
              <w:t>Cytotoxicity / Carcinogenicity</w:t>
            </w:r>
            <w:r w:rsidRPr="00A572A3">
              <w:rPr>
                <w:rStyle w:val="eop"/>
                <w:rFonts w:cstheme="minorHAnsi"/>
                <w:color w:val="000000"/>
                <w:sz w:val="20"/>
                <w:shd w:val="clear" w:color="auto" w:fill="FFFFFF"/>
              </w:rPr>
              <w:t> </w:t>
            </w:r>
          </w:p>
        </w:tc>
        <w:tc>
          <w:tcPr>
            <w:tcW w:w="8025" w:type="dxa"/>
            <w:tcMar/>
          </w:tcPr>
          <w:p w:rsidRPr="00A572A3" w:rsidR="00A572A3" w:rsidRDefault="00A572A3" w14:paraId="356763DA" w14:textId="77777777">
            <w:pPr>
              <w:rPr>
                <w:rFonts w:cstheme="minorHAnsi"/>
                <w:sz w:val="20"/>
              </w:rPr>
            </w:pPr>
            <w:r w:rsidRPr="00A572A3">
              <w:rPr>
                <w:rFonts w:cstheme="minorHAnsi"/>
                <w:color w:val="000000"/>
                <w:sz w:val="20"/>
                <w:bdr w:val="none" w:color="auto" w:sz="0" w:space="0" w:frame="1"/>
              </w:rPr>
              <w:t>Outside of scope – treat as high hazard and make in pharmacy NHS aseptic unit </w:t>
            </w:r>
          </w:p>
        </w:tc>
        <w:tc>
          <w:tcPr>
            <w:tcW w:w="912" w:type="dxa"/>
            <w:tcMar/>
            <w:vAlign w:val="center"/>
          </w:tcPr>
          <w:p w:rsidR="00A572A3" w:rsidP="0045B804" w:rsidRDefault="7267DD3C" w14:paraId="5A6E5FEF" w14:textId="224786C0">
            <w:pPr>
              <w:jc w:val="center"/>
            </w:pPr>
            <w:r>
              <w:t>N/A</w:t>
            </w:r>
          </w:p>
        </w:tc>
        <w:tc>
          <w:tcPr>
            <w:tcW w:w="886" w:type="dxa"/>
            <w:tcMar/>
            <w:vAlign w:val="center"/>
          </w:tcPr>
          <w:p w:rsidR="7267DD3C" w:rsidP="0045B804" w:rsidRDefault="7267DD3C" w14:paraId="60213047" w14:textId="2F3F8577">
            <w:pPr>
              <w:jc w:val="center"/>
            </w:pPr>
            <w:r>
              <w:t>N/A</w:t>
            </w:r>
          </w:p>
        </w:tc>
      </w:tr>
      <w:tr w:rsidR="00A572A3" w:rsidTr="3499B67D" w14:paraId="420D636C" w14:textId="77777777">
        <w:tc>
          <w:tcPr>
            <w:tcW w:w="4125" w:type="dxa"/>
            <w:tcMar/>
          </w:tcPr>
          <w:p w:rsidRPr="00A572A3" w:rsidR="00A572A3" w:rsidRDefault="00A572A3" w14:paraId="16B877F2" w14:textId="77777777">
            <w:pPr>
              <w:rPr>
                <w:rFonts w:cstheme="minorHAnsi"/>
                <w:sz w:val="20"/>
              </w:rPr>
            </w:pPr>
            <w:r w:rsidRPr="00A572A3">
              <w:rPr>
                <w:rFonts w:cstheme="minorHAnsi"/>
                <w:bCs/>
                <w:color w:val="000000"/>
                <w:sz w:val="20"/>
                <w:shd w:val="clear" w:color="auto" w:fill="FFFFFF"/>
              </w:rPr>
              <w:t>Developmental toxicity and teratogenicity</w:t>
            </w:r>
            <w:r w:rsidRPr="00A572A3">
              <w:rPr>
                <w:rStyle w:val="eop"/>
                <w:rFonts w:cstheme="minorHAnsi"/>
                <w:color w:val="000000"/>
                <w:sz w:val="20"/>
                <w:shd w:val="clear" w:color="auto" w:fill="FFFFFF"/>
              </w:rPr>
              <w:t> </w:t>
            </w:r>
          </w:p>
        </w:tc>
        <w:tc>
          <w:tcPr>
            <w:tcW w:w="8025" w:type="dxa"/>
            <w:tcMar/>
          </w:tcPr>
          <w:p w:rsidRPr="00A572A3" w:rsidR="00A572A3" w:rsidRDefault="00A572A3" w14:paraId="3DDE33BD" w14:textId="77777777">
            <w:pPr>
              <w:rPr>
                <w:rFonts w:cstheme="minorHAnsi"/>
                <w:sz w:val="20"/>
              </w:rPr>
            </w:pPr>
            <w:r w:rsidRPr="00A572A3">
              <w:rPr>
                <w:rFonts w:cstheme="minorHAnsi"/>
                <w:color w:val="000000"/>
                <w:sz w:val="20"/>
                <w:shd w:val="clear" w:color="auto" w:fill="FFFFFF"/>
              </w:rPr>
              <w:t>This should be reviewed as part of an individualised risk assessment for staff who may be affected </w:t>
            </w:r>
          </w:p>
        </w:tc>
        <w:tc>
          <w:tcPr>
            <w:tcW w:w="912" w:type="dxa"/>
            <w:tcMar/>
            <w:vAlign w:val="center"/>
          </w:tcPr>
          <w:p w:rsidR="00A572A3" w:rsidP="0045B804" w:rsidRDefault="6AB45A10" w14:paraId="1CB78BEB" w14:textId="224786C0">
            <w:pPr>
              <w:jc w:val="center"/>
            </w:pPr>
            <w:r>
              <w:t>N/A</w:t>
            </w:r>
          </w:p>
          <w:p w:rsidR="00A572A3" w:rsidP="0045B804" w:rsidRDefault="00A572A3" w14:paraId="1073B5AD" w14:textId="4EA34E73">
            <w:pPr>
              <w:jc w:val="center"/>
            </w:pPr>
          </w:p>
        </w:tc>
        <w:tc>
          <w:tcPr>
            <w:tcW w:w="886" w:type="dxa"/>
            <w:tcMar/>
            <w:vAlign w:val="center"/>
          </w:tcPr>
          <w:p w:rsidR="6AB45A10" w:rsidP="0045B804" w:rsidRDefault="6AB45A10" w14:paraId="5E10D18D" w14:textId="224786C0">
            <w:pPr>
              <w:jc w:val="center"/>
            </w:pPr>
            <w:r>
              <w:t>N/A</w:t>
            </w:r>
          </w:p>
          <w:p w:rsidR="0045B804" w:rsidP="0045B804" w:rsidRDefault="0045B804" w14:paraId="3B621862" w14:textId="0BD349D9">
            <w:pPr>
              <w:jc w:val="center"/>
            </w:pPr>
          </w:p>
        </w:tc>
      </w:tr>
      <w:tr w:rsidR="00A572A3" w:rsidTr="3499B67D" w14:paraId="0C3ABFE7" w14:textId="77777777">
        <w:tc>
          <w:tcPr>
            <w:tcW w:w="0" w:type="auto"/>
            <w:tcMar/>
          </w:tcPr>
          <w:p w:rsidR="008C3EC7" w:rsidRDefault="008C3EC7" w14:paraId="38630CEE" w14:textId="77777777"/>
        </w:tc>
        <w:tc>
          <w:tcPr>
            <w:tcW w:w="8025" w:type="dxa"/>
            <w:tcMar/>
          </w:tcPr>
          <w:p w:rsidR="3000F7FA" w:rsidP="0045B804" w:rsidRDefault="3000F7FA" w14:paraId="3F8A8343" w14:textId="4527D263">
            <w:pPr>
              <w:jc w:val="right"/>
              <w:rPr>
                <w:b/>
                <w:bCs/>
              </w:rPr>
            </w:pPr>
            <w:r w:rsidRPr="0045B804">
              <w:rPr>
                <w:b/>
                <w:bCs/>
                <w:sz w:val="20"/>
                <w:szCs w:val="20"/>
              </w:rPr>
              <w:t>Total</w:t>
            </w:r>
            <w:r w:rsidRPr="0045B804">
              <w:rPr>
                <w:b/>
                <w:bCs/>
              </w:rPr>
              <w:t xml:space="preserve"> (A)</w:t>
            </w:r>
          </w:p>
        </w:tc>
        <w:tc>
          <w:tcPr>
            <w:tcW w:w="912" w:type="dxa"/>
            <w:tcMar/>
          </w:tcPr>
          <w:p w:rsidR="0045B804" w:rsidP="3402A4CD" w:rsidRDefault="0045B804" w14:paraId="42083D43" w14:textId="62CE8719">
            <w:pPr>
              <w:jc w:val="right"/>
              <w:rPr>
                <w:b w:val="1"/>
                <w:bCs w:val="1"/>
                <w:sz w:val="20"/>
                <w:szCs w:val="20"/>
                <w:highlight w:val="green"/>
              </w:rPr>
            </w:pPr>
            <w:r w:rsidRPr="3499B67D" w:rsidR="2863F0BB">
              <w:rPr>
                <w:b w:val="1"/>
                <w:bCs w:val="1"/>
                <w:sz w:val="20"/>
                <w:szCs w:val="20"/>
                <w:highlight w:val="green"/>
              </w:rPr>
              <w:t>[</w:t>
            </w:r>
            <w:r w:rsidRPr="3499B67D" w:rsidR="7418339B">
              <w:rPr>
                <w:b w:val="1"/>
                <w:bCs w:val="1"/>
                <w:sz w:val="20"/>
                <w:szCs w:val="20"/>
                <w:highlight w:val="green"/>
              </w:rPr>
              <w:t>0</w:t>
            </w:r>
            <w:r w:rsidRPr="3499B67D" w:rsidR="0EBB8901">
              <w:rPr>
                <w:b w:val="1"/>
                <w:bCs w:val="1"/>
                <w:sz w:val="20"/>
                <w:szCs w:val="20"/>
                <w:highlight w:val="green"/>
              </w:rPr>
              <w:t>]</w:t>
            </w:r>
          </w:p>
        </w:tc>
        <w:tc>
          <w:tcPr>
            <w:tcW w:w="886" w:type="dxa"/>
            <w:tcMar/>
            <w:vAlign w:val="center"/>
          </w:tcPr>
          <w:p w:rsidR="00A572A3" w:rsidP="0045B804" w:rsidRDefault="3000F7FA" w14:paraId="5ED0D2FB" w14:textId="46E4AA20">
            <w:pPr>
              <w:jc w:val="center"/>
            </w:pPr>
            <w:r>
              <w:t>0</w:t>
            </w:r>
          </w:p>
        </w:tc>
      </w:tr>
    </w:tbl>
    <w:p w:rsidRPr="0068722F" w:rsidR="00A572A3" w:rsidP="7C1E687D" w:rsidRDefault="00A572A3" w14:paraId="7BD15439" w14:textId="77777777">
      <w:pPr>
        <w:pStyle w:val="Heading1"/>
      </w:pPr>
      <w:r w:rsidR="00A572A3">
        <w:rPr/>
        <w:t>Likelihood of exposure (B) 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4140"/>
        <w:gridCol w:w="8040"/>
        <w:gridCol w:w="867"/>
        <w:gridCol w:w="901"/>
      </w:tblGrid>
      <w:tr w:rsidR="00EC194C" w:rsidTr="0F7EFD06" w14:paraId="12B40B42" w14:textId="77777777">
        <w:tc>
          <w:tcPr>
            <w:tcW w:w="4140" w:type="dxa"/>
            <w:tcMar/>
          </w:tcPr>
          <w:p w:rsidRPr="00EC194C" w:rsidR="00EC194C" w:rsidP="7C1E687D" w:rsidRDefault="00EC194C" w14:paraId="2898FDAD" w14:textId="77777777">
            <w:pPr>
              <w:pStyle w:val="Header"/>
            </w:pPr>
            <w:r w:rsidR="00EC194C">
              <w:rPr/>
              <w:t xml:space="preserve">Exposure </w:t>
            </w:r>
            <w:r w:rsidR="00EC194C">
              <w:rPr/>
              <w:t>type</w:t>
            </w:r>
          </w:p>
        </w:tc>
        <w:tc>
          <w:tcPr>
            <w:tcW w:w="8040" w:type="dxa"/>
            <w:tcMar/>
          </w:tcPr>
          <w:p w:rsidRPr="00A572A3" w:rsidR="00EC194C" w:rsidP="7C1E687D" w:rsidRDefault="00EC194C" w14:paraId="1048B024" w14:textId="77777777">
            <w:pPr>
              <w:pStyle w:val="Header"/>
            </w:pPr>
            <w:r w:rsidR="00EC194C">
              <w:rPr/>
              <w:t>Description</w:t>
            </w:r>
          </w:p>
        </w:tc>
        <w:tc>
          <w:tcPr>
            <w:tcW w:w="867" w:type="dxa"/>
            <w:tcMar/>
          </w:tcPr>
          <w:p w:rsidR="0045B804" w:rsidP="7C1E687D" w:rsidRDefault="0045B804" w14:paraId="0E7488AC" w14:textId="17323970">
            <w:pPr>
              <w:pStyle w:val="Header"/>
            </w:pPr>
            <w:r w:rsidR="29C62A0B">
              <w:rPr/>
              <w:t>Yes</w:t>
            </w:r>
          </w:p>
        </w:tc>
        <w:tc>
          <w:tcPr>
            <w:tcW w:w="901" w:type="dxa"/>
            <w:tcMar/>
          </w:tcPr>
          <w:p w:rsidR="0045B804" w:rsidP="7C1E687D" w:rsidRDefault="0045B804" w14:paraId="56E227B8" w14:textId="79E6BEA9">
            <w:pPr>
              <w:pStyle w:val="Header"/>
            </w:pPr>
            <w:r w:rsidR="29C62A0B">
              <w:rPr/>
              <w:t>No</w:t>
            </w:r>
          </w:p>
        </w:tc>
      </w:tr>
      <w:tr w:rsidR="00EC194C" w:rsidTr="0F7EFD06" w14:paraId="21A36878" w14:textId="77777777">
        <w:tc>
          <w:tcPr>
            <w:tcW w:w="4140" w:type="dxa"/>
            <w:tcMar/>
          </w:tcPr>
          <w:p w:rsidRPr="00EC194C" w:rsidR="00EC194C" w:rsidP="00EC194C" w:rsidRDefault="00EC194C" w14:paraId="2020999A" w14:textId="77777777">
            <w:pPr>
              <w:pStyle w:val="paragraph"/>
              <w:spacing w:before="0" w:beforeAutospacing="0" w:after="0" w:afterAutospacing="0"/>
              <w:textAlignment w:val="baseline"/>
              <w:divId w:val="1246064916"/>
              <w:rPr>
                <w:rFonts w:asciiTheme="minorHAnsi" w:hAnsiTheme="minorHAnsi" w:cstheme="minorHAnsi"/>
                <w:sz w:val="20"/>
                <w:szCs w:val="18"/>
              </w:rPr>
            </w:pPr>
            <w:r w:rsidRPr="00EC194C">
              <w:rPr>
                <w:rFonts w:asciiTheme="minorHAnsi" w:hAnsiTheme="minorHAnsi" w:cstheme="minorHAnsi"/>
                <w:bCs/>
                <w:sz w:val="20"/>
              </w:rPr>
              <w:t>Route of exposure: Topical</w:t>
            </w:r>
            <w:r w:rsidRPr="00EC194C">
              <w:rPr>
                <w:rStyle w:val="eop"/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040" w:type="dxa"/>
            <w:tcMar/>
          </w:tcPr>
          <w:p w:rsidRPr="00EC194C" w:rsidR="00EC194C" w:rsidP="3402A4CD" w:rsidRDefault="00EC194C" w14:paraId="1DB16C62" w14:textId="31EEEBEA">
            <w:pPr>
              <w:pStyle w:val="paragraph"/>
              <w:spacing w:before="0" w:beforeAutospacing="off" w:after="0" w:afterAutospacing="off"/>
              <w:textAlignment w:val="baseline"/>
              <w:divId w:val="1905751597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758091CE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Examples include </w:t>
            </w:r>
            <w:r w:rsidRPr="758091CE" w:rsidR="7B324E9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[</w:t>
            </w:r>
            <w:r w:rsidRPr="758091CE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  <w:highlight w:val="green"/>
              </w:rPr>
              <w:t>spillage</w:t>
            </w:r>
            <w:r w:rsidRPr="758091CE" w:rsidR="1D5FD069">
              <w:rPr>
                <w:rFonts w:ascii="Calibri" w:hAnsi="Calibri" w:cs="Calibri" w:asciiTheme="minorAscii" w:hAnsiTheme="minorAscii" w:cstheme="minorAscii"/>
                <w:sz w:val="20"/>
                <w:szCs w:val="20"/>
                <w:highlight w:val="green"/>
              </w:rPr>
              <w:t>]</w:t>
            </w:r>
            <w:r w:rsidRPr="758091CE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onto exposed skin/open wounds</w:t>
            </w:r>
            <w:r w:rsidRPr="758091CE" w:rsidR="00EC194C">
              <w:rPr>
                <w:rStyle w:val="eop"/>
                <w:rFonts w:ascii="Calibri" w:hAnsi="Calibri" w:cs="Calibri" w:asciiTheme="minorAscii" w:hAnsiTheme="minorAscii" w:cstheme="minorAscii"/>
                <w:sz w:val="20"/>
                <w:szCs w:val="20"/>
              </w:rPr>
              <w:t> </w:t>
            </w:r>
          </w:p>
          <w:p w:rsidRPr="00EC194C" w:rsidR="00EC194C" w:rsidP="00EC194C" w:rsidRDefault="00EC194C" w14:paraId="3A97B15C" w14:textId="77777777">
            <w:pPr>
              <w:pStyle w:val="paragraph"/>
              <w:spacing w:before="0" w:beforeAutospacing="0" w:after="0" w:afterAutospacing="0"/>
              <w:textAlignment w:val="baseline"/>
              <w:divId w:val="1406221130"/>
              <w:rPr>
                <w:rFonts w:asciiTheme="minorHAnsi" w:hAnsiTheme="minorHAnsi" w:cstheme="minorHAnsi"/>
                <w:sz w:val="20"/>
                <w:szCs w:val="18"/>
              </w:rPr>
            </w:pPr>
            <w:r w:rsidRPr="00EC194C">
              <w:rPr>
                <w:rFonts w:asciiTheme="minorHAnsi" w:hAnsiTheme="minorHAnsi" w:cstheme="minorHAnsi"/>
                <w:sz w:val="20"/>
              </w:rPr>
              <w:t>Mitigation: cover open wounds, wear gloves</w:t>
            </w:r>
            <w:r w:rsidRPr="00EC194C">
              <w:rPr>
                <w:rStyle w:val="eop"/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67" w:type="dxa"/>
            <w:tcMar/>
            <w:vAlign w:val="center"/>
          </w:tcPr>
          <w:p w:rsidR="00EC194C" w:rsidP="3402A4CD" w:rsidRDefault="00EC194C" w14:paraId="687BF461" w14:textId="1DDDFD5D">
            <w:pPr>
              <w:jc w:val="center"/>
              <w:rPr>
                <w:highlight w:val="green"/>
              </w:rPr>
            </w:pPr>
            <w:r w:rsidRPr="758091CE" w:rsidR="4B566E05">
              <w:rPr>
                <w:highlight w:val="green"/>
              </w:rPr>
              <w:t>[</w:t>
            </w:r>
            <w:r w:rsidRPr="758091CE" w:rsidR="7C911370">
              <w:rPr>
                <w:highlight w:val="green"/>
              </w:rPr>
              <w:t>+1</w:t>
            </w:r>
            <w:r w:rsidRPr="758091CE" w:rsidR="4B566E05">
              <w:rPr>
                <w:highlight w:val="green"/>
              </w:rPr>
              <w:t>]</w:t>
            </w:r>
          </w:p>
        </w:tc>
        <w:tc>
          <w:tcPr>
            <w:tcW w:w="901" w:type="dxa"/>
            <w:tcMar/>
            <w:vAlign w:val="center"/>
          </w:tcPr>
          <w:p w:rsidR="00EC194C" w:rsidP="00EC194C" w:rsidRDefault="00EC194C" w14:paraId="765B24E5" w14:textId="77777777">
            <w:pPr>
              <w:jc w:val="center"/>
            </w:pPr>
            <w:r>
              <w:t>0</w:t>
            </w:r>
          </w:p>
        </w:tc>
      </w:tr>
      <w:tr w:rsidR="00EC194C" w:rsidTr="0F7EFD06" w14:paraId="16F5C572" w14:textId="77777777">
        <w:tc>
          <w:tcPr>
            <w:tcW w:w="4140" w:type="dxa"/>
            <w:tcMar/>
          </w:tcPr>
          <w:p w:rsidRPr="00EC194C" w:rsidR="00EC194C" w:rsidP="00EC194C" w:rsidRDefault="00EC194C" w14:paraId="14EB8010" w14:textId="77777777">
            <w:pPr>
              <w:pStyle w:val="paragraph"/>
              <w:spacing w:before="0" w:beforeAutospacing="0" w:after="0" w:afterAutospacing="0"/>
              <w:textAlignment w:val="baseline"/>
              <w:divId w:val="335770861"/>
              <w:rPr>
                <w:rFonts w:asciiTheme="minorHAnsi" w:hAnsiTheme="minorHAnsi" w:cstheme="minorHAnsi"/>
                <w:sz w:val="20"/>
                <w:szCs w:val="18"/>
              </w:rPr>
            </w:pPr>
            <w:r w:rsidRPr="00EC194C">
              <w:rPr>
                <w:rFonts w:asciiTheme="minorHAnsi" w:hAnsiTheme="minorHAnsi" w:cstheme="minorHAnsi"/>
                <w:bCs/>
                <w:sz w:val="20"/>
              </w:rPr>
              <w:t>Route of exposure: Sharps injury</w:t>
            </w:r>
            <w:r w:rsidRPr="00EC194C">
              <w:rPr>
                <w:rStyle w:val="eop"/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040" w:type="dxa"/>
            <w:tcMar/>
          </w:tcPr>
          <w:p w:rsidRPr="00EC194C" w:rsidR="00EC194C" w:rsidP="00EC194C" w:rsidRDefault="00EC194C" w14:paraId="299CAFB2" w14:textId="77777777">
            <w:pPr>
              <w:pStyle w:val="paragraph"/>
              <w:spacing w:before="0" w:beforeAutospacing="0" w:after="0" w:afterAutospacing="0"/>
              <w:textAlignment w:val="baseline"/>
              <w:divId w:val="2042782393"/>
              <w:rPr>
                <w:rFonts w:asciiTheme="minorHAnsi" w:hAnsiTheme="minorHAnsi" w:cstheme="minorHAnsi"/>
                <w:sz w:val="20"/>
                <w:szCs w:val="18"/>
              </w:rPr>
            </w:pPr>
            <w:r w:rsidRPr="00EC194C">
              <w:rPr>
                <w:rFonts w:asciiTheme="minorHAnsi" w:hAnsiTheme="minorHAnsi" w:cstheme="minorHAnsi"/>
                <w:sz w:val="20"/>
              </w:rPr>
              <w:t>Examples include: needlestick</w:t>
            </w:r>
            <w:r w:rsidRPr="00EC194C">
              <w:rPr>
                <w:rStyle w:val="eop"/>
                <w:rFonts w:asciiTheme="minorHAnsi" w:hAnsiTheme="minorHAnsi" w:cstheme="minorHAnsi"/>
                <w:sz w:val="20"/>
              </w:rPr>
              <w:t> </w:t>
            </w:r>
          </w:p>
          <w:p w:rsidRPr="00EC194C" w:rsidR="00EC194C" w:rsidP="00EC194C" w:rsidRDefault="00EC194C" w14:paraId="7B0CF6E2" w14:textId="77777777">
            <w:pPr>
              <w:pStyle w:val="paragraph"/>
              <w:spacing w:before="0" w:beforeAutospacing="0" w:after="0" w:afterAutospacing="0"/>
              <w:textAlignment w:val="baseline"/>
              <w:divId w:val="1818571002"/>
              <w:rPr>
                <w:rFonts w:asciiTheme="minorHAnsi" w:hAnsiTheme="minorHAnsi" w:cstheme="minorHAnsi"/>
                <w:sz w:val="20"/>
                <w:szCs w:val="18"/>
              </w:rPr>
            </w:pPr>
            <w:r w:rsidRPr="00EC194C">
              <w:rPr>
                <w:rFonts w:asciiTheme="minorHAnsi" w:hAnsiTheme="minorHAnsi" w:cstheme="minorHAnsi"/>
                <w:sz w:val="20"/>
              </w:rPr>
              <w:t>Mitigation: use of safe sharps </w:t>
            </w:r>
            <w:r w:rsidRPr="00EC194C">
              <w:rPr>
                <w:rStyle w:val="eop"/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67" w:type="dxa"/>
            <w:tcMar/>
            <w:vAlign w:val="center"/>
          </w:tcPr>
          <w:p w:rsidR="00EC194C" w:rsidP="00EC194C" w:rsidRDefault="1FCE3A94" w14:paraId="3B683749" w14:textId="3251898A">
            <w:pPr>
              <w:jc w:val="center"/>
            </w:pPr>
            <w:r>
              <w:t>+</w:t>
            </w:r>
            <w:r w:rsidR="00EC194C">
              <w:t>1</w:t>
            </w:r>
          </w:p>
        </w:tc>
        <w:tc>
          <w:tcPr>
            <w:tcW w:w="901" w:type="dxa"/>
            <w:tcMar/>
            <w:vAlign w:val="center"/>
          </w:tcPr>
          <w:p w:rsidR="00EC194C" w:rsidP="75365274" w:rsidRDefault="00EC194C" w14:paraId="281DB6AD" w14:textId="289E7177">
            <w:pPr>
              <w:jc w:val="center"/>
            </w:pPr>
            <w:r w:rsidRPr="758091CE" w:rsidR="57BBC882">
              <w:rPr>
                <w:highlight w:val="green"/>
              </w:rPr>
              <w:t>[0]</w:t>
            </w:r>
          </w:p>
        </w:tc>
      </w:tr>
      <w:tr w:rsidR="00EC194C" w:rsidTr="0F7EFD06" w14:paraId="46485D19" w14:textId="77777777">
        <w:tc>
          <w:tcPr>
            <w:tcW w:w="4140" w:type="dxa"/>
            <w:tcMar/>
          </w:tcPr>
          <w:p w:rsidRPr="00EC194C" w:rsidR="00EC194C" w:rsidP="00EC194C" w:rsidRDefault="00EC194C" w14:paraId="6DA45B89" w14:textId="77777777">
            <w:pPr>
              <w:pStyle w:val="paragraph"/>
              <w:spacing w:before="0" w:beforeAutospacing="0" w:after="0" w:afterAutospacing="0"/>
              <w:textAlignment w:val="baseline"/>
              <w:divId w:val="1040277286"/>
              <w:rPr>
                <w:rFonts w:asciiTheme="minorHAnsi" w:hAnsiTheme="minorHAnsi" w:cstheme="minorHAnsi"/>
                <w:sz w:val="20"/>
                <w:szCs w:val="18"/>
              </w:rPr>
            </w:pPr>
            <w:r w:rsidRPr="00EC194C">
              <w:rPr>
                <w:rFonts w:asciiTheme="minorHAnsi" w:hAnsiTheme="minorHAnsi" w:cstheme="minorHAnsi"/>
                <w:bCs/>
                <w:sz w:val="20"/>
              </w:rPr>
              <w:t>Route of exposure: Inhalation</w:t>
            </w:r>
            <w:r w:rsidRPr="00EC194C">
              <w:rPr>
                <w:rStyle w:val="eop"/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040" w:type="dxa"/>
            <w:tcMar/>
          </w:tcPr>
          <w:p w:rsidRPr="00EC194C" w:rsidR="00EC194C" w:rsidP="3402A4CD" w:rsidRDefault="00EC194C" w14:paraId="55588EA7" w14:textId="77777777">
            <w:pPr>
              <w:pStyle w:val="paragraph"/>
              <w:spacing w:before="0" w:beforeAutospacing="off" w:after="0" w:afterAutospacing="off"/>
              <w:textAlignment w:val="baseline"/>
              <w:divId w:val="1157837884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3B82215B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Examples include </w:t>
            </w:r>
            <w:r w:rsidRPr="3B82215B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powder,</w:t>
            </w:r>
            <w:r w:rsidRPr="3B82215B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3B82215B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aerosolised solution </w:t>
            </w:r>
            <w:r w:rsidRPr="3B82215B" w:rsidR="00EC194C">
              <w:rPr>
                <w:rStyle w:val="eop"/>
                <w:rFonts w:ascii="Calibri" w:hAnsi="Calibri" w:cs="Calibri" w:asciiTheme="minorAscii" w:hAnsiTheme="minorAscii" w:cstheme="minorAscii"/>
                <w:sz w:val="20"/>
                <w:szCs w:val="20"/>
              </w:rPr>
              <w:t> </w:t>
            </w:r>
          </w:p>
          <w:p w:rsidRPr="00EC194C" w:rsidR="00EC194C" w:rsidP="00EC194C" w:rsidRDefault="00EC194C" w14:paraId="41658E7C" w14:textId="77777777">
            <w:pPr>
              <w:pStyle w:val="paragraph"/>
              <w:spacing w:before="0" w:beforeAutospacing="0" w:after="0" w:afterAutospacing="0"/>
              <w:textAlignment w:val="baseline"/>
              <w:divId w:val="1717701978"/>
              <w:rPr>
                <w:rFonts w:asciiTheme="minorHAnsi" w:hAnsiTheme="minorHAnsi" w:cstheme="minorHAnsi"/>
                <w:sz w:val="20"/>
                <w:szCs w:val="18"/>
              </w:rPr>
            </w:pPr>
            <w:r w:rsidRPr="00EC194C">
              <w:rPr>
                <w:rFonts w:asciiTheme="minorHAnsi" w:hAnsiTheme="minorHAnsi" w:cstheme="minorHAnsi"/>
                <w:sz w:val="20"/>
              </w:rPr>
              <w:t>Mitigation: use solutions where possible, handling using established practices for reconstitution and withdrawal from a vial </w:t>
            </w:r>
            <w:r w:rsidRPr="00EC194C">
              <w:rPr>
                <w:rStyle w:val="eop"/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67" w:type="dxa"/>
            <w:tcMar/>
            <w:vAlign w:val="center"/>
          </w:tcPr>
          <w:p w:rsidR="00EC194C" w:rsidP="3402A4CD" w:rsidRDefault="3D3DB102" w14:paraId="5530AC11" w14:textId="3251898A">
            <w:pPr>
              <w:jc w:val="center"/>
              <w:rPr>
                <w:highlight w:val="green"/>
              </w:rPr>
            </w:pPr>
            <w:r w:rsidR="08AAE698">
              <w:rPr/>
              <w:t>+1</w:t>
            </w:r>
          </w:p>
          <w:p w:rsidR="00EC194C" w:rsidP="00EC194C" w:rsidRDefault="00EC194C" w14:paraId="70180183" w14:textId="2868A2C3">
            <w:pPr>
              <w:jc w:val="center"/>
            </w:pPr>
          </w:p>
        </w:tc>
        <w:tc>
          <w:tcPr>
            <w:tcW w:w="901" w:type="dxa"/>
            <w:tcMar/>
            <w:vAlign w:val="center"/>
          </w:tcPr>
          <w:p w:rsidR="00EC194C" w:rsidP="00EC194C" w:rsidRDefault="00EC194C" w14:paraId="63FEEFF4" w14:textId="79179891">
            <w:pPr>
              <w:jc w:val="center"/>
            </w:pPr>
            <w:r w:rsidRPr="758091CE" w:rsidR="45EF27D1">
              <w:rPr>
                <w:highlight w:val="green"/>
              </w:rPr>
              <w:t>[0]</w:t>
            </w:r>
          </w:p>
        </w:tc>
      </w:tr>
      <w:tr w:rsidR="00EC194C" w:rsidTr="0F7EFD06" w14:paraId="13F0BA71" w14:textId="77777777">
        <w:tc>
          <w:tcPr>
            <w:tcW w:w="4140" w:type="dxa"/>
            <w:tcMar/>
          </w:tcPr>
          <w:p w:rsidRPr="00EC194C" w:rsidR="00EC194C" w:rsidP="00EC194C" w:rsidRDefault="00EC194C" w14:paraId="612872C7" w14:textId="77777777">
            <w:pPr>
              <w:pStyle w:val="paragraph"/>
              <w:spacing w:before="0" w:beforeAutospacing="0" w:after="0" w:afterAutospacing="0"/>
              <w:textAlignment w:val="baseline"/>
              <w:divId w:val="1505631645"/>
              <w:rPr>
                <w:rFonts w:asciiTheme="minorHAnsi" w:hAnsiTheme="minorHAnsi" w:cstheme="minorHAnsi"/>
                <w:sz w:val="20"/>
                <w:szCs w:val="18"/>
              </w:rPr>
            </w:pPr>
            <w:r w:rsidRPr="00EC194C">
              <w:rPr>
                <w:rFonts w:asciiTheme="minorHAnsi" w:hAnsiTheme="minorHAnsi" w:cstheme="minorHAnsi"/>
                <w:bCs/>
                <w:sz w:val="20"/>
              </w:rPr>
              <w:t>Route of exposure: Oral</w:t>
            </w:r>
            <w:r w:rsidRPr="00EC194C">
              <w:rPr>
                <w:rStyle w:val="eop"/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040" w:type="dxa"/>
            <w:tcMar/>
          </w:tcPr>
          <w:p w:rsidRPr="00EC194C" w:rsidR="00EC194C" w:rsidP="0F7EFD06" w:rsidRDefault="00EC194C" w14:paraId="6205588C" w14:textId="539A85E7">
            <w:pPr>
              <w:pStyle w:val="paragraph"/>
              <w:spacing w:before="0" w:beforeAutospacing="off" w:after="0" w:afterAutospacing="off"/>
              <w:textAlignment w:val="baseline"/>
              <w:divId w:val="1373266211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0F7EFD06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Examples include touching face/mouth with contaminated hands, eating/drinking contaminated substances</w:t>
            </w:r>
            <w:r w:rsidRPr="0F7EFD06" w:rsidR="62CFC54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. </w:t>
            </w:r>
          </w:p>
          <w:p w:rsidRPr="00EC194C" w:rsidR="00EC194C" w:rsidP="0F7EFD06" w:rsidRDefault="00EC194C" w14:paraId="05CBBC93" w14:textId="42E96EA2">
            <w:pPr>
              <w:pStyle w:val="paragraph"/>
              <w:spacing w:before="0" w:beforeAutospacing="off" w:after="0" w:afterAutospacing="off"/>
              <w:textAlignment w:val="baseline"/>
              <w:divId w:val="1373266211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0F7EFD06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Mitigation: use ANTT and wash hands after handling</w:t>
            </w:r>
            <w:r w:rsidRPr="0F7EFD06" w:rsidR="00EC194C">
              <w:rPr>
                <w:rStyle w:val="eop"/>
                <w:rFonts w:ascii="Calibri" w:hAnsi="Calibri" w:cs="Calibri" w:asciiTheme="minorAscii" w:hAnsiTheme="minorAscii" w:cstheme="minorAscii"/>
                <w:sz w:val="20"/>
                <w:szCs w:val="20"/>
              </w:rPr>
              <w:t> </w:t>
            </w:r>
          </w:p>
        </w:tc>
        <w:tc>
          <w:tcPr>
            <w:tcW w:w="867" w:type="dxa"/>
            <w:tcMar/>
            <w:vAlign w:val="center"/>
          </w:tcPr>
          <w:p w:rsidR="00EC194C" w:rsidP="00EC194C" w:rsidRDefault="66C7F43A" w14:paraId="740E02D4" w14:textId="1E6E199A">
            <w:pPr>
              <w:jc w:val="center"/>
            </w:pPr>
            <w:r>
              <w:lastRenderedPageBreak/>
              <w:t>+1</w:t>
            </w:r>
          </w:p>
        </w:tc>
        <w:tc>
          <w:tcPr>
            <w:tcW w:w="901" w:type="dxa"/>
            <w:tcMar/>
            <w:vAlign w:val="center"/>
          </w:tcPr>
          <w:p w:rsidR="00EC194C" w:rsidP="00EC194C" w:rsidRDefault="00EC194C" w14:paraId="588F7E64" w14:textId="0775C875">
            <w:pPr>
              <w:jc w:val="center"/>
            </w:pPr>
            <w:r w:rsidRPr="758091CE" w:rsidR="70333346">
              <w:rPr>
                <w:highlight w:val="green"/>
              </w:rPr>
              <w:t>[0]</w:t>
            </w:r>
          </w:p>
        </w:tc>
      </w:tr>
      <w:tr w:rsidR="00EC194C" w:rsidTr="0F7EFD06" w14:paraId="5767CA04" w14:textId="77777777">
        <w:tc>
          <w:tcPr>
            <w:tcW w:w="4140" w:type="dxa"/>
            <w:tcMar/>
          </w:tcPr>
          <w:p w:rsidRPr="00EC194C" w:rsidR="00EC194C" w:rsidP="00EC194C" w:rsidRDefault="00EC194C" w14:paraId="152D3B0C" w14:textId="77777777">
            <w:pPr>
              <w:pStyle w:val="paragraph"/>
              <w:spacing w:before="0" w:beforeAutospacing="0" w:after="0" w:afterAutospacing="0"/>
              <w:textAlignment w:val="baseline"/>
              <w:divId w:val="1129937570"/>
              <w:rPr>
                <w:rFonts w:asciiTheme="minorHAnsi" w:hAnsiTheme="minorHAnsi" w:cstheme="minorHAnsi"/>
                <w:sz w:val="20"/>
                <w:szCs w:val="18"/>
              </w:rPr>
            </w:pPr>
            <w:r w:rsidRPr="00EC194C">
              <w:rPr>
                <w:rFonts w:asciiTheme="minorHAnsi" w:hAnsiTheme="minorHAnsi" w:cstheme="minorHAnsi"/>
                <w:bCs/>
                <w:sz w:val="20"/>
              </w:rPr>
              <w:t>Frequency of exposure</w:t>
            </w:r>
            <w:r w:rsidRPr="00EC194C">
              <w:rPr>
                <w:rStyle w:val="eop"/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040" w:type="dxa"/>
            <w:tcMar/>
          </w:tcPr>
          <w:p w:rsidRPr="00EC194C" w:rsidR="00EC194C" w:rsidP="00EC194C" w:rsidRDefault="00EC194C" w14:paraId="033F0578" w14:textId="77777777">
            <w:pPr>
              <w:pStyle w:val="paragraph"/>
              <w:spacing w:before="0" w:beforeAutospacing="0" w:after="0" w:afterAutospacing="0"/>
              <w:textAlignment w:val="baseline"/>
              <w:divId w:val="87047045"/>
              <w:rPr>
                <w:rFonts w:asciiTheme="minorHAnsi" w:hAnsiTheme="minorHAnsi" w:cstheme="minorHAnsi"/>
                <w:sz w:val="20"/>
                <w:szCs w:val="18"/>
              </w:rPr>
            </w:pPr>
            <w:r w:rsidRPr="00EC194C">
              <w:rPr>
                <w:rFonts w:asciiTheme="minorHAnsi" w:hAnsiTheme="minorHAnsi" w:cstheme="minorHAnsi"/>
                <w:sz w:val="20"/>
              </w:rPr>
              <w:t>High numbers handled e.g. &gt;50 doses handled per week</w:t>
            </w:r>
            <w:r w:rsidRPr="00EC194C">
              <w:rPr>
                <w:rStyle w:val="eop"/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67" w:type="dxa"/>
            <w:tcMar/>
            <w:vAlign w:val="center"/>
          </w:tcPr>
          <w:p w:rsidR="00EC194C" w:rsidP="00EC194C" w:rsidRDefault="04C3B339" w14:paraId="23C1725C" w14:textId="042665E8">
            <w:pPr>
              <w:jc w:val="center"/>
            </w:pPr>
            <w:r>
              <w:t>+1</w:t>
            </w:r>
          </w:p>
        </w:tc>
        <w:tc>
          <w:tcPr>
            <w:tcW w:w="901" w:type="dxa"/>
            <w:tcMar/>
            <w:vAlign w:val="center"/>
          </w:tcPr>
          <w:p w:rsidR="00EC194C" w:rsidP="75365274" w:rsidRDefault="00EC194C" w14:paraId="4F4CFBE1" w14:textId="4D926104">
            <w:pPr>
              <w:jc w:val="center"/>
              <w:rPr>
                <w:highlight w:val="green"/>
              </w:rPr>
            </w:pPr>
            <w:r w:rsidRPr="758091CE" w:rsidR="27D0DBF9">
              <w:rPr>
                <w:highlight w:val="green"/>
              </w:rPr>
              <w:t>[</w:t>
            </w:r>
            <w:r w:rsidRPr="758091CE" w:rsidR="00EC194C">
              <w:rPr>
                <w:highlight w:val="green"/>
              </w:rPr>
              <w:t>0</w:t>
            </w:r>
            <w:r w:rsidRPr="758091CE" w:rsidR="27D0DBF9">
              <w:rPr>
                <w:highlight w:val="green"/>
              </w:rPr>
              <w:t>]</w:t>
            </w:r>
          </w:p>
        </w:tc>
      </w:tr>
      <w:tr w:rsidR="00EC194C" w:rsidTr="0F7EFD06" w14:paraId="6333180A" w14:textId="77777777">
        <w:tc>
          <w:tcPr>
            <w:tcW w:w="0" w:type="auto"/>
            <w:tcMar/>
          </w:tcPr>
          <w:p w:rsidR="008C3EC7" w:rsidRDefault="008C3EC7" w14:paraId="443DD571" w14:textId="77777777"/>
        </w:tc>
        <w:tc>
          <w:tcPr>
            <w:tcW w:w="8040" w:type="dxa"/>
            <w:tcMar/>
          </w:tcPr>
          <w:p w:rsidR="237F21C8" w:rsidP="0045B804" w:rsidRDefault="237F21C8" w14:paraId="554844F6" w14:textId="154A4640">
            <w:pPr>
              <w:jc w:val="right"/>
              <w:rPr>
                <w:b/>
                <w:bCs/>
              </w:rPr>
            </w:pPr>
            <w:r w:rsidRPr="0045B804">
              <w:rPr>
                <w:b/>
                <w:bCs/>
              </w:rPr>
              <w:t>Total (B)</w:t>
            </w:r>
          </w:p>
        </w:tc>
        <w:tc>
          <w:tcPr>
            <w:tcW w:w="867" w:type="dxa"/>
            <w:tcMar/>
            <w:vAlign w:val="center"/>
          </w:tcPr>
          <w:p w:rsidR="0045B804" w:rsidP="3B82215B" w:rsidRDefault="0045B804" w14:paraId="29172105" w14:textId="2DB5E0E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highlight w:val="green"/>
              </w:rPr>
            </w:pPr>
            <w:r w:rsidRPr="758091CE" w:rsidR="65708B40">
              <w:rPr>
                <w:b w:val="1"/>
                <w:bCs w:val="1"/>
                <w:highlight w:val="green"/>
              </w:rPr>
              <w:t>[</w:t>
            </w:r>
            <w:r w:rsidRPr="758091CE" w:rsidR="3E829194">
              <w:rPr>
                <w:b w:val="1"/>
                <w:bCs w:val="1"/>
                <w:highlight w:val="green"/>
              </w:rPr>
              <w:t>1</w:t>
            </w:r>
            <w:r w:rsidRPr="758091CE" w:rsidR="770BD788">
              <w:rPr>
                <w:b w:val="1"/>
                <w:bCs w:val="1"/>
                <w:highlight w:val="green"/>
              </w:rPr>
              <w:t>]</w:t>
            </w:r>
          </w:p>
        </w:tc>
        <w:tc>
          <w:tcPr>
            <w:tcW w:w="901" w:type="dxa"/>
            <w:tcMar/>
            <w:vAlign w:val="center"/>
          </w:tcPr>
          <w:p w:rsidR="00EC194C" w:rsidP="0045B804" w:rsidRDefault="237F21C8" w14:paraId="688C234C" w14:textId="457897E7">
            <w:pPr>
              <w:jc w:val="center"/>
            </w:pPr>
            <w:r>
              <w:t>0</w:t>
            </w:r>
          </w:p>
        </w:tc>
      </w:tr>
    </w:tbl>
    <w:p w:rsidRPr="00EC194C" w:rsidR="00A572A3" w:rsidP="7C1E687D" w:rsidRDefault="56DCD6AB" w14:paraId="3A2E1405" w14:textId="09597A1B">
      <w:pPr>
        <w:pStyle w:val="Heading1"/>
      </w:pPr>
      <w:r w:rsidR="56DCD6AB">
        <w:rPr/>
        <w:t>R</w:t>
      </w:r>
      <w:r w:rsidR="00EC194C">
        <w:rPr/>
        <w:t xml:space="preserve">isk Calculation and </w:t>
      </w:r>
      <w:r w:rsidR="298AE782">
        <w:rPr/>
        <w:t>S</w:t>
      </w:r>
      <w:r w:rsidR="00EC194C">
        <w:rPr/>
        <w:t>core</w:t>
      </w:r>
    </w:p>
    <w:p w:rsidR="009D2C03" w:rsidP="0045B804" w:rsidRDefault="009D2C03" w14:paraId="76179F75" w14:textId="77777777">
      <w:pPr>
        <w:spacing w:after="0" w:line="240" w:lineRule="auto"/>
        <w:rPr>
          <w:rFonts w:ascii="Calibri" w:hAnsi="Calibri" w:eastAsia="Calibri" w:cs="Calibri"/>
          <w:b w:val="1"/>
          <w:bCs w:val="1"/>
          <w:sz w:val="24"/>
          <w:szCs w:val="24"/>
          <w:lang w:val="en-US" w:eastAsia="en-GB"/>
        </w:rPr>
      </w:pPr>
    </w:p>
    <w:p w:rsidR="6F0E6021" w:rsidP="0045B804" w:rsidRDefault="6F0E6021" w14:paraId="3EAA79A9" w14:textId="2739F924">
      <w:pPr>
        <w:spacing w:after="0" w:line="240" w:lineRule="auto"/>
        <w:rPr>
          <w:rFonts w:ascii="Calibri" w:hAnsi="Calibri" w:eastAsia="Calibri" w:cs="Calibri"/>
          <w:b/>
          <w:bCs/>
          <w:sz w:val="24"/>
          <w:szCs w:val="24"/>
          <w:lang w:eastAsia="en-GB"/>
        </w:rPr>
      </w:pPr>
      <w:r w:rsidRPr="0045B804">
        <w:rPr>
          <w:rFonts w:ascii="Calibri" w:hAnsi="Calibri" w:eastAsia="Calibri" w:cs="Calibri"/>
          <w:b/>
          <w:bCs/>
          <w:sz w:val="24"/>
          <w:szCs w:val="24"/>
          <w:lang w:val="en-US" w:eastAsia="en-GB"/>
        </w:rPr>
        <w:t>Multiply Risk factor (A) x likelihood (B) and determine total risk rating</w:t>
      </w:r>
      <w:r w:rsidRPr="0045B804">
        <w:rPr>
          <w:rFonts w:ascii="Calibri" w:hAnsi="Calibri" w:eastAsia="Calibri" w:cs="Calibri"/>
          <w:b/>
          <w:bCs/>
          <w:sz w:val="24"/>
          <w:szCs w:val="24"/>
          <w:lang w:eastAsia="en-GB"/>
        </w:rPr>
        <w:t>  </w:t>
      </w:r>
    </w:p>
    <w:p w:rsidR="0045B804" w:rsidP="0045B804" w:rsidRDefault="0045B804" w14:paraId="34BA695B" w14:textId="604F838A">
      <w:pPr>
        <w:spacing w:after="0" w:line="240" w:lineRule="auto"/>
        <w:rPr>
          <w:rFonts w:ascii="Calibri" w:hAnsi="Calibri" w:eastAsia="Calibri" w:cs="Calibri"/>
          <w:b/>
          <w:bCs/>
          <w:sz w:val="24"/>
          <w:szCs w:val="24"/>
          <w:lang w:eastAsia="en-GB"/>
        </w:rPr>
      </w:pPr>
    </w:p>
    <w:p w:rsidR="6F0E6021" w:rsidP="0045B804" w:rsidRDefault="6F0E6021" w14:paraId="73CAC7C1" w14:textId="584ADD5A">
      <w:pPr>
        <w:spacing w:after="0" w:line="240" w:lineRule="auto"/>
        <w:rPr>
          <w:rFonts w:ascii="Calibri" w:hAnsi="Calibri" w:eastAsia="Calibri" w:cs="Calibri"/>
          <w:b w:val="1"/>
          <w:bCs w:val="1"/>
          <w:sz w:val="24"/>
          <w:szCs w:val="24"/>
          <w:lang w:eastAsia="en-GB"/>
        </w:rPr>
      </w:pPr>
      <w:r w:rsidRPr="758091CE" w:rsidR="6F0E6021">
        <w:rPr>
          <w:rFonts w:ascii="Calibri" w:hAnsi="Calibri" w:eastAsia="Calibri" w:cs="Calibri"/>
          <w:b w:val="1"/>
          <w:bCs w:val="1"/>
          <w:sz w:val="24"/>
          <w:szCs w:val="24"/>
          <w:lang w:eastAsia="en-GB"/>
        </w:rPr>
        <w:t xml:space="preserve">Score = </w:t>
      </w:r>
      <w:r w:rsidRPr="758091CE" w:rsidR="0FF7523C">
        <w:rPr>
          <w:rFonts w:ascii="Calibri" w:hAnsi="Calibri" w:eastAsia="Calibri" w:cs="Calibri"/>
          <w:b w:val="1"/>
          <w:bCs w:val="1"/>
          <w:sz w:val="24"/>
          <w:szCs w:val="24"/>
          <w:lang w:eastAsia="en-GB"/>
        </w:rPr>
        <w:t>[</w:t>
      </w:r>
      <w:r w:rsidRPr="758091CE" w:rsidR="7A26F5AD">
        <w:rPr>
          <w:rFonts w:ascii="Calibri" w:hAnsi="Calibri" w:eastAsia="Calibri" w:cs="Calibri"/>
          <w:b w:val="1"/>
          <w:bCs w:val="1"/>
          <w:sz w:val="24"/>
          <w:szCs w:val="24"/>
          <w:highlight w:val="green"/>
          <w:lang w:eastAsia="en-GB"/>
        </w:rPr>
        <w:t>0</w:t>
      </w:r>
      <w:r w:rsidRPr="758091CE" w:rsidR="268F2A1F">
        <w:rPr>
          <w:rFonts w:ascii="Calibri" w:hAnsi="Calibri" w:eastAsia="Calibri" w:cs="Calibri"/>
          <w:b w:val="1"/>
          <w:bCs w:val="1"/>
          <w:sz w:val="24"/>
          <w:szCs w:val="24"/>
          <w:highlight w:val="green"/>
          <w:lang w:eastAsia="en-GB"/>
        </w:rPr>
        <w:t xml:space="preserve"> </w:t>
      </w:r>
      <w:r w:rsidRPr="758091CE" w:rsidR="268F2A1F">
        <w:rPr>
          <w:rFonts w:ascii="Calibri" w:hAnsi="Calibri" w:eastAsia="Calibri" w:cs="Calibri"/>
          <w:b w:val="1"/>
          <w:bCs w:val="1"/>
          <w:sz w:val="24"/>
          <w:szCs w:val="24"/>
          <w:highlight w:val="green"/>
          <w:lang w:eastAsia="en-GB"/>
        </w:rPr>
        <w:t xml:space="preserve">x </w:t>
      </w:r>
      <w:r w:rsidRPr="758091CE" w:rsidR="3C3C28F0">
        <w:rPr>
          <w:rFonts w:ascii="Calibri" w:hAnsi="Calibri" w:eastAsia="Calibri" w:cs="Calibri"/>
          <w:b w:val="1"/>
          <w:bCs w:val="1"/>
          <w:sz w:val="24"/>
          <w:szCs w:val="24"/>
          <w:highlight w:val="green"/>
          <w:lang w:eastAsia="en-GB"/>
        </w:rPr>
        <w:t>1</w:t>
      </w:r>
      <w:r w:rsidRPr="758091CE" w:rsidR="268F2A1F">
        <w:rPr>
          <w:rFonts w:ascii="Calibri" w:hAnsi="Calibri" w:eastAsia="Calibri" w:cs="Calibri"/>
          <w:b w:val="1"/>
          <w:bCs w:val="1"/>
          <w:sz w:val="24"/>
          <w:szCs w:val="24"/>
          <w:highlight w:val="green"/>
          <w:lang w:eastAsia="en-GB"/>
        </w:rPr>
        <w:t xml:space="preserve"> </w:t>
      </w:r>
      <w:r w:rsidRPr="758091CE" w:rsidR="268F2A1F">
        <w:rPr>
          <w:rFonts w:ascii="Calibri" w:hAnsi="Calibri" w:eastAsia="Calibri" w:cs="Calibri"/>
          <w:b w:val="1"/>
          <w:bCs w:val="1"/>
          <w:sz w:val="24"/>
          <w:szCs w:val="24"/>
          <w:highlight w:val="green"/>
          <w:lang w:eastAsia="en-GB"/>
        </w:rPr>
        <w:t xml:space="preserve">= </w:t>
      </w:r>
      <w:r w:rsidRPr="758091CE" w:rsidR="1830B6CB">
        <w:rPr>
          <w:rFonts w:ascii="Calibri" w:hAnsi="Calibri" w:eastAsia="Calibri" w:cs="Calibri"/>
          <w:b w:val="1"/>
          <w:bCs w:val="1"/>
          <w:sz w:val="24"/>
          <w:szCs w:val="24"/>
          <w:highlight w:val="green"/>
          <w:lang w:eastAsia="en-GB"/>
        </w:rPr>
        <w:t>0</w:t>
      </w:r>
      <w:r w:rsidRPr="758091CE" w:rsidR="6A191803">
        <w:rPr>
          <w:rFonts w:ascii="Calibri" w:hAnsi="Calibri" w:eastAsia="Calibri" w:cs="Calibri"/>
          <w:b w:val="1"/>
          <w:bCs w:val="1"/>
          <w:sz w:val="24"/>
          <w:szCs w:val="24"/>
          <w:highlight w:val="green"/>
          <w:lang w:eastAsia="en-GB"/>
        </w:rPr>
        <w:t>]</w:t>
      </w:r>
      <w:r w:rsidRPr="758091CE" w:rsidR="268F2A1F">
        <w:rPr>
          <w:rFonts w:ascii="Calibri" w:hAnsi="Calibri" w:eastAsia="Calibri" w:cs="Calibri"/>
          <w:b w:val="1"/>
          <w:bCs w:val="1"/>
          <w:sz w:val="24"/>
          <w:szCs w:val="24"/>
          <w:lang w:eastAsia="en-GB"/>
        </w:rPr>
        <w:t xml:space="preserve"> </w:t>
      </w:r>
    </w:p>
    <w:p w:rsidR="0045B804" w:rsidP="0045B804" w:rsidRDefault="0045B804" w14:paraId="3EA01072" w14:textId="06035268">
      <w:pPr>
        <w:spacing w:after="0" w:line="240" w:lineRule="auto"/>
        <w:rPr>
          <w:rFonts w:ascii="Calibri" w:hAnsi="Calibri" w:eastAsia="Calibri" w:cs="Calibri"/>
          <w:b/>
          <w:bCs/>
          <w:sz w:val="24"/>
          <w:szCs w:val="24"/>
          <w:lang w:eastAsia="en-GB"/>
        </w:rPr>
      </w:pPr>
    </w:p>
    <w:tbl>
      <w:tblPr>
        <w:tblW w:w="14235" w:type="dxa"/>
        <w:tblInd w:w="-18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11850"/>
      </w:tblGrid>
      <w:tr w:rsidRPr="00EC194C" w:rsidR="00EC194C" w:rsidTr="758091CE" w14:paraId="5D75AED9" w14:textId="77777777">
        <w:trPr>
          <w:trHeight w:val="300"/>
        </w:trPr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8722F" w:rsidR="00EC194C" w:rsidP="3B82215B" w:rsidRDefault="00EC194C" w14:paraId="45A9E0EB" w14:textId="75DE8296">
            <w:pPr>
              <w:pStyle w:val="Header"/>
              <w:rPr>
                <w:highlight w:val="green"/>
              </w:rPr>
            </w:pPr>
            <w:r w:rsidRPr="758091CE" w:rsidR="32104C50">
              <w:rPr>
                <w:highlight w:val="green"/>
              </w:rPr>
              <w:t>[</w:t>
            </w:r>
            <w:r w:rsidRPr="758091CE" w:rsidR="00EC194C">
              <w:rPr>
                <w:highlight w:val="green"/>
              </w:rPr>
              <w:t xml:space="preserve">Risk Score ≤ </w:t>
            </w:r>
            <w:r w:rsidRPr="758091CE" w:rsidR="00EC194C">
              <w:rPr>
                <w:highlight w:val="green"/>
              </w:rPr>
              <w:t>5</w:t>
            </w:r>
            <w:r w:rsidRPr="758091CE" w:rsidR="00EC194C">
              <w:rPr>
                <w:highlight w:val="green"/>
              </w:rPr>
              <w:t> </w:t>
            </w:r>
            <w:r w:rsidRPr="758091CE" w:rsidR="4A2412CC">
              <w:rPr>
                <w:highlight w:val="green"/>
              </w:rPr>
              <w:t>]</w:t>
            </w:r>
          </w:p>
        </w:tc>
        <w:tc>
          <w:tcPr>
            <w:tcW w:w="1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EC194C" w:rsidR="00EC194C" w:rsidP="3B82215B" w:rsidRDefault="00EC194C" w14:paraId="21267230" w14:textId="574BA26B">
            <w:pPr>
              <w:spacing w:after="0" w:line="240" w:lineRule="auto"/>
              <w:textAlignment w:val="baseline"/>
              <w:rPr>
                <w:rFonts w:eastAsia="Times New Roman" w:cs="Calibri" w:cstheme="minorAscii"/>
                <w:sz w:val="20"/>
                <w:szCs w:val="20"/>
                <w:highlight w:val="green"/>
                <w:lang w:eastAsia="en-GB"/>
              </w:rPr>
            </w:pPr>
            <w:r w:rsidRPr="758091CE" w:rsidR="12CA14C4">
              <w:rPr>
                <w:rFonts w:eastAsia="Times New Roman" w:cs="Calibri" w:cstheme="minorAscii"/>
                <w:sz w:val="20"/>
                <w:szCs w:val="20"/>
                <w:highlight w:val="green"/>
                <w:lang w:val="en-US" w:eastAsia="en-GB"/>
              </w:rPr>
              <w:t>[</w:t>
            </w:r>
            <w:r w:rsidRPr="758091CE" w:rsidR="00EC194C">
              <w:rPr>
                <w:rFonts w:eastAsia="Times New Roman" w:cs="Calibri" w:cstheme="minorAscii"/>
                <w:sz w:val="20"/>
                <w:szCs w:val="20"/>
                <w:highlight w:val="green"/>
                <w:lang w:val="en-US" w:eastAsia="en-GB"/>
              </w:rPr>
              <w:t xml:space="preserve">Low Risk: Proposed arrangements have controlled the risks to acceptable </w:t>
            </w:r>
            <w:r w:rsidRPr="758091CE" w:rsidR="00EC194C">
              <w:rPr>
                <w:rFonts w:eastAsia="Times New Roman" w:cs="Calibri" w:cstheme="minorAscii"/>
                <w:sz w:val="20"/>
                <w:szCs w:val="20"/>
                <w:highlight w:val="green"/>
                <w:lang w:val="en-US" w:eastAsia="en-GB"/>
              </w:rPr>
              <w:t>levels</w:t>
            </w:r>
            <w:r w:rsidRPr="758091CE" w:rsidR="00EC194C">
              <w:rPr>
                <w:rFonts w:eastAsia="Times New Roman" w:cs="Calibri" w:cstheme="minorAscii"/>
                <w:sz w:val="20"/>
                <w:szCs w:val="20"/>
                <w:highlight w:val="green"/>
                <w:lang w:val="en-US" w:eastAsia="en-GB"/>
              </w:rPr>
              <w:t xml:space="preserve"> and preparation can </w:t>
            </w:r>
            <w:r w:rsidRPr="758091CE" w:rsidR="00EC194C">
              <w:rPr>
                <w:rFonts w:eastAsia="Times New Roman" w:cs="Calibri" w:cstheme="minorAscii"/>
                <w:sz w:val="20"/>
                <w:szCs w:val="20"/>
                <w:highlight w:val="green"/>
                <w:lang w:val="en-US" w:eastAsia="en-GB"/>
              </w:rPr>
              <w:t>proceed</w:t>
            </w:r>
            <w:r w:rsidRPr="758091CE" w:rsidR="00EC194C">
              <w:rPr>
                <w:rFonts w:eastAsia="Times New Roman" w:cs="Calibri" w:cstheme="minorAscii"/>
                <w:sz w:val="20"/>
                <w:szCs w:val="20"/>
                <w:highlight w:val="green"/>
                <w:lang w:val="en-US" w:eastAsia="en-GB"/>
              </w:rPr>
              <w:t xml:space="preserve"> as assessed once assigned actions are complete.</w:t>
            </w:r>
            <w:r w:rsidRPr="758091CE" w:rsidR="31551217">
              <w:rPr>
                <w:rFonts w:eastAsia="Times New Roman" w:cs="Calibri" w:cstheme="minorAscii"/>
                <w:sz w:val="20"/>
                <w:szCs w:val="20"/>
                <w:highlight w:val="green"/>
                <w:lang w:eastAsia="en-GB"/>
              </w:rPr>
              <w:t>]</w:t>
            </w:r>
            <w:r w:rsidRPr="758091CE" w:rsidR="00EC194C">
              <w:rPr>
                <w:rFonts w:eastAsia="Times New Roman" w:cs="Calibri" w:cstheme="minorAscii"/>
                <w:sz w:val="20"/>
                <w:szCs w:val="20"/>
                <w:highlight w:val="green"/>
                <w:lang w:eastAsia="en-GB"/>
              </w:rPr>
              <w:t> </w:t>
            </w:r>
          </w:p>
        </w:tc>
      </w:tr>
      <w:tr w:rsidRPr="00EC194C" w:rsidR="00EC194C" w:rsidTr="758091CE" w14:paraId="3DABB887" w14:textId="77777777">
        <w:trPr>
          <w:trHeight w:val="300"/>
        </w:trPr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8722F" w:rsidR="00EC194C" w:rsidP="008C47D9" w:rsidRDefault="00EC194C" w14:paraId="06C1B44B" w14:textId="77777777">
            <w:pPr>
              <w:pStyle w:val="Header"/>
            </w:pPr>
            <w:r w:rsidRPr="0068722F">
              <w:t>Risk Score 6 - 9</w:t>
            </w:r>
            <w:r w:rsidRPr="00EC194C">
              <w:t>  </w:t>
            </w:r>
          </w:p>
        </w:tc>
        <w:tc>
          <w:tcPr>
            <w:tcW w:w="1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EC194C" w:rsidR="00EC194C" w:rsidP="00EC194C" w:rsidRDefault="00EC194C" w14:paraId="502E6594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18"/>
                <w:lang w:eastAsia="en-GB"/>
              </w:rPr>
            </w:pPr>
            <w:r w:rsidRPr="00EC194C">
              <w:rPr>
                <w:rFonts w:eastAsia="Times New Roman" w:cstheme="minorHAnsi"/>
                <w:sz w:val="20"/>
                <w:szCs w:val="24"/>
                <w:lang w:val="en-US" w:eastAsia="en-GB"/>
              </w:rPr>
              <w:t xml:space="preserve">Medium Risk: Proposed actions control some risks, but residual risks remain.  Preparation may proceed as assessed after </w:t>
            </w:r>
            <w:proofErr w:type="gramStart"/>
            <w:r w:rsidRPr="00EC194C">
              <w:rPr>
                <w:rFonts w:eastAsia="Times New Roman" w:cstheme="minorHAnsi"/>
                <w:sz w:val="20"/>
                <w:szCs w:val="24"/>
                <w:lang w:val="en-US" w:eastAsia="en-GB"/>
              </w:rPr>
              <w:t>introduction</w:t>
            </w:r>
            <w:proofErr w:type="gramEnd"/>
            <w:r w:rsidRPr="00EC194C">
              <w:rPr>
                <w:rFonts w:eastAsia="Times New Roman" w:cstheme="minorHAnsi"/>
                <w:sz w:val="20"/>
                <w:szCs w:val="24"/>
                <w:lang w:val="en-US" w:eastAsia="en-GB"/>
              </w:rPr>
              <w:t xml:space="preserve"> of assigned actions.  Additional mitigation should be considered where possible to further reduce these risks.</w:t>
            </w:r>
            <w:r w:rsidRPr="00EC194C">
              <w:rPr>
                <w:rFonts w:eastAsia="Times New Roman" w:cstheme="minorHAnsi"/>
                <w:sz w:val="20"/>
                <w:szCs w:val="24"/>
                <w:lang w:eastAsia="en-GB"/>
              </w:rPr>
              <w:t> </w:t>
            </w:r>
          </w:p>
        </w:tc>
      </w:tr>
      <w:tr w:rsidRPr="00EC194C" w:rsidR="00EC194C" w:rsidTr="758091CE" w14:paraId="42898111" w14:textId="77777777">
        <w:trPr>
          <w:trHeight w:val="300"/>
        </w:trPr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8722F" w:rsidR="00EC194C" w:rsidP="3B82215B" w:rsidRDefault="00EC194C" w14:paraId="7FD2E8D5" w14:textId="77777777">
            <w:pPr>
              <w:pStyle w:val="Header"/>
            </w:pPr>
            <w:r w:rsidR="00EC194C">
              <w:rPr/>
              <w:t>Risk Score ≥ 10</w:t>
            </w:r>
            <w:r w:rsidR="00EC194C">
              <w:rPr/>
              <w:t> </w:t>
            </w:r>
          </w:p>
        </w:tc>
        <w:tc>
          <w:tcPr>
            <w:tcW w:w="1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EC194C" w:rsidR="00EC194C" w:rsidP="3B82215B" w:rsidRDefault="00EC194C" w14:paraId="593B32C1" w14:textId="77777777">
            <w:pPr>
              <w:spacing w:after="0" w:line="240" w:lineRule="auto"/>
              <w:textAlignment w:val="baseline"/>
              <w:rPr>
                <w:rFonts w:eastAsia="Times New Roman" w:cs="Calibri" w:cstheme="minorAscii"/>
                <w:sz w:val="20"/>
                <w:szCs w:val="20"/>
                <w:lang w:eastAsia="en-GB"/>
              </w:rPr>
            </w:pPr>
            <w:r w:rsidRPr="3B82215B" w:rsidR="00EC194C">
              <w:rPr>
                <w:rFonts w:eastAsia="Times New Roman" w:cs="Calibri" w:cstheme="minorAscii"/>
                <w:sz w:val="20"/>
                <w:szCs w:val="20"/>
                <w:lang w:val="en-US" w:eastAsia="en-GB"/>
              </w:rPr>
              <w:t xml:space="preserve">High Risk: Despite proposed actions, the risk </w:t>
            </w:r>
            <w:r w:rsidRPr="3B82215B" w:rsidR="00EC194C">
              <w:rPr>
                <w:rFonts w:eastAsia="Times New Roman" w:cs="Calibri" w:cstheme="minorAscii"/>
                <w:sz w:val="20"/>
                <w:szCs w:val="20"/>
                <w:lang w:val="en-US" w:eastAsia="en-GB"/>
              </w:rPr>
              <w:t>remains</w:t>
            </w:r>
            <w:r w:rsidRPr="3B82215B" w:rsidR="00EC194C">
              <w:rPr>
                <w:rFonts w:eastAsia="Times New Roman" w:cs="Calibri" w:cstheme="minorAscii"/>
                <w:sz w:val="20"/>
                <w:szCs w:val="20"/>
                <w:lang w:val="en-US" w:eastAsia="en-GB"/>
              </w:rPr>
              <w:t xml:space="preserve"> high.  Preparation may </w:t>
            </w:r>
            <w:r w:rsidRPr="3B82215B" w:rsidR="00EC194C">
              <w:rPr>
                <w:rFonts w:eastAsia="Times New Roman" w:cs="Calibri" w:cstheme="minorAscii"/>
                <w:sz w:val="20"/>
                <w:szCs w:val="20"/>
                <w:lang w:val="en-US" w:eastAsia="en-GB"/>
              </w:rPr>
              <w:t>proceed</w:t>
            </w:r>
            <w:r w:rsidRPr="3B82215B" w:rsidR="00EC194C">
              <w:rPr>
                <w:rFonts w:eastAsia="Times New Roman" w:cs="Calibri" w:cstheme="minorAscii"/>
                <w:sz w:val="20"/>
                <w:szCs w:val="20"/>
                <w:lang w:val="en-US" w:eastAsia="en-GB"/>
              </w:rPr>
              <w:t xml:space="preserve"> as assessed provided all proposed actions are introduced, and the </w:t>
            </w:r>
            <w:r w:rsidRPr="3B82215B" w:rsidR="00EC194C">
              <w:rPr>
                <w:rFonts w:eastAsia="Times New Roman" w:cs="Calibri" w:cstheme="minorAscii"/>
                <w:sz w:val="20"/>
                <w:szCs w:val="20"/>
                <w:lang w:val="en-US" w:eastAsia="en-GB"/>
              </w:rPr>
              <w:t>organisation</w:t>
            </w:r>
            <w:r w:rsidRPr="3B82215B" w:rsidR="00EC194C">
              <w:rPr>
                <w:rFonts w:eastAsia="Times New Roman" w:cs="Calibri" w:cstheme="minorAscii"/>
                <w:sz w:val="20"/>
                <w:szCs w:val="20"/>
                <w:lang w:val="en-US" w:eastAsia="en-GB"/>
              </w:rPr>
              <w:t xml:space="preserve"> accepts the residual high-risk rating.  Regular review of the process is </w:t>
            </w:r>
            <w:r w:rsidRPr="3B82215B" w:rsidR="00EC194C">
              <w:rPr>
                <w:rFonts w:eastAsia="Times New Roman" w:cs="Calibri" w:cstheme="minorAscii"/>
                <w:sz w:val="20"/>
                <w:szCs w:val="20"/>
                <w:lang w:val="en-US" w:eastAsia="en-GB"/>
              </w:rPr>
              <w:t>required</w:t>
            </w:r>
            <w:r w:rsidRPr="3B82215B" w:rsidR="00EC194C">
              <w:rPr>
                <w:rFonts w:eastAsia="Times New Roman" w:cs="Calibri" w:cstheme="minorAscii"/>
                <w:sz w:val="20"/>
                <w:szCs w:val="20"/>
                <w:lang w:val="en-US" w:eastAsia="en-GB"/>
              </w:rPr>
              <w:t xml:space="preserve"> to </w:t>
            </w:r>
            <w:r w:rsidRPr="3B82215B" w:rsidR="00EC194C">
              <w:rPr>
                <w:rFonts w:eastAsia="Times New Roman" w:cs="Calibri" w:cstheme="minorAscii"/>
                <w:sz w:val="20"/>
                <w:szCs w:val="20"/>
                <w:lang w:val="en-US" w:eastAsia="en-GB"/>
              </w:rPr>
              <w:t>identify</w:t>
            </w:r>
            <w:r w:rsidRPr="3B82215B" w:rsidR="00EC194C">
              <w:rPr>
                <w:rFonts w:eastAsia="Times New Roman" w:cs="Calibri" w:cstheme="minorAscii"/>
                <w:sz w:val="20"/>
                <w:szCs w:val="20"/>
                <w:lang w:val="en-US" w:eastAsia="en-GB"/>
              </w:rPr>
              <w:t xml:space="preserve"> further risk reduction opportunities.  Preparation in </w:t>
            </w:r>
            <w:r w:rsidRPr="3B82215B" w:rsidR="00EC194C">
              <w:rPr>
                <w:rFonts w:eastAsia="Times New Roman" w:cs="Calibri" w:cstheme="minorAscii"/>
                <w:sz w:val="20"/>
                <w:szCs w:val="20"/>
                <w:lang w:val="en-US" w:eastAsia="en-GB"/>
              </w:rPr>
              <w:t>pharmacy</w:t>
            </w:r>
            <w:r w:rsidRPr="3B82215B" w:rsidR="00EC194C">
              <w:rPr>
                <w:rFonts w:eastAsia="Times New Roman" w:cs="Calibri" w:cstheme="minorAscii"/>
                <w:sz w:val="20"/>
                <w:szCs w:val="20"/>
                <w:lang w:val="en-US" w:eastAsia="en-GB"/>
              </w:rPr>
              <w:t xml:space="preserve"> is recommended.</w:t>
            </w:r>
            <w:r w:rsidRPr="3B82215B" w:rsidR="00EC194C">
              <w:rPr>
                <w:rFonts w:eastAsia="Times New Roman" w:cs="Calibri" w:cstheme="minorAscii"/>
                <w:sz w:val="20"/>
                <w:szCs w:val="20"/>
                <w:lang w:eastAsia="en-GB"/>
              </w:rPr>
              <w:t>  </w:t>
            </w:r>
          </w:p>
        </w:tc>
      </w:tr>
    </w:tbl>
    <w:p w:rsidR="00A572A3" w:rsidP="7C1E687D" w:rsidRDefault="53D387AD" w14:paraId="0469452E" w14:textId="199F026E">
      <w:pPr>
        <w:pStyle w:val="Heading1"/>
        <w:rPr>
          <w:rFonts w:eastAsia="Times New Roman"/>
          <w:lang w:val="en-US" w:eastAsia="en-GB"/>
        </w:rPr>
      </w:pPr>
      <w:r w:rsidRPr="7C1E687D" w:rsidR="53D387AD">
        <w:rPr>
          <w:rFonts w:eastAsia="Times New Roman"/>
          <w:lang w:val="en-US" w:eastAsia="en-GB"/>
        </w:rPr>
        <w:t xml:space="preserve">Risk assessment undertaken </w:t>
      </w:r>
      <w:r w:rsidRPr="7C1E687D" w:rsidR="53D387AD">
        <w:rPr>
          <w:rFonts w:eastAsia="Times New Roman"/>
          <w:lang w:val="en-US" w:eastAsia="en-GB"/>
        </w:rPr>
        <w:t>by</w:t>
      </w:r>
      <w:r w:rsidRPr="7C1E687D" w:rsidR="53D387AD">
        <w:rPr>
          <w:rFonts w:eastAsia="Times New Roman"/>
          <w:lang w:val="en-US" w:eastAsia="en-GB"/>
        </w:rPr>
        <w:t>:</w:t>
      </w:r>
    </w:p>
    <w:p w:rsidR="0045B804" w:rsidP="0045B804" w:rsidRDefault="0045B804" w14:paraId="53DC4D2D" w14:textId="0E552050">
      <w:pPr>
        <w:spacing w:after="0" w:line="240" w:lineRule="auto"/>
        <w:rPr>
          <w:rFonts w:eastAsia="Times New Roman"/>
          <w:b/>
          <w:bCs/>
          <w:sz w:val="24"/>
          <w:szCs w:val="24"/>
          <w:lang w:val="en-US" w:eastAsia="en-GB"/>
        </w:rPr>
      </w:pPr>
    </w:p>
    <w:p w:rsidR="5D4820E9" w:rsidP="758091CE" w:rsidRDefault="5D4820E9" w14:paraId="7B3936D3" w14:textId="38DF0250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58091CE" w:rsidR="5D482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Pharmacy Professional Name:</w:t>
      </w:r>
      <w:r w:rsidRPr="758091CE" w:rsidR="5D482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  </w:t>
      </w:r>
      <w:r w:rsidRPr="758091CE" w:rsidR="5D482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GB"/>
        </w:rPr>
        <w:t>[A Pharmacy]</w:t>
      </w:r>
    </w:p>
    <w:p w:rsidR="5D4820E9" w:rsidP="758091CE" w:rsidRDefault="5D4820E9" w14:paraId="6A1EE78C" w14:textId="53DF0991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58091CE" w:rsidR="5D482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Signature </w:t>
      </w:r>
      <w:r w:rsidRPr="758091CE" w:rsidR="5D482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GB"/>
        </w:rPr>
        <w:t>[AP]</w:t>
      </w:r>
    </w:p>
    <w:p w:rsidR="5D4820E9" w:rsidP="758091CE" w:rsidRDefault="5D4820E9" w14:paraId="566F9EFD" w14:textId="6FFC7CAF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58091CE" w:rsidR="5D482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Date: </w:t>
      </w:r>
      <w:r w:rsidRPr="758091CE" w:rsidR="5D482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GB"/>
        </w:rPr>
        <w:t>[29/05/2025]</w:t>
      </w:r>
    </w:p>
    <w:p w:rsidR="758091CE" w:rsidP="758091CE" w:rsidRDefault="758091CE" w14:paraId="075ACEF6" w14:textId="48A3C85E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5D4820E9" w:rsidP="758091CE" w:rsidRDefault="5D4820E9" w14:paraId="5EF0D7D3" w14:textId="22148041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58091CE" w:rsidR="5D482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Nurse/Clinician Name:</w:t>
      </w:r>
      <w:r w:rsidRPr="758091CE" w:rsidR="5D482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  </w:t>
      </w:r>
      <w:r w:rsidRPr="758091CE" w:rsidR="5D482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GB"/>
        </w:rPr>
        <w:t>[A Clinician]</w:t>
      </w:r>
    </w:p>
    <w:p w:rsidR="5D4820E9" w:rsidP="758091CE" w:rsidRDefault="5D4820E9" w14:paraId="28EEC910" w14:textId="4B603D22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58091CE" w:rsidR="5D482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Signature: </w:t>
      </w:r>
      <w:r w:rsidRPr="758091CE" w:rsidR="5D482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GB"/>
        </w:rPr>
        <w:t>[AC]</w:t>
      </w:r>
    </w:p>
    <w:p w:rsidR="0068722F" w:rsidP="0F7EFD06" w:rsidRDefault="0068722F" w14:paraId="57098D37" w14:textId="3793258F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F7EFD06" w:rsidR="5D482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Date: </w:t>
      </w:r>
      <w:r w:rsidRPr="0F7EFD06" w:rsidR="5D482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GB"/>
        </w:rPr>
        <w:t>[29/05/2025]</w:t>
      </w:r>
    </w:p>
    <w:p w:rsidR="0068722F" w:rsidP="0F7EFD06" w:rsidRDefault="0068722F" w14:paraId="1A21F3D8" w14:textId="706C8E04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GB"/>
        </w:rPr>
      </w:pPr>
    </w:p>
    <w:p w:rsidR="0068722F" w:rsidP="0F7EFD06" w:rsidRDefault="0068722F" w14:paraId="61645352" w14:textId="76DAE515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="0068722F">
        <w:rPr/>
        <w:t>This template is part of a Specialist Pharmacy Services Resource which can be found here:</w:t>
      </w:r>
      <w:r w:rsidR="0068722F">
        <w:rPr/>
        <w:t xml:space="preserve"> </w:t>
      </w:r>
      <w:r w:rsidR="0068722F">
        <w:rPr/>
        <w:t xml:space="preserve"> </w:t>
      </w:r>
      <w:hyperlink r:id="R99a2bf93664f4c18">
        <w:r w:rsidRPr="7C1E687D" w:rsidR="18A4596E">
          <w:rPr>
            <w:rStyle w:val="Hyperlink"/>
          </w:rPr>
          <w:t>https://www.sps.nhs.uk/safe-handling-of-monoclonal-antibodies</w:t>
        </w:r>
        <w:r w:rsidRPr="7C1E687D" w:rsidR="7961542B">
          <w:rPr>
            <w:rStyle w:val="Hyperlink"/>
          </w:rPr>
          <w:t>/</w:t>
        </w:r>
      </w:hyperlink>
      <w:r w:rsidR="7961542B">
        <w:rPr/>
        <w:t xml:space="preserve"> </w:t>
      </w:r>
      <w:r w:rsidR="18A4596E">
        <w:rPr/>
        <w:t xml:space="preserve"> </w:t>
      </w:r>
      <w:r>
        <w:rPr>
          <w:rFonts w:ascii="Segoe UI" w:hAnsi="Segoe UI" w:eastAsia="Segoe UI" w:cs="Segoe UI"/>
          <w:sz w:val="19"/>
          <w:szCs w:val="19"/>
        </w:rPr>
      </w:r>
    </w:p>
    <w:sectPr w:rsidR="0068722F" w:rsidSect="00677C0F">
      <w:pgSz w:w="16838" w:h="11906" w:orient="landscape"/>
      <w:pgMar w:top="90" w:right="1440" w:bottom="1440" w:left="1440" w:header="708" w:footer="708" w:gutter="0"/>
      <w:cols w:space="708"/>
      <w:docGrid w:linePitch="360"/>
      <w:headerReference w:type="default" r:id="R691f66021528443e"/>
      <w:footerReference w:type="default" r:id="Rb1b105025add483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70A9" w:rsidP="009070A9" w:rsidRDefault="009070A9" w14:paraId="7BE266B1" w14:textId="77777777">
      <w:pPr>
        <w:spacing w:after="0" w:line="240" w:lineRule="auto"/>
      </w:pPr>
      <w:r>
        <w:separator/>
      </w:r>
    </w:p>
  </w:endnote>
  <w:endnote w:type="continuationSeparator" w:id="0">
    <w:p w:rsidR="009070A9" w:rsidP="009070A9" w:rsidRDefault="009070A9" w14:paraId="5B9ADD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.xml><?xml version="1.0" encoding="utf-8"?>
<w:ftr xmlns:w14="http://schemas.microsoft.com/office/word/2010/wordml" xmlns:r="http://schemas.openxmlformats.org/officeDocument/2006/relationships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F7EFD06" w:rsidTr="0F7EFD06" w14:paraId="42E25B0D">
      <w:trPr>
        <w:trHeight w:val="300"/>
      </w:trPr>
      <w:tc>
        <w:tcPr>
          <w:tcW w:w="4650" w:type="dxa"/>
          <w:tcMar/>
        </w:tcPr>
        <w:p w:rsidR="0F7EFD06" w:rsidP="0F7EFD06" w:rsidRDefault="0F7EFD06" w14:paraId="2677210A" w14:textId="4672092B">
          <w:pPr>
            <w:pStyle w:val="Header"/>
            <w:tabs>
              <w:tab w:val="center" w:leader="none" w:pos="4513"/>
              <w:tab w:val="right" w:leader="none" w:pos="9026"/>
            </w:tabs>
            <w:bidi w:val="0"/>
            <w:spacing w:after="0" w:line="240" w:lineRule="auto"/>
            <w:ind w:left="-115"/>
            <w:jc w:val="left"/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</w:pPr>
          <w:r w:rsidRPr="0F7EFD06" w:rsidR="0F7EFD06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  <w:t>This template is part of a Specialist Pharmacy Services Resource which can be found here:</w:t>
          </w:r>
        </w:p>
      </w:tc>
      <w:tc>
        <w:tcPr>
          <w:tcW w:w="4650" w:type="dxa"/>
          <w:tcMar/>
        </w:tcPr>
        <w:p w:rsidR="0F7EFD06" w:rsidP="0F7EFD06" w:rsidRDefault="0F7EFD06" w14:paraId="2FF1BFB9" w14:textId="2555F5B2">
          <w:pPr>
            <w:bidi w:val="0"/>
            <w:jc w:val="center"/>
            <w:rPr>
              <w:rFonts w:ascii="Segoe UI" w:hAnsi="Segoe UI" w:eastAsia="Segoe UI" w:cs="Segoe UI"/>
              <w:b w:val="0"/>
              <w:bCs w:val="0"/>
              <w:i w:val="0"/>
              <w:iCs w:val="0"/>
              <w:caps w:val="0"/>
              <w:smallCaps w:val="0"/>
              <w:color w:val="0563C1"/>
              <w:sz w:val="19"/>
              <w:szCs w:val="19"/>
              <w:lang w:val="en-GB"/>
            </w:rPr>
          </w:pPr>
          <w:hyperlink r:id="R30cd31dfb2124817">
            <w:r w:rsidRPr="0F7EFD06" w:rsidR="0F7EFD06">
              <w:rPr>
                <w:rStyle w:val="Hyperlink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19"/>
                <w:szCs w:val="19"/>
                <w:lang w:val="en-GB"/>
              </w:rPr>
              <w:t>https://www.sps.nhs.uk/articles/</w:t>
            </w:r>
          </w:hyperlink>
          <w:r w:rsidRPr="0F7EFD06" w:rsidR="0F7EFD06">
            <w:rPr>
              <w:rFonts w:ascii="Segoe UI" w:hAnsi="Segoe UI" w:eastAsia="Segoe UI" w:cs="Segoe UI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color w:val="0563C1"/>
              <w:sz w:val="19"/>
              <w:szCs w:val="19"/>
              <w:u w:val="single"/>
              <w:lang w:val="en-GB"/>
            </w:rPr>
            <w:t xml:space="preserve"> </w:t>
          </w:r>
          <w:r w:rsidRPr="0F7EFD06" w:rsidR="0F7EFD06">
            <w:rPr>
              <w:rStyle w:val="Hyperlink"/>
              <w:rFonts w:ascii="Segoe UI" w:hAnsi="Segoe UI" w:eastAsia="Segoe UI" w:cs="Segoe UI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sz w:val="19"/>
              <w:szCs w:val="19"/>
              <w:lang w:val="en-GB"/>
            </w:rPr>
            <w:t>risk-assessment-of-preparation-of-monoclonal-antibodies</w:t>
          </w:r>
        </w:p>
        <w:p w:rsidR="0F7EFD06" w:rsidP="0F7EFD06" w:rsidRDefault="0F7EFD06" w14:paraId="7A3980F8" w14:textId="3F5544D4">
          <w:pPr>
            <w:bidi w:val="0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</w:pPr>
          <w:r w:rsidRPr="0F7EFD06" w:rsidR="0F7EFD06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  <w:t xml:space="preserve">Version 1 June 2025 </w:t>
          </w:r>
        </w:p>
      </w:tc>
      <w:tc>
        <w:tcPr>
          <w:tcW w:w="4650" w:type="dxa"/>
          <w:tcMar/>
        </w:tcPr>
        <w:p w:rsidR="0F7EFD06" w:rsidP="0F7EFD06" w:rsidRDefault="0F7EFD06" w14:paraId="1A66DAA1" w14:textId="7B017FF6">
          <w:pPr>
            <w:tabs>
              <w:tab w:val="center" w:leader="none" w:pos="4513"/>
              <w:tab w:val="right" w:leader="none" w:pos="9026"/>
            </w:tabs>
            <w:bidi w:val="0"/>
            <w:spacing w:after="0" w:line="240" w:lineRule="auto"/>
            <w:ind w:right="-115"/>
            <w:jc w:val="right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</w:pPr>
          <w:r w:rsidR="0F7EFD06">
            <w:drawing>
              <wp:inline wp14:editId="57450660" wp14:anchorId="300C348A">
                <wp:extent cx="2800350" cy="590550"/>
                <wp:effectExtent l="0" t="0" r="0" b="0"/>
                <wp:docPr id="1022818367" name="" descr="Picture 1, Picture, Picture, Picture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f586276fb200457e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035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F7EFD06" w:rsidP="0F7EFD06" w:rsidRDefault="0F7EFD06" w14:paraId="0BBC196A" w14:textId="1AAC220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70A9" w:rsidP="009070A9" w:rsidRDefault="009070A9" w14:paraId="3FD9A623" w14:textId="77777777">
      <w:pPr>
        <w:spacing w:after="0" w:line="240" w:lineRule="auto"/>
      </w:pPr>
      <w:r>
        <w:separator/>
      </w:r>
    </w:p>
  </w:footnote>
  <w:footnote w:type="continuationSeparator" w:id="0">
    <w:p w:rsidR="009070A9" w:rsidP="009070A9" w:rsidRDefault="009070A9" w14:paraId="4B65AAE1" w14:textId="77777777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C1E687D" w:rsidTr="7C1E687D" w14:paraId="7E7DA517">
      <w:trPr>
        <w:trHeight w:val="300"/>
      </w:trPr>
      <w:tc>
        <w:tcPr>
          <w:tcW w:w="4650" w:type="dxa"/>
          <w:tcMar/>
        </w:tcPr>
        <w:p w:rsidR="7C1E687D" w:rsidP="7C1E687D" w:rsidRDefault="7C1E687D" w14:paraId="326FB07D" w14:textId="40778E19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7C1E687D" w:rsidP="7C1E687D" w:rsidRDefault="7C1E687D" w14:paraId="56C6834C" w14:textId="3A7073B9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7C1E687D" w:rsidP="7C1E687D" w:rsidRDefault="7C1E687D" w14:paraId="6BB89531" w14:textId="0DA3595F">
          <w:pPr>
            <w:pStyle w:val="Header"/>
            <w:bidi w:val="0"/>
            <w:ind w:right="-115"/>
            <w:jc w:val="right"/>
          </w:pPr>
        </w:p>
      </w:tc>
    </w:tr>
  </w:tbl>
  <w:p w:rsidR="7C1E687D" w:rsidP="7C1E687D" w:rsidRDefault="7C1E687D" w14:paraId="0B04A8CE" w14:textId="5EB10E6B">
    <w:pPr>
      <w:pStyle w:val="Header"/>
      <w:bidi w:val="0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0F"/>
    <w:rsid w:val="00063274"/>
    <w:rsid w:val="0045B804"/>
    <w:rsid w:val="00677C0F"/>
    <w:rsid w:val="0068722F"/>
    <w:rsid w:val="006D27BD"/>
    <w:rsid w:val="00765B71"/>
    <w:rsid w:val="008C3EC7"/>
    <w:rsid w:val="008C47D9"/>
    <w:rsid w:val="009070A9"/>
    <w:rsid w:val="009D2C03"/>
    <w:rsid w:val="00A572A3"/>
    <w:rsid w:val="00D86EB0"/>
    <w:rsid w:val="00DC196D"/>
    <w:rsid w:val="00EC194C"/>
    <w:rsid w:val="026D9089"/>
    <w:rsid w:val="0396FB9E"/>
    <w:rsid w:val="03BD1EA8"/>
    <w:rsid w:val="03D5101B"/>
    <w:rsid w:val="04C3B339"/>
    <w:rsid w:val="060D910B"/>
    <w:rsid w:val="06630866"/>
    <w:rsid w:val="07FE6C25"/>
    <w:rsid w:val="08AAE698"/>
    <w:rsid w:val="098BBDF9"/>
    <w:rsid w:val="099F0CD3"/>
    <w:rsid w:val="0A9CA537"/>
    <w:rsid w:val="0B1D7F37"/>
    <w:rsid w:val="0BC93D02"/>
    <w:rsid w:val="0BFF3F4E"/>
    <w:rsid w:val="0CDF0CDF"/>
    <w:rsid w:val="0CEABD11"/>
    <w:rsid w:val="0DE126F7"/>
    <w:rsid w:val="0EBB8901"/>
    <w:rsid w:val="0ED9CD18"/>
    <w:rsid w:val="0F7EFD06"/>
    <w:rsid w:val="0FDB7F41"/>
    <w:rsid w:val="0FF7523C"/>
    <w:rsid w:val="1000D768"/>
    <w:rsid w:val="10B5127D"/>
    <w:rsid w:val="11381CC4"/>
    <w:rsid w:val="12388EA8"/>
    <w:rsid w:val="12CA14C4"/>
    <w:rsid w:val="146AFF7C"/>
    <w:rsid w:val="152F9AE3"/>
    <w:rsid w:val="1600FE54"/>
    <w:rsid w:val="1655A803"/>
    <w:rsid w:val="176E27E8"/>
    <w:rsid w:val="1830B6CB"/>
    <w:rsid w:val="18A4596E"/>
    <w:rsid w:val="18D22FEE"/>
    <w:rsid w:val="19335DDB"/>
    <w:rsid w:val="1D5FD069"/>
    <w:rsid w:val="1E806669"/>
    <w:rsid w:val="1E84D112"/>
    <w:rsid w:val="1FCE3A94"/>
    <w:rsid w:val="221AB53A"/>
    <w:rsid w:val="2252E8EA"/>
    <w:rsid w:val="22C9D343"/>
    <w:rsid w:val="237F21C8"/>
    <w:rsid w:val="23B9FDF6"/>
    <w:rsid w:val="2555C87A"/>
    <w:rsid w:val="26363A29"/>
    <w:rsid w:val="2669B812"/>
    <w:rsid w:val="268B955D"/>
    <w:rsid w:val="268F2A1F"/>
    <w:rsid w:val="275D5EC8"/>
    <w:rsid w:val="275E4C5C"/>
    <w:rsid w:val="27D0DBF9"/>
    <w:rsid w:val="2863F0BB"/>
    <w:rsid w:val="28ABE5C6"/>
    <w:rsid w:val="28EBE6EB"/>
    <w:rsid w:val="298AE782"/>
    <w:rsid w:val="29C62A0B"/>
    <w:rsid w:val="2DB85857"/>
    <w:rsid w:val="2E767C47"/>
    <w:rsid w:val="2EB19CB5"/>
    <w:rsid w:val="2ECF0DCD"/>
    <w:rsid w:val="2FD0F678"/>
    <w:rsid w:val="3000F7FA"/>
    <w:rsid w:val="30CA2408"/>
    <w:rsid w:val="31418F48"/>
    <w:rsid w:val="31551217"/>
    <w:rsid w:val="32104C50"/>
    <w:rsid w:val="3402A4CD"/>
    <w:rsid w:val="3499B67D"/>
    <w:rsid w:val="36D0B039"/>
    <w:rsid w:val="3751B701"/>
    <w:rsid w:val="37BCF6FA"/>
    <w:rsid w:val="383270BF"/>
    <w:rsid w:val="384202AF"/>
    <w:rsid w:val="387B4FA2"/>
    <w:rsid w:val="38B00CF1"/>
    <w:rsid w:val="394DA3BF"/>
    <w:rsid w:val="3B82215B"/>
    <w:rsid w:val="3C3C28F0"/>
    <w:rsid w:val="3D3DB102"/>
    <w:rsid w:val="3E829194"/>
    <w:rsid w:val="3FB8C2ED"/>
    <w:rsid w:val="4002B1E4"/>
    <w:rsid w:val="40646F49"/>
    <w:rsid w:val="40FAB1F1"/>
    <w:rsid w:val="41470859"/>
    <w:rsid w:val="41FA6898"/>
    <w:rsid w:val="42416D3F"/>
    <w:rsid w:val="445FD2BF"/>
    <w:rsid w:val="457A0938"/>
    <w:rsid w:val="45EF27D1"/>
    <w:rsid w:val="469D9B3D"/>
    <w:rsid w:val="46DB59E6"/>
    <w:rsid w:val="476896CC"/>
    <w:rsid w:val="485E4341"/>
    <w:rsid w:val="48B11BC0"/>
    <w:rsid w:val="493F963D"/>
    <w:rsid w:val="4A0CD3CD"/>
    <w:rsid w:val="4A1457B8"/>
    <w:rsid w:val="4A2412CC"/>
    <w:rsid w:val="4B566E05"/>
    <w:rsid w:val="4B8E389F"/>
    <w:rsid w:val="4CAB67F7"/>
    <w:rsid w:val="4CE39395"/>
    <w:rsid w:val="4D54249D"/>
    <w:rsid w:val="4DD9BC02"/>
    <w:rsid w:val="4DFE9098"/>
    <w:rsid w:val="4EA7F655"/>
    <w:rsid w:val="4ED7D280"/>
    <w:rsid w:val="50068C3C"/>
    <w:rsid w:val="51DEB2B6"/>
    <w:rsid w:val="53D387AD"/>
    <w:rsid w:val="56DCD6AB"/>
    <w:rsid w:val="56E667BA"/>
    <w:rsid w:val="57BBC882"/>
    <w:rsid w:val="57C9BB81"/>
    <w:rsid w:val="59830B4E"/>
    <w:rsid w:val="5A80D829"/>
    <w:rsid w:val="5B75A3D6"/>
    <w:rsid w:val="5BE882F0"/>
    <w:rsid w:val="5D4820E9"/>
    <w:rsid w:val="5E4D54E0"/>
    <w:rsid w:val="5F6099DD"/>
    <w:rsid w:val="5FEEE933"/>
    <w:rsid w:val="601F57D4"/>
    <w:rsid w:val="60834880"/>
    <w:rsid w:val="616E10F8"/>
    <w:rsid w:val="61CAB32F"/>
    <w:rsid w:val="62CFC542"/>
    <w:rsid w:val="65708B40"/>
    <w:rsid w:val="66C7F43A"/>
    <w:rsid w:val="673D96A4"/>
    <w:rsid w:val="68EA8C0D"/>
    <w:rsid w:val="69009EA1"/>
    <w:rsid w:val="695D1A9C"/>
    <w:rsid w:val="6A191803"/>
    <w:rsid w:val="6A2E50FF"/>
    <w:rsid w:val="6AB45A10"/>
    <w:rsid w:val="6B669182"/>
    <w:rsid w:val="6C1407B0"/>
    <w:rsid w:val="6D846D46"/>
    <w:rsid w:val="6E3017F4"/>
    <w:rsid w:val="6E5BF138"/>
    <w:rsid w:val="6F0E6021"/>
    <w:rsid w:val="6F6295AF"/>
    <w:rsid w:val="701825CE"/>
    <w:rsid w:val="70333346"/>
    <w:rsid w:val="704FE748"/>
    <w:rsid w:val="706FFD90"/>
    <w:rsid w:val="71709C41"/>
    <w:rsid w:val="7208F5D7"/>
    <w:rsid w:val="7267DD3C"/>
    <w:rsid w:val="732EA6FA"/>
    <w:rsid w:val="739B31DC"/>
    <w:rsid w:val="7418339B"/>
    <w:rsid w:val="752A8DE7"/>
    <w:rsid w:val="75365274"/>
    <w:rsid w:val="758091CE"/>
    <w:rsid w:val="76B328CA"/>
    <w:rsid w:val="770196CA"/>
    <w:rsid w:val="770BD788"/>
    <w:rsid w:val="7961542B"/>
    <w:rsid w:val="7A26F5AD"/>
    <w:rsid w:val="7AEDEF97"/>
    <w:rsid w:val="7B324E92"/>
    <w:rsid w:val="7C1E687D"/>
    <w:rsid w:val="7C802338"/>
    <w:rsid w:val="7C911370"/>
    <w:rsid w:val="7E91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52B26"/>
  <w15:chartTrackingRefBased/>
  <w15:docId w15:val="{868D08FE-EBA6-4992-9A40-3D371284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722F"/>
  </w:style>
  <w:style w:type="paragraph" w:styleId="Heading1">
    <w:name w:val="heading 1"/>
    <w:basedOn w:val="Normal"/>
    <w:next w:val="Normal"/>
    <w:link w:val="Heading1Char"/>
    <w:uiPriority w:val="9"/>
    <w:qFormat/>
    <w:rsid w:val="0068722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C0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C03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C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677C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8722F"/>
    <w:rPr>
      <w:sz w:val="16"/>
      <w:szCs w:val="16"/>
    </w:rPr>
  </w:style>
  <w:style w:type="character" w:styleId="eop" w:customStyle="1">
    <w:name w:val="eop"/>
    <w:basedOn w:val="DefaultParagraphFont"/>
    <w:rsid w:val="00677C0F"/>
  </w:style>
  <w:style w:type="paragraph" w:styleId="Header">
    <w:name w:val="header"/>
    <w:basedOn w:val="Normal"/>
    <w:link w:val="HeaderChar"/>
    <w:uiPriority w:val="99"/>
    <w:unhideWhenUsed/>
    <w:rsid w:val="0068722F"/>
    <w:pPr>
      <w:tabs>
        <w:tab w:val="center" w:pos="4513"/>
        <w:tab w:val="right" w:pos="9026"/>
      </w:tabs>
      <w:spacing w:after="0" w:line="240" w:lineRule="auto"/>
    </w:pPr>
    <w:rPr>
      <w:b/>
      <w:bCs/>
    </w:rPr>
  </w:style>
  <w:style w:type="character" w:styleId="HeaderChar" w:customStyle="1">
    <w:name w:val="Header Char"/>
    <w:basedOn w:val="DefaultParagraphFont"/>
    <w:link w:val="Header"/>
    <w:uiPriority w:val="99"/>
    <w:rsid w:val="0068722F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070A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070A9"/>
  </w:style>
  <w:style w:type="character" w:styleId="Hyperlink">
    <w:name w:val="Hyperlink"/>
    <w:basedOn w:val="DefaultParagraphFont"/>
    <w:uiPriority w:val="99"/>
    <w:unhideWhenUsed/>
    <w:rsid w:val="0045B804"/>
    <w:rPr>
      <w:color w:val="0563C1"/>
      <w:u w:val="single"/>
    </w:rPr>
  </w:style>
  <w:style w:type="paragraph" w:styleId="Revision">
    <w:name w:val="Revision"/>
    <w:hidden/>
    <w:uiPriority w:val="99"/>
    <w:semiHidden/>
    <w:rsid w:val="006D27BD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68722F"/>
    <w:rPr>
      <w:rFonts w:asciiTheme="majorHAnsi" w:hAnsiTheme="majorHAnsi" w:eastAsiaTheme="majorEastAsia" w:cstheme="majorBidi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D2C03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D2C03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8722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10"/>
    <w:rsid w:val="0068722F"/>
    <w:rPr>
      <w:rFonts w:asciiTheme="majorHAnsi" w:hAnsiTheme="majorHAnsi" w:eastAsiaTheme="majorEastAsia" w:cstheme="majorBidi"/>
      <w:spacing w:val="-10"/>
      <w:kern w:val="28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68722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22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872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22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8722F"/>
    <w:rPr>
      <w:b/>
      <w:bCs/>
      <w:sz w:val="20"/>
      <w:szCs w:val="20"/>
    </w:rPr>
  </w:style>
  <w:style w:type="character" w:styleId="SubtitleChar" w:customStyle="true">
    <w:uiPriority w:val="11"/>
    <w:name w:val="Subtitle Char"/>
    <w:basedOn w:val="DefaultParagraphFont"/>
    <w:rsid w:val="0F7EFD06"/>
    <w:rPr>
      <w:rFonts w:eastAsia="Calibri Light" w:cs="" w:eastAsiaTheme="minorAscii" w:cstheme="majorEastAsia"/>
      <w:color w:val="595959" w:themeColor="text1" w:themeTint="A6" w:themeShade="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7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7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1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3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3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0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4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6/09/relationships/commentsIds" Target="commentsIds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microsoft.com/office/2011/relationships/commentsExtended" Target="commentsExtended.xml" Id="rId10" /><Relationship Type="http://schemas.openxmlformats.org/officeDocument/2006/relationships/styles" Target="styles.xml" Id="rId4" /><Relationship Type="http://schemas.openxmlformats.org/officeDocument/2006/relationships/header" Target="header2.xml" Id="R691f66021528443e" /><Relationship Type="http://schemas.openxmlformats.org/officeDocument/2006/relationships/hyperlink" Target="https://www.sps.nhs.uk/safe-handling-of-monoclonal-antibodies/" TargetMode="External" Id="R99a2bf93664f4c18" /><Relationship Type="http://schemas.openxmlformats.org/officeDocument/2006/relationships/footer" Target="footer.xml" Id="Rb1b105025add4830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https://www.sps.nhs.uk/?post_type=articles&amp;p=111979&amp;preview=true" TargetMode="External" Id="R30cd31dfb2124817" /><Relationship Type="http://schemas.openxmlformats.org/officeDocument/2006/relationships/image" Target="/media/image.png" Id="Rf586276fb200457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B2D4C4C5F7F448571F8F4943D2341" ma:contentTypeVersion="25" ma:contentTypeDescription="Create a new document." ma:contentTypeScope="" ma:versionID="bc7bad1164b0bf3af26defe966ca18b5">
  <xsd:schema xmlns:xsd="http://www.w3.org/2001/XMLSchema" xmlns:xs="http://www.w3.org/2001/XMLSchema" xmlns:p="http://schemas.microsoft.com/office/2006/metadata/properties" xmlns:ns2="9a0fa921-05ea-47a4-8348-6eb14e9cff1c" xmlns:ns3="47338f7e-5619-4093-9a29-9f976c213b15" targetNamespace="http://schemas.microsoft.com/office/2006/metadata/properties" ma:root="true" ma:fieldsID="f4988a774c4fab14e4098ae8ea5b5ab9" ns2:_="" ns3:_="">
    <xsd:import namespace="9a0fa921-05ea-47a4-8348-6eb14e9cff1c"/>
    <xsd:import namespace="47338f7e-5619-4093-9a29-9f976c213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_Flow_SignoffStatus" minOccurs="0"/>
                <xsd:element ref="ns2:ReviewDate" minOccurs="0"/>
                <xsd:element ref="ns2:MediaLengthInSeconds" minOccurs="0"/>
                <xsd:element ref="ns2:Owne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te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fa921-05ea-47a4-8348-6eb14e9cf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f7bbe51-9dae-4c22-8e8f-1dcfaba28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ReviewDate" ma:index="22" nillable="true" ma:displayName="Review Date" ma:format="DateOnly" ma:indexed="true" ma:internalName="ReviewDate">
      <xsd:simpleType>
        <xsd:restriction base="dms:DateTim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Owner" ma:index="24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38f7e-5619-4093-9a29-9f976c213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5fa42fe-1faa-48b4-94fd-915f207b5f1c}" ma:internalName="TaxCatchAll" ma:showField="CatchAllData" ma:web="47338f7e-5619-4093-9a29-9f976c213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a0fa921-05ea-47a4-8348-6eb14e9cff1c" xsi:nil="true"/>
    <ReviewDate xmlns="9a0fa921-05ea-47a4-8348-6eb14e9cff1c" xsi:nil="true"/>
    <Owner xmlns="9a0fa921-05ea-47a4-8348-6eb14e9cff1c">
      <UserInfo>
        <DisplayName/>
        <AccountId xsi:nil="true"/>
        <AccountType/>
      </UserInfo>
    </Owner>
    <TaxCatchAll xmlns="47338f7e-5619-4093-9a29-9f976c213b15" xsi:nil="true"/>
    <lcf76f155ced4ddcb4097134ff3c332f xmlns="9a0fa921-05ea-47a4-8348-6eb14e9cff1c">
      <Terms xmlns="http://schemas.microsoft.com/office/infopath/2007/PartnerControls"/>
    </lcf76f155ced4ddcb4097134ff3c332f>
    <test xmlns="9a0fa921-05ea-47a4-8348-6eb14e9cff1c" xsi:nil="true"/>
  </documentManagement>
</p:properties>
</file>

<file path=customXml/itemProps1.xml><?xml version="1.0" encoding="utf-8"?>
<ds:datastoreItem xmlns:ds="http://schemas.openxmlformats.org/officeDocument/2006/customXml" ds:itemID="{053556D7-B5EC-4091-A8EC-B3E362389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fa921-05ea-47a4-8348-6eb14e9cff1c"/>
    <ds:schemaRef ds:uri="47338f7e-5619-4093-9a29-9f976c213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A89E9-727A-4C83-8982-F31D30545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52C5FE-D7BA-451F-BC47-D6E4E9374061}">
  <ds:schemaRefs>
    <ds:schemaRef ds:uri="http://schemas.microsoft.com/office/2006/documentManagement/types"/>
    <ds:schemaRef ds:uri="http://purl.org/dc/terms/"/>
    <ds:schemaRef ds:uri="47338f7e-5619-4093-9a29-9f976c213b15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a0fa921-05ea-47a4-8348-6eb14e9cff1c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Guy's and St. Thomas' NHS Foundation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Willmers Graeme (GWILLMERS)</dc:creator>
  <keywords/>
  <dc:description/>
  <lastModifiedBy>MILLER, Hannah (THE NEWCASTLE UPON TYNE HOSPITALS NHS FOUNDATION TRUST)</lastModifiedBy>
  <revision>13</revision>
  <dcterms:created xsi:type="dcterms:W3CDTF">2025-05-29T14:46:00.0000000Z</dcterms:created>
  <dcterms:modified xsi:type="dcterms:W3CDTF">2025-06-27T14:04:49.2259618Z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0x010100ABDB2D4C4C5F7F448571F8F4943D2341</vt:lpwstr>
  </property>
  <property fmtid="{D5CDD505-2E9C-101B-9397-08002B2CF9AE}" pid="3" name="MediaServiceImageTags">
    <vt:lpwstr/>
  </property>
</Properties>
</file>