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D1926" w14:textId="31A8AC72" w:rsidR="00606A75" w:rsidRPr="00606A75" w:rsidRDefault="00606A75" w:rsidP="00F57271">
      <w:pPr>
        <w:pStyle w:val="PGDLogo0"/>
        <w:jc w:val="left"/>
      </w:pPr>
      <w:bookmarkStart w:id="0" w:name="paracetamol"/>
      <w:r w:rsidRPr="004A241C">
        <w:rPr>
          <w:highlight w:val="cyan"/>
        </w:rPr>
        <w:t>[</w:t>
      </w:r>
      <w:r w:rsidRPr="00606A75">
        <w:rPr>
          <w:highlight w:val="cyan"/>
        </w:rPr>
        <w:t xml:space="preserve">Insert the </w:t>
      </w:r>
      <w:r w:rsidR="00F57271">
        <w:rPr>
          <w:highlight w:val="cyan"/>
        </w:rPr>
        <w:t xml:space="preserve">organisation </w:t>
      </w:r>
      <w:r w:rsidRPr="00606A75">
        <w:rPr>
          <w:highlight w:val="cyan"/>
        </w:rPr>
        <w:t>logo</w:t>
      </w:r>
      <w:r w:rsidRPr="00606A75">
        <w:rPr>
          <w:rStyle w:val="Hyperlink"/>
          <w:highlight w:val="cyan"/>
        </w:rPr>
        <w:t>]</w:t>
      </w:r>
    </w:p>
    <w:p w14:paraId="5C63205B" w14:textId="5390A4CE" w:rsidR="00606A75" w:rsidRDefault="00606A75" w:rsidP="00606A75">
      <w:pPr>
        <w:pStyle w:val="PGDTitle1"/>
      </w:pPr>
      <w:r w:rsidRPr="00606A75">
        <w:t>Template protocol</w:t>
      </w:r>
    </w:p>
    <w:p w14:paraId="32EDC182" w14:textId="05BC71F5" w:rsidR="00D00B34" w:rsidRPr="00606A75" w:rsidRDefault="00D00B34" w:rsidP="00606A75">
      <w:pPr>
        <w:pStyle w:val="PGDTitle"/>
      </w:pPr>
      <w:r w:rsidRPr="00606A75">
        <w:t>for the administration of lidocaine 10mg</w:t>
      </w:r>
      <w:r w:rsidR="005D076D" w:rsidRPr="00606A75">
        <w:t xml:space="preserve"> per </w:t>
      </w:r>
      <w:r w:rsidR="00293DE8" w:rsidRPr="00606A75">
        <w:t>metered dose</w:t>
      </w:r>
      <w:r w:rsidRPr="00606A75">
        <w:t xml:space="preserve"> to facilitate intrauterine </w:t>
      </w:r>
      <w:r w:rsidR="009F6A78">
        <w:t>device</w:t>
      </w:r>
      <w:r w:rsidRPr="00606A75">
        <w:t xml:space="preserve"> (IU</w:t>
      </w:r>
      <w:r w:rsidR="009F6A78">
        <w:t>D</w:t>
      </w:r>
      <w:r w:rsidRPr="00606A75">
        <w:t xml:space="preserve">) insertion or removal in </w:t>
      </w:r>
      <w:r w:rsidR="00D74D72" w:rsidRPr="004A241C">
        <w:rPr>
          <w:highlight w:val="cyan"/>
        </w:rPr>
        <w:t>[</w:t>
      </w:r>
      <w:r w:rsidRPr="004A241C">
        <w:rPr>
          <w:highlight w:val="cyan"/>
        </w:rPr>
        <w:t>location/service/organisation</w:t>
      </w:r>
      <w:r w:rsidR="00D74D72" w:rsidRPr="004A241C">
        <w:rPr>
          <w:highlight w:val="cyan"/>
        </w:rPr>
        <w:t>]</w:t>
      </w:r>
    </w:p>
    <w:p w14:paraId="6625572A" w14:textId="77777777" w:rsidR="00D00B34" w:rsidRDefault="00D00B34" w:rsidP="00D00B34">
      <w:pPr>
        <w:spacing w:after="0" w:line="240" w:lineRule="auto"/>
        <w:jc w:val="center"/>
        <w:rPr>
          <w:rStyle w:val="PGDVersionNumber"/>
        </w:rPr>
      </w:pPr>
      <w:r w:rsidRPr="00FD6567">
        <w:rPr>
          <w:rStyle w:val="PGDVersionNumber"/>
        </w:rPr>
        <w:t xml:space="preserve">Version Number </w:t>
      </w:r>
      <w:r w:rsidR="00672C03" w:rsidRPr="00FD6567">
        <w:rPr>
          <w:rStyle w:val="PGDVersionNumber"/>
        </w:rPr>
        <w:t>2</w:t>
      </w:r>
      <w:r w:rsidRPr="00FD6567">
        <w:rPr>
          <w:rStyle w:val="PGDVersionNumber"/>
        </w:rPr>
        <w:t>.0</w:t>
      </w:r>
    </w:p>
    <w:p w14:paraId="15933104" w14:textId="44065FD6" w:rsidR="00417E8F" w:rsidRPr="00FD6567" w:rsidRDefault="00417E8F" w:rsidP="00FD6567">
      <w:pPr>
        <w:pStyle w:val="Tabletitle"/>
        <w:rPr>
          <w:rStyle w:val="PGDVersionNumber"/>
        </w:rPr>
      </w:pPr>
      <w:r>
        <w:rPr>
          <w:rStyle w:val="PGDVersionNumber"/>
        </w:rPr>
        <w:t>Change history</w:t>
      </w:r>
    </w:p>
    <w:p w14:paraId="418DD647" w14:textId="77777777" w:rsidR="00D00B34" w:rsidRPr="00D00B34" w:rsidRDefault="00D00B34" w:rsidP="00D00B34">
      <w:pPr>
        <w:spacing w:after="0" w:line="240" w:lineRule="auto"/>
        <w:rPr>
          <w:rFonts w:ascii="Arial" w:eastAsia="Times New Roman" w:hAnsi="Arial" w:cs="Arial"/>
        </w:rPr>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showing version and date and change details"/>
      </w:tblPr>
      <w:tblGrid>
        <w:gridCol w:w="1781"/>
        <w:gridCol w:w="7020"/>
      </w:tblGrid>
      <w:tr w:rsidR="00D00B34" w:rsidRPr="00D00B34" w14:paraId="352AEE59" w14:textId="77777777" w:rsidTr="00C00E0A">
        <w:trPr>
          <w:trHeight w:val="442"/>
        </w:trPr>
        <w:tc>
          <w:tcPr>
            <w:tcW w:w="1781" w:type="dxa"/>
            <w:tcBorders>
              <w:top w:val="single" w:sz="4" w:space="0" w:color="auto"/>
              <w:left w:val="single" w:sz="4" w:space="0" w:color="auto"/>
              <w:bottom w:val="single" w:sz="4" w:space="0" w:color="auto"/>
              <w:right w:val="single" w:sz="4" w:space="0" w:color="auto"/>
            </w:tcBorders>
          </w:tcPr>
          <w:p w14:paraId="2CDD402F" w14:textId="77777777" w:rsidR="00D00B34" w:rsidRPr="00FD6567" w:rsidRDefault="00D00B34" w:rsidP="00FD6567">
            <w:pPr>
              <w:pStyle w:val="TableHeaderRow"/>
              <w:rPr>
                <w:b w:val="0"/>
                <w:sz w:val="24"/>
                <w:szCs w:val="24"/>
              </w:rPr>
            </w:pPr>
            <w:r w:rsidRPr="00FD6567">
              <w:rPr>
                <w:sz w:val="24"/>
                <w:szCs w:val="24"/>
              </w:rPr>
              <w:t>Version and Date</w:t>
            </w:r>
          </w:p>
        </w:tc>
        <w:tc>
          <w:tcPr>
            <w:tcW w:w="7020" w:type="dxa"/>
            <w:tcBorders>
              <w:top w:val="single" w:sz="4" w:space="0" w:color="auto"/>
              <w:left w:val="single" w:sz="4" w:space="0" w:color="auto"/>
              <w:bottom w:val="single" w:sz="4" w:space="0" w:color="auto"/>
              <w:right w:val="single" w:sz="4" w:space="0" w:color="auto"/>
            </w:tcBorders>
          </w:tcPr>
          <w:p w14:paraId="3EF41734" w14:textId="77777777" w:rsidR="00D00B34" w:rsidRPr="00FD6567" w:rsidRDefault="00D00B34" w:rsidP="00FD6567">
            <w:pPr>
              <w:pStyle w:val="TableHeaderRow"/>
              <w:rPr>
                <w:b w:val="0"/>
                <w:sz w:val="24"/>
                <w:szCs w:val="24"/>
              </w:rPr>
            </w:pPr>
            <w:r w:rsidRPr="00FD6567">
              <w:rPr>
                <w:sz w:val="24"/>
                <w:szCs w:val="24"/>
              </w:rPr>
              <w:t>Change details</w:t>
            </w:r>
          </w:p>
        </w:tc>
      </w:tr>
      <w:tr w:rsidR="00D00B34" w:rsidRPr="00B758C6" w14:paraId="307025C3" w14:textId="77777777" w:rsidTr="00C00E0A">
        <w:trPr>
          <w:trHeight w:val="442"/>
        </w:trPr>
        <w:tc>
          <w:tcPr>
            <w:tcW w:w="1781" w:type="dxa"/>
            <w:tcBorders>
              <w:top w:val="single" w:sz="4" w:space="0" w:color="auto"/>
              <w:left w:val="single" w:sz="4" w:space="0" w:color="auto"/>
              <w:bottom w:val="single" w:sz="4" w:space="0" w:color="auto"/>
              <w:right w:val="single" w:sz="4" w:space="0" w:color="auto"/>
            </w:tcBorders>
          </w:tcPr>
          <w:p w14:paraId="4B06989C" w14:textId="77777777" w:rsidR="00D00B34" w:rsidRPr="00B758C6" w:rsidRDefault="00D00B34" w:rsidP="00FD6567">
            <w:pPr>
              <w:pStyle w:val="Tabletext"/>
              <w:rPr>
                <w:sz w:val="24"/>
                <w:szCs w:val="28"/>
              </w:rPr>
            </w:pPr>
            <w:r w:rsidRPr="00B758C6">
              <w:rPr>
                <w:sz w:val="24"/>
                <w:szCs w:val="28"/>
              </w:rPr>
              <w:t>Version 1</w:t>
            </w:r>
          </w:p>
          <w:p w14:paraId="57196F10" w14:textId="77777777" w:rsidR="00D00B34" w:rsidRPr="00B758C6" w:rsidRDefault="00D00B34" w:rsidP="00FD6567">
            <w:pPr>
              <w:pStyle w:val="Tabletext"/>
              <w:rPr>
                <w:sz w:val="24"/>
                <w:szCs w:val="28"/>
              </w:rPr>
            </w:pPr>
            <w:r w:rsidRPr="00B758C6">
              <w:rPr>
                <w:sz w:val="24"/>
                <w:szCs w:val="28"/>
              </w:rPr>
              <w:t>January 2023</w:t>
            </w:r>
          </w:p>
        </w:tc>
        <w:tc>
          <w:tcPr>
            <w:tcW w:w="7020" w:type="dxa"/>
            <w:tcBorders>
              <w:top w:val="single" w:sz="4" w:space="0" w:color="auto"/>
              <w:left w:val="single" w:sz="4" w:space="0" w:color="auto"/>
              <w:bottom w:val="single" w:sz="4" w:space="0" w:color="auto"/>
              <w:right w:val="single" w:sz="4" w:space="0" w:color="auto"/>
            </w:tcBorders>
          </w:tcPr>
          <w:p w14:paraId="05C6A337" w14:textId="77777777" w:rsidR="00D00B34" w:rsidRPr="00B758C6" w:rsidRDefault="00D00B34" w:rsidP="00FD6567">
            <w:pPr>
              <w:pStyle w:val="Tabletext"/>
              <w:rPr>
                <w:sz w:val="24"/>
                <w:szCs w:val="28"/>
              </w:rPr>
            </w:pPr>
            <w:r w:rsidRPr="00B758C6">
              <w:rPr>
                <w:sz w:val="24"/>
                <w:szCs w:val="28"/>
              </w:rPr>
              <w:t>New template</w:t>
            </w:r>
          </w:p>
        </w:tc>
      </w:tr>
      <w:tr w:rsidR="00672C03" w:rsidRPr="00B758C6" w14:paraId="190BECB1" w14:textId="77777777" w:rsidTr="00672C03">
        <w:trPr>
          <w:trHeight w:val="442"/>
        </w:trPr>
        <w:tc>
          <w:tcPr>
            <w:tcW w:w="1781" w:type="dxa"/>
            <w:tcBorders>
              <w:top w:val="single" w:sz="4" w:space="0" w:color="auto"/>
              <w:left w:val="single" w:sz="4" w:space="0" w:color="auto"/>
              <w:bottom w:val="single" w:sz="4" w:space="0" w:color="auto"/>
              <w:right w:val="single" w:sz="4" w:space="0" w:color="auto"/>
            </w:tcBorders>
          </w:tcPr>
          <w:p w14:paraId="596566D5" w14:textId="77777777" w:rsidR="00672C03" w:rsidRPr="00B758C6" w:rsidRDefault="00672C03" w:rsidP="00FD6567">
            <w:pPr>
              <w:pStyle w:val="Tabletext"/>
              <w:rPr>
                <w:sz w:val="24"/>
                <w:szCs w:val="28"/>
              </w:rPr>
            </w:pPr>
            <w:bookmarkStart w:id="1" w:name="_Hlk206153341"/>
            <w:r w:rsidRPr="00B758C6">
              <w:rPr>
                <w:sz w:val="24"/>
                <w:szCs w:val="28"/>
              </w:rPr>
              <w:t>Version 2.0</w:t>
            </w:r>
          </w:p>
          <w:p w14:paraId="2226CDAD" w14:textId="77777777" w:rsidR="00672C03" w:rsidRPr="00B758C6" w:rsidRDefault="00063BE0" w:rsidP="00FD6567">
            <w:pPr>
              <w:pStyle w:val="Tabletext"/>
              <w:rPr>
                <w:sz w:val="24"/>
                <w:szCs w:val="28"/>
              </w:rPr>
            </w:pPr>
            <w:r w:rsidRPr="00B758C6">
              <w:rPr>
                <w:sz w:val="24"/>
                <w:szCs w:val="28"/>
              </w:rPr>
              <w:t>October</w:t>
            </w:r>
            <w:r w:rsidR="00672C03" w:rsidRPr="00B758C6">
              <w:rPr>
                <w:sz w:val="24"/>
                <w:szCs w:val="28"/>
              </w:rPr>
              <w:t xml:space="preserve"> 2025</w:t>
            </w:r>
          </w:p>
        </w:tc>
        <w:tc>
          <w:tcPr>
            <w:tcW w:w="7020" w:type="dxa"/>
            <w:tcBorders>
              <w:top w:val="single" w:sz="4" w:space="0" w:color="auto"/>
              <w:left w:val="single" w:sz="4" w:space="0" w:color="auto"/>
              <w:bottom w:val="single" w:sz="4" w:space="0" w:color="auto"/>
              <w:right w:val="single" w:sz="4" w:space="0" w:color="auto"/>
            </w:tcBorders>
          </w:tcPr>
          <w:p w14:paraId="45AD2696" w14:textId="77777777" w:rsidR="00672C03" w:rsidRPr="00B758C6" w:rsidRDefault="00672C03" w:rsidP="00FD6567">
            <w:pPr>
              <w:pStyle w:val="Tabletext"/>
              <w:rPr>
                <w:sz w:val="24"/>
                <w:szCs w:val="28"/>
              </w:rPr>
            </w:pPr>
            <w:r w:rsidRPr="00B758C6">
              <w:rPr>
                <w:sz w:val="24"/>
                <w:szCs w:val="28"/>
              </w:rPr>
              <w:t>Planned end of life review. Updated reference to FSRH to CoSRH.</w:t>
            </w:r>
          </w:p>
          <w:p w14:paraId="1EAE1FF0" w14:textId="77777777" w:rsidR="00672C03" w:rsidRPr="00B758C6" w:rsidRDefault="0073312F" w:rsidP="00FD6567">
            <w:pPr>
              <w:pStyle w:val="Tabletext"/>
              <w:rPr>
                <w:sz w:val="24"/>
                <w:szCs w:val="28"/>
              </w:rPr>
            </w:pPr>
            <w:r w:rsidRPr="00B758C6">
              <w:rPr>
                <w:sz w:val="24"/>
                <w:szCs w:val="28"/>
              </w:rPr>
              <w:t>Update SLWG and references.</w:t>
            </w:r>
          </w:p>
        </w:tc>
      </w:tr>
      <w:bookmarkEnd w:id="1"/>
    </w:tbl>
    <w:p w14:paraId="7984061C" w14:textId="77777777" w:rsidR="00D00B34" w:rsidRPr="00D00B34" w:rsidRDefault="00D00B34" w:rsidP="00D00B34">
      <w:pPr>
        <w:spacing w:after="0" w:line="240" w:lineRule="auto"/>
        <w:rPr>
          <w:rFonts w:ascii="Arial" w:eastAsia="Times New Roman" w:hAnsi="Arial" w:cs="Arial"/>
          <w:b/>
          <w:color w:val="FF0000"/>
        </w:rPr>
      </w:pPr>
    </w:p>
    <w:p w14:paraId="3938D50A" w14:textId="0B30137E" w:rsidR="00F75C41" w:rsidRPr="00F75C41" w:rsidRDefault="00D00B34" w:rsidP="0899CF32">
      <w:pPr>
        <w:pStyle w:val="PGDNormal"/>
        <w:rPr>
          <w:rFonts w:eastAsia="Aptos" w:cs="Arial"/>
          <w:sz w:val="24"/>
        </w:rPr>
      </w:pPr>
      <w:r w:rsidRPr="0899CF32">
        <w:rPr>
          <w:rFonts w:cs="Arial"/>
          <w:sz w:val="24"/>
        </w:rPr>
        <w:t xml:space="preserve">This template protocol, for local adaptation, has been peer reviewed by the Reproductive Health PGD/protocols Short Life Working Group in accordance with their Terms of Reference. </w:t>
      </w:r>
      <w:r w:rsidR="00F75C41" w:rsidRPr="0899CF32">
        <w:rPr>
          <w:rFonts w:eastAsia="Aptos" w:cs="Arial"/>
          <w:sz w:val="24"/>
        </w:rPr>
        <w:t>It has been approved by the College of Sexual and Reproductive Health</w:t>
      </w:r>
      <w:r w:rsidR="32A8BE24" w:rsidRPr="0899CF32">
        <w:rPr>
          <w:rFonts w:eastAsia="Aptos" w:cs="Arial"/>
          <w:sz w:val="24"/>
        </w:rPr>
        <w:t>care</w:t>
      </w:r>
      <w:r w:rsidR="00F75C41" w:rsidRPr="0899CF32">
        <w:rPr>
          <w:rFonts w:eastAsia="Aptos" w:cs="Arial"/>
          <w:sz w:val="24"/>
        </w:rPr>
        <w:t xml:space="preserve"> (CoSRH) in January 2026.</w:t>
      </w:r>
    </w:p>
    <w:p w14:paraId="5C5F02DB" w14:textId="2B1D3DE7" w:rsidR="004F7DAB" w:rsidRDefault="00D43BAE" w:rsidP="00B0456D">
      <w:pPr>
        <w:pStyle w:val="PGDNormal"/>
        <w:jc w:val="both"/>
        <w:rPr>
          <w:sz w:val="24"/>
          <w:szCs w:val="28"/>
          <w:shd w:val="clear" w:color="auto" w:fill="FFFFFF"/>
        </w:rPr>
      </w:pPr>
      <w:bookmarkStart w:id="2" w:name="_Hlk217049510"/>
      <w:r w:rsidRPr="00B758C6">
        <w:rPr>
          <w:sz w:val="24"/>
          <w:szCs w:val="28"/>
          <w:shd w:val="clear" w:color="auto" w:fill="FFFFFF"/>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w:t>
      </w:r>
      <w:r w:rsidR="00672C03" w:rsidRPr="00B758C6">
        <w:rPr>
          <w:sz w:val="24"/>
          <w:szCs w:val="28"/>
          <w:shd w:val="clear" w:color="auto" w:fill="FFFFFF"/>
        </w:rPr>
        <w:t>protocol</w:t>
      </w:r>
      <w:r w:rsidRPr="00B758C6">
        <w:rPr>
          <w:sz w:val="24"/>
          <w:szCs w:val="28"/>
          <w:shd w:val="clear" w:color="auto" w:fill="FFFFFF"/>
        </w:rPr>
        <w:t>.</w:t>
      </w:r>
    </w:p>
    <w:bookmarkEnd w:id="2"/>
    <w:p w14:paraId="6F9F032E" w14:textId="30BCFA7A" w:rsidR="004F7DAB" w:rsidRPr="007C450F" w:rsidRDefault="004F7DAB" w:rsidP="004F7DAB">
      <w:pPr>
        <w:pStyle w:val="PGDNormal"/>
        <w:jc w:val="both"/>
        <w:rPr>
          <w:b/>
          <w:bCs/>
          <w:sz w:val="24"/>
          <w:shd w:val="clear" w:color="auto" w:fill="FFFFFF"/>
          <w:lang w:val="en-GB"/>
        </w:rPr>
      </w:pPr>
      <w:r w:rsidRPr="004F7DAB">
        <w:rPr>
          <w:sz w:val="24"/>
          <w:szCs w:val="28"/>
          <w:shd w:val="clear" w:color="auto" w:fill="FFFFFF"/>
        </w:rPr>
        <w:t xml:space="preserve">The most up to date version of the template is available on the SPS webpage </w:t>
      </w:r>
      <w:r w:rsidRPr="007C450F">
        <w:rPr>
          <w:sz w:val="24"/>
          <w:shd w:val="clear" w:color="auto" w:fill="FFFFFF"/>
        </w:rPr>
        <w:t xml:space="preserve">- </w:t>
      </w:r>
      <w:hyperlink r:id="rId11" w:history="1">
        <w:r w:rsidRPr="007C450F">
          <w:rPr>
            <w:rStyle w:val="Hyperlink"/>
            <w:sz w:val="24"/>
          </w:rPr>
          <w:t>National PGD, protocol and written instructions templates</w:t>
        </w:r>
      </w:hyperlink>
    </w:p>
    <w:p w14:paraId="564A6D9A" w14:textId="43BEF8C0" w:rsidR="00D00B34" w:rsidRPr="00D00B34" w:rsidRDefault="00D00B34" w:rsidP="00B0456D">
      <w:pPr>
        <w:pStyle w:val="PGDNormal"/>
        <w:jc w:val="both"/>
        <w:rPr>
          <w:rStyle w:val="Hyperlink"/>
          <w:rFonts w:cs="Arial"/>
          <w:bCs/>
          <w:color w:val="auto"/>
          <w:u w:val="none"/>
        </w:rPr>
      </w:pPr>
      <w:r w:rsidRPr="00B758C6">
        <w:rPr>
          <w:sz w:val="24"/>
          <w:szCs w:val="28"/>
        </w:rPr>
        <w:t>For advice on protocol use in practice/advised supporting governance please refer to</w:t>
      </w:r>
      <w:r w:rsidR="00467E00" w:rsidRPr="00B758C6">
        <w:rPr>
          <w:sz w:val="24"/>
          <w:szCs w:val="28"/>
        </w:rPr>
        <w:t xml:space="preserve"> </w:t>
      </w:r>
      <w:r w:rsidR="00417E8F" w:rsidRPr="00B758C6">
        <w:rPr>
          <w:sz w:val="24"/>
          <w:szCs w:val="28"/>
        </w:rPr>
        <w:t xml:space="preserve"> </w:t>
      </w:r>
      <w:hyperlink r:id="rId12" w:history="1">
        <w:r w:rsidR="006D5BD8" w:rsidRPr="00BE5FB2">
          <w:t xml:space="preserve"> </w:t>
        </w:r>
        <w:r w:rsidR="006D5BD8" w:rsidRPr="00BE5FB2">
          <w:rPr>
            <w:rStyle w:val="Hyperlink"/>
            <w:rFonts w:cs="Arial"/>
            <w:bCs/>
            <w:sz w:val="24"/>
            <w:szCs w:val="28"/>
          </w:rPr>
          <w:t>When not to use a PGD</w:t>
        </w:r>
        <w:r w:rsidR="006D5BD8" w:rsidRPr="00B758C6">
          <w:rPr>
            <w:rStyle w:val="Hyperlink"/>
            <w:rFonts w:cs="Arial"/>
            <w:bCs/>
            <w:sz w:val="24"/>
            <w:szCs w:val="28"/>
          </w:rPr>
          <w:t xml:space="preserve"> (SPS page)</w:t>
        </w:r>
      </w:hyperlink>
      <w:r w:rsidR="006D5BD8">
        <w:t xml:space="preserve"> </w:t>
      </w:r>
      <w:r w:rsidRPr="00B758C6">
        <w:rPr>
          <w:rStyle w:val="Hyperlink"/>
          <w:rFonts w:cs="Arial"/>
          <w:bCs/>
          <w:color w:val="auto"/>
          <w:sz w:val="24"/>
          <w:szCs w:val="28"/>
          <w:u w:val="none"/>
        </w:rPr>
        <w:t>and</w:t>
      </w:r>
      <w:r w:rsidR="00467E00" w:rsidRPr="00B758C6">
        <w:rPr>
          <w:rStyle w:val="Hyperlink"/>
          <w:rFonts w:cs="Arial"/>
          <w:bCs/>
          <w:color w:val="auto"/>
          <w:sz w:val="24"/>
          <w:szCs w:val="28"/>
          <w:u w:val="none"/>
        </w:rPr>
        <w:t xml:space="preserve"> </w:t>
      </w:r>
      <w:hyperlink r:id="rId13" w:history="1">
        <w:r w:rsidRPr="00B758C6">
          <w:rPr>
            <w:rStyle w:val="Hyperlink"/>
            <w:rFonts w:cs="Arial"/>
            <w:bCs/>
            <w:sz w:val="24"/>
            <w:szCs w:val="28"/>
          </w:rPr>
          <w:t>About the SPS Medicines Governance Do Once Programme</w:t>
        </w:r>
        <w:r w:rsidR="00417E8F" w:rsidRPr="00B758C6">
          <w:rPr>
            <w:rStyle w:val="Hyperlink"/>
            <w:rFonts w:cs="Arial"/>
            <w:sz w:val="24"/>
            <w:szCs w:val="28"/>
          </w:rPr>
          <w:t xml:space="preserve"> (SPS page)</w:t>
        </w:r>
      </w:hyperlink>
      <w:r w:rsidR="00417E8F">
        <w:t>.</w:t>
      </w:r>
    </w:p>
    <w:p w14:paraId="005B9BD8" w14:textId="7B8B8EFF" w:rsidR="00D00B34" w:rsidRPr="00B758C6" w:rsidRDefault="002768B9" w:rsidP="00B0456D">
      <w:pPr>
        <w:pStyle w:val="PGDNormal"/>
        <w:rPr>
          <w:sz w:val="24"/>
          <w:szCs w:val="28"/>
        </w:rPr>
      </w:pPr>
      <w:r w:rsidRPr="00B758C6">
        <w:rPr>
          <w:sz w:val="24"/>
          <w:szCs w:val="28"/>
          <w:highlight w:val="yellow"/>
        </w:rPr>
        <w:t>[</w:t>
      </w:r>
      <w:r w:rsidR="00D74D72" w:rsidRPr="00B758C6">
        <w:rPr>
          <w:sz w:val="24"/>
          <w:szCs w:val="28"/>
          <w:highlight w:val="yellow"/>
        </w:rPr>
        <w:t>[</w:t>
      </w:r>
      <w:r w:rsidR="00D00B34" w:rsidRPr="00B758C6">
        <w:rPr>
          <w:sz w:val="24"/>
          <w:szCs w:val="28"/>
          <w:highlight w:val="yellow"/>
        </w:rPr>
        <w:t>Organisations should link to local infection control/PPE guidance relevant to the use of this product</w:t>
      </w:r>
      <w:r w:rsidR="00D00B34" w:rsidRPr="00866B2D">
        <w:rPr>
          <w:sz w:val="24"/>
          <w:szCs w:val="28"/>
          <w:highlight w:val="yellow"/>
        </w:rPr>
        <w:t>.</w:t>
      </w:r>
      <w:r w:rsidR="00D74D72" w:rsidRPr="00866B2D">
        <w:rPr>
          <w:sz w:val="24"/>
          <w:szCs w:val="28"/>
          <w:highlight w:val="yellow"/>
        </w:rPr>
        <w:t>]</w:t>
      </w:r>
      <w:r w:rsidRPr="00866B2D">
        <w:rPr>
          <w:sz w:val="24"/>
          <w:szCs w:val="28"/>
          <w:highlight w:val="yellow"/>
        </w:rPr>
        <w:t>]</w:t>
      </w:r>
    </w:p>
    <w:p w14:paraId="387500F8" w14:textId="1677DE47" w:rsidR="00D00B34" w:rsidRPr="00B758C6" w:rsidRDefault="002768B9" w:rsidP="00B0456D">
      <w:pPr>
        <w:pStyle w:val="PGDNormal"/>
        <w:rPr>
          <w:sz w:val="24"/>
          <w:szCs w:val="28"/>
        </w:rPr>
      </w:pPr>
      <w:r w:rsidRPr="00B758C6">
        <w:rPr>
          <w:sz w:val="24"/>
          <w:szCs w:val="28"/>
          <w:highlight w:val="yellow"/>
        </w:rPr>
        <w:t>[[</w:t>
      </w:r>
      <w:r w:rsidR="00D00B34" w:rsidRPr="00B758C6">
        <w:rPr>
          <w:sz w:val="24"/>
          <w:szCs w:val="28"/>
          <w:highlight w:val="yellow"/>
        </w:rPr>
        <w:t xml:space="preserve">Each organisation using this protocol must ensure that it is appropriately reviewed and approved for use in line with the </w:t>
      </w:r>
      <w:r w:rsidR="00606A75" w:rsidRPr="00B758C6">
        <w:rPr>
          <w:sz w:val="24"/>
          <w:szCs w:val="28"/>
          <w:highlight w:val="yellow"/>
        </w:rPr>
        <w:t>organization’s</w:t>
      </w:r>
      <w:r w:rsidR="00467E00" w:rsidRPr="00B758C6">
        <w:rPr>
          <w:sz w:val="24"/>
          <w:szCs w:val="28"/>
          <w:highlight w:val="yellow"/>
        </w:rPr>
        <w:t xml:space="preserve"> </w:t>
      </w:r>
      <w:r w:rsidR="00D00B34" w:rsidRPr="00B758C6">
        <w:rPr>
          <w:sz w:val="24"/>
          <w:szCs w:val="28"/>
          <w:highlight w:val="yellow"/>
        </w:rPr>
        <w:t>governance system</w:t>
      </w:r>
      <w:r w:rsidR="00D00B34" w:rsidRPr="00866B2D">
        <w:rPr>
          <w:sz w:val="24"/>
          <w:szCs w:val="28"/>
          <w:highlight w:val="yellow"/>
        </w:rPr>
        <w:t>.</w:t>
      </w:r>
      <w:r w:rsidR="00D74D72" w:rsidRPr="00866B2D">
        <w:rPr>
          <w:sz w:val="24"/>
          <w:szCs w:val="28"/>
          <w:highlight w:val="yellow"/>
        </w:rPr>
        <w:t>]</w:t>
      </w:r>
      <w:r w:rsidRPr="00866B2D">
        <w:rPr>
          <w:sz w:val="24"/>
          <w:szCs w:val="28"/>
          <w:highlight w:val="yellow"/>
        </w:rPr>
        <w:t>]</w:t>
      </w:r>
      <w:r w:rsidR="00D00B34" w:rsidRPr="00B758C6">
        <w:rPr>
          <w:sz w:val="24"/>
          <w:szCs w:val="28"/>
          <w:highlight w:val="yellow"/>
        </w:rPr>
        <w:t xml:space="preserve">  </w:t>
      </w:r>
    </w:p>
    <w:p w14:paraId="7BB2FCE3" w14:textId="03723474" w:rsidR="00FE097C" w:rsidRPr="00F57271" w:rsidRDefault="00FE097C">
      <w:pPr>
        <w:rPr>
          <w:rFonts w:ascii="Arial" w:eastAsia="Times New Roman" w:hAnsi="Arial" w:cs="Arial"/>
          <w:bCs/>
        </w:rPr>
      </w:pPr>
      <w:r>
        <w:rPr>
          <w:rFonts w:ascii="Arial" w:eastAsia="Times New Roman" w:hAnsi="Arial" w:cs="Arial"/>
          <w:bCs/>
          <w:color w:val="FF0000"/>
        </w:rPr>
        <w:br w:type="page"/>
      </w:r>
    </w:p>
    <w:p w14:paraId="4F52F69E" w14:textId="77777777" w:rsidR="00D00B34" w:rsidRDefault="00D00B34" w:rsidP="00D00B34">
      <w:pPr>
        <w:spacing w:after="0" w:line="240" w:lineRule="auto"/>
        <w:jc w:val="both"/>
        <w:rPr>
          <w:rFonts w:ascii="Arial" w:eastAsia="Times New Roman" w:hAnsi="Arial" w:cs="Arial"/>
          <w:bCs/>
          <w:color w:val="FF0000"/>
        </w:rPr>
      </w:pPr>
    </w:p>
    <w:p w14:paraId="1C9C85A8" w14:textId="77777777" w:rsidR="00D00B34" w:rsidRPr="00D00B34" w:rsidRDefault="00D00B34" w:rsidP="00FD6567">
      <w:pPr>
        <w:pStyle w:val="Tabletitle"/>
      </w:pPr>
      <w:r w:rsidRPr="00D00B34">
        <w:t xml:space="preserve">Protocol development group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totocol development group table"/>
        <w:tblDescription w:val="Table listing name and designation of the protocol development group"/>
      </w:tblPr>
      <w:tblGrid>
        <w:gridCol w:w="2601"/>
        <w:gridCol w:w="6125"/>
      </w:tblGrid>
      <w:tr w:rsidR="00672C03" w:rsidRPr="00D10926" w14:paraId="1EDF8C10" w14:textId="77777777" w:rsidTr="00FD6567">
        <w:trPr>
          <w:trHeight w:val="254"/>
          <w:tblHeader/>
        </w:trPr>
        <w:tc>
          <w:tcPr>
            <w:tcW w:w="2601" w:type="dxa"/>
            <w:vAlign w:val="center"/>
          </w:tcPr>
          <w:p w14:paraId="57B69435" w14:textId="77777777" w:rsidR="00672C03" w:rsidRPr="00FD6567" w:rsidRDefault="00672C03" w:rsidP="00FD6567">
            <w:pPr>
              <w:pStyle w:val="TableHeaderRow"/>
              <w:rPr>
                <w:b w:val="0"/>
                <w:sz w:val="24"/>
                <w:szCs w:val="24"/>
              </w:rPr>
            </w:pPr>
            <w:bookmarkStart w:id="3" w:name="_Hlk206145877"/>
            <w:bookmarkStart w:id="4" w:name="_Hlk125017417"/>
            <w:r w:rsidRPr="00FD6567">
              <w:rPr>
                <w:sz w:val="24"/>
                <w:szCs w:val="24"/>
              </w:rPr>
              <w:t>Name</w:t>
            </w:r>
          </w:p>
        </w:tc>
        <w:tc>
          <w:tcPr>
            <w:tcW w:w="6125" w:type="dxa"/>
            <w:vAlign w:val="center"/>
          </w:tcPr>
          <w:p w14:paraId="12609923" w14:textId="77777777" w:rsidR="00672C03" w:rsidRPr="00FD6567" w:rsidRDefault="00672C03" w:rsidP="00FD6567">
            <w:pPr>
              <w:pStyle w:val="TableHeaderRow"/>
              <w:rPr>
                <w:b w:val="0"/>
                <w:sz w:val="24"/>
                <w:szCs w:val="24"/>
              </w:rPr>
            </w:pPr>
            <w:r w:rsidRPr="00FD6567">
              <w:rPr>
                <w:sz w:val="24"/>
                <w:szCs w:val="24"/>
              </w:rPr>
              <w:t>Designation</w:t>
            </w:r>
          </w:p>
        </w:tc>
      </w:tr>
      <w:tr w:rsidR="00672C03" w:rsidRPr="0050579C" w14:paraId="21EC84BE" w14:textId="77777777" w:rsidTr="00FD6567">
        <w:trPr>
          <w:trHeight w:val="267"/>
        </w:trPr>
        <w:tc>
          <w:tcPr>
            <w:tcW w:w="2601" w:type="dxa"/>
          </w:tcPr>
          <w:p w14:paraId="010D0C12" w14:textId="77777777" w:rsidR="00672C03" w:rsidRPr="00B0456D" w:rsidRDefault="00672C03" w:rsidP="00B0456D">
            <w:pPr>
              <w:pStyle w:val="Tabletext"/>
              <w:rPr>
                <w:sz w:val="24"/>
              </w:rPr>
            </w:pPr>
            <w:r w:rsidRPr="00B0456D">
              <w:rPr>
                <w:sz w:val="24"/>
              </w:rPr>
              <w:t>Alison Crompton</w:t>
            </w:r>
          </w:p>
        </w:tc>
        <w:tc>
          <w:tcPr>
            <w:tcW w:w="6125" w:type="dxa"/>
            <w:vAlign w:val="center"/>
          </w:tcPr>
          <w:p w14:paraId="6C94C23D" w14:textId="77777777" w:rsidR="00672C03" w:rsidRPr="00B0456D" w:rsidRDefault="00672C03" w:rsidP="00B0456D">
            <w:pPr>
              <w:pStyle w:val="Tabletext"/>
              <w:rPr>
                <w:sz w:val="24"/>
              </w:rPr>
            </w:pPr>
            <w:r w:rsidRPr="00B0456D">
              <w:rPr>
                <w:sz w:val="24"/>
              </w:rPr>
              <w:t>Community pharmacist</w:t>
            </w:r>
          </w:p>
        </w:tc>
      </w:tr>
      <w:tr w:rsidR="00672C03" w:rsidRPr="00D10926" w14:paraId="1ADAF320" w14:textId="77777777" w:rsidTr="00FD6567">
        <w:trPr>
          <w:trHeight w:val="267"/>
        </w:trPr>
        <w:tc>
          <w:tcPr>
            <w:tcW w:w="2601" w:type="dxa"/>
          </w:tcPr>
          <w:p w14:paraId="09AD1F4E" w14:textId="77777777" w:rsidR="00672C03" w:rsidRPr="00B0456D" w:rsidRDefault="00672C03" w:rsidP="00B0456D">
            <w:pPr>
              <w:pStyle w:val="Tabletext"/>
              <w:rPr>
                <w:sz w:val="24"/>
              </w:rPr>
            </w:pPr>
            <w:r w:rsidRPr="00B0456D">
              <w:rPr>
                <w:sz w:val="24"/>
              </w:rPr>
              <w:t>Bola Sotubo</w:t>
            </w:r>
          </w:p>
        </w:tc>
        <w:tc>
          <w:tcPr>
            <w:tcW w:w="6125" w:type="dxa"/>
          </w:tcPr>
          <w:p w14:paraId="5196A23E" w14:textId="77777777" w:rsidR="00672C03" w:rsidRPr="00B0456D" w:rsidRDefault="00672C03" w:rsidP="00B0456D">
            <w:pPr>
              <w:pStyle w:val="Tabletext"/>
              <w:rPr>
                <w:sz w:val="24"/>
              </w:rPr>
            </w:pPr>
            <w:r w:rsidRPr="00B0456D">
              <w:rPr>
                <w:sz w:val="24"/>
              </w:rPr>
              <w:t>NHS North East London ICB pharmacist</w:t>
            </w:r>
          </w:p>
        </w:tc>
      </w:tr>
      <w:tr w:rsidR="00672C03" w:rsidRPr="00D10926" w14:paraId="071CDD01" w14:textId="77777777" w:rsidTr="00FD6567">
        <w:trPr>
          <w:trHeight w:val="267"/>
        </w:trPr>
        <w:tc>
          <w:tcPr>
            <w:tcW w:w="2601" w:type="dxa"/>
          </w:tcPr>
          <w:p w14:paraId="5CADDADB" w14:textId="77777777" w:rsidR="00672C03" w:rsidRPr="00B0456D" w:rsidRDefault="00672C03" w:rsidP="00B0456D">
            <w:pPr>
              <w:pStyle w:val="Tabletext"/>
              <w:rPr>
                <w:sz w:val="24"/>
              </w:rPr>
            </w:pPr>
            <w:r w:rsidRPr="00B0456D">
              <w:rPr>
                <w:sz w:val="24"/>
              </w:rPr>
              <w:t>Carmel Lloyd</w:t>
            </w:r>
          </w:p>
        </w:tc>
        <w:tc>
          <w:tcPr>
            <w:tcW w:w="6125" w:type="dxa"/>
          </w:tcPr>
          <w:p w14:paraId="14B1E14C" w14:textId="77777777" w:rsidR="00672C03" w:rsidRPr="00B0456D" w:rsidRDefault="00672C03" w:rsidP="00B0456D">
            <w:pPr>
              <w:pStyle w:val="Tabletext"/>
              <w:rPr>
                <w:sz w:val="24"/>
              </w:rPr>
            </w:pPr>
            <w:r w:rsidRPr="00B0456D">
              <w:rPr>
                <w:sz w:val="24"/>
              </w:rPr>
              <w:t>Royal College of Midwives (RCM)</w:t>
            </w:r>
          </w:p>
        </w:tc>
      </w:tr>
      <w:tr w:rsidR="00672C03" w:rsidRPr="00D10926" w14:paraId="5E09D828" w14:textId="77777777" w:rsidTr="00FD6567">
        <w:trPr>
          <w:trHeight w:val="267"/>
        </w:trPr>
        <w:tc>
          <w:tcPr>
            <w:tcW w:w="2601" w:type="dxa"/>
          </w:tcPr>
          <w:p w14:paraId="79573245" w14:textId="77777777" w:rsidR="00672C03" w:rsidRPr="00B0456D" w:rsidRDefault="00672C03" w:rsidP="00B0456D">
            <w:pPr>
              <w:pStyle w:val="Tabletext"/>
              <w:rPr>
                <w:sz w:val="24"/>
              </w:rPr>
            </w:pPr>
            <w:r w:rsidRPr="00B0456D">
              <w:rPr>
                <w:sz w:val="24"/>
              </w:rPr>
              <w:t>Dr Cindy Farmer</w:t>
            </w:r>
          </w:p>
        </w:tc>
        <w:tc>
          <w:tcPr>
            <w:tcW w:w="6125" w:type="dxa"/>
          </w:tcPr>
          <w:p w14:paraId="21308923" w14:textId="77777777" w:rsidR="00672C03" w:rsidRPr="00B0456D" w:rsidRDefault="006E65B6" w:rsidP="00B0456D">
            <w:pPr>
              <w:pStyle w:val="Tabletext"/>
              <w:rPr>
                <w:sz w:val="24"/>
              </w:rPr>
            </w:pPr>
            <w:r w:rsidRPr="00B0456D">
              <w:rPr>
                <w:sz w:val="24"/>
              </w:rPr>
              <w:t>Senior Vice President, Professional Learning and Development, College of Sexual and Reproductive Healthcare (CoSRH)</w:t>
            </w:r>
          </w:p>
        </w:tc>
      </w:tr>
      <w:tr w:rsidR="00672C03" w:rsidRPr="00D10926" w14:paraId="3808F0C6" w14:textId="77777777" w:rsidTr="00FD6567">
        <w:trPr>
          <w:trHeight w:val="267"/>
        </w:trPr>
        <w:tc>
          <w:tcPr>
            <w:tcW w:w="2601" w:type="dxa"/>
          </w:tcPr>
          <w:p w14:paraId="3AB66B92" w14:textId="77777777" w:rsidR="00672C03" w:rsidRPr="00B0456D" w:rsidRDefault="00672C03" w:rsidP="00B0456D">
            <w:pPr>
              <w:pStyle w:val="Tabletext"/>
              <w:rPr>
                <w:sz w:val="24"/>
              </w:rPr>
            </w:pPr>
            <w:r w:rsidRPr="00B0456D">
              <w:rPr>
                <w:sz w:val="24"/>
              </w:rPr>
              <w:t>Clare Livingstone</w:t>
            </w:r>
          </w:p>
        </w:tc>
        <w:tc>
          <w:tcPr>
            <w:tcW w:w="6125" w:type="dxa"/>
          </w:tcPr>
          <w:p w14:paraId="03498F3E" w14:textId="77777777" w:rsidR="00672C03" w:rsidRPr="00B0456D" w:rsidRDefault="00672C03" w:rsidP="00B0456D">
            <w:pPr>
              <w:pStyle w:val="Tabletext"/>
              <w:rPr>
                <w:sz w:val="24"/>
              </w:rPr>
            </w:pPr>
            <w:r w:rsidRPr="00B0456D">
              <w:rPr>
                <w:sz w:val="24"/>
              </w:rPr>
              <w:t>Royal College of Midwives (RCM)</w:t>
            </w:r>
          </w:p>
        </w:tc>
      </w:tr>
      <w:tr w:rsidR="00672C03" w:rsidRPr="00D10926" w14:paraId="072F784B" w14:textId="77777777" w:rsidTr="00FD6567">
        <w:trPr>
          <w:trHeight w:val="267"/>
        </w:trPr>
        <w:tc>
          <w:tcPr>
            <w:tcW w:w="2601" w:type="dxa"/>
          </w:tcPr>
          <w:p w14:paraId="4A09BF10" w14:textId="77777777" w:rsidR="00672C03" w:rsidRPr="00B0456D" w:rsidRDefault="00672C03" w:rsidP="00B0456D">
            <w:pPr>
              <w:pStyle w:val="Tabletext"/>
              <w:rPr>
                <w:sz w:val="24"/>
              </w:rPr>
            </w:pPr>
            <w:r w:rsidRPr="00B0456D">
              <w:rPr>
                <w:sz w:val="24"/>
              </w:rPr>
              <w:t>Dipti Patel</w:t>
            </w:r>
          </w:p>
        </w:tc>
        <w:tc>
          <w:tcPr>
            <w:tcW w:w="6125" w:type="dxa"/>
          </w:tcPr>
          <w:p w14:paraId="72F39F34" w14:textId="77777777" w:rsidR="00672C03" w:rsidRPr="00B0456D" w:rsidRDefault="00672C03" w:rsidP="00B0456D">
            <w:pPr>
              <w:pStyle w:val="Tabletext"/>
              <w:rPr>
                <w:sz w:val="24"/>
              </w:rPr>
            </w:pPr>
            <w:r w:rsidRPr="00B0456D">
              <w:rPr>
                <w:sz w:val="24"/>
              </w:rPr>
              <w:t xml:space="preserve">Local authority pharmacist </w:t>
            </w:r>
          </w:p>
        </w:tc>
      </w:tr>
      <w:tr w:rsidR="00672C03" w:rsidRPr="00D10926" w14:paraId="1F269711" w14:textId="77777777" w:rsidTr="00FD6567">
        <w:trPr>
          <w:trHeight w:val="267"/>
        </w:trPr>
        <w:tc>
          <w:tcPr>
            <w:tcW w:w="2601" w:type="dxa"/>
          </w:tcPr>
          <w:p w14:paraId="43268606" w14:textId="77777777" w:rsidR="00672C03" w:rsidRPr="00B0456D" w:rsidRDefault="00672C03" w:rsidP="00B0456D">
            <w:pPr>
              <w:pStyle w:val="Tabletext"/>
              <w:rPr>
                <w:sz w:val="24"/>
              </w:rPr>
            </w:pPr>
            <w:r w:rsidRPr="00B0456D">
              <w:rPr>
                <w:sz w:val="24"/>
              </w:rPr>
              <w:t>Emma Anderson</w:t>
            </w:r>
          </w:p>
        </w:tc>
        <w:tc>
          <w:tcPr>
            <w:tcW w:w="6125" w:type="dxa"/>
          </w:tcPr>
          <w:p w14:paraId="37F07789" w14:textId="77777777" w:rsidR="00672C03" w:rsidRPr="00B0456D" w:rsidRDefault="00672C03" w:rsidP="00B0456D">
            <w:pPr>
              <w:pStyle w:val="Tabletext"/>
              <w:rPr>
                <w:sz w:val="24"/>
              </w:rPr>
            </w:pPr>
            <w:r w:rsidRPr="00B0456D">
              <w:rPr>
                <w:sz w:val="24"/>
              </w:rPr>
              <w:t>Centre for Postgraduate Pharmacy Education (CPPE)</w:t>
            </w:r>
          </w:p>
        </w:tc>
      </w:tr>
      <w:tr w:rsidR="00672C03" w:rsidRPr="00D10926" w14:paraId="0CCCFBA5" w14:textId="77777777" w:rsidTr="00FD6567">
        <w:trPr>
          <w:trHeight w:val="267"/>
        </w:trPr>
        <w:tc>
          <w:tcPr>
            <w:tcW w:w="2601" w:type="dxa"/>
          </w:tcPr>
          <w:p w14:paraId="267E27EA" w14:textId="77777777" w:rsidR="00672C03" w:rsidRPr="00B0456D" w:rsidRDefault="00672C03" w:rsidP="00B0456D">
            <w:pPr>
              <w:pStyle w:val="Tabletext"/>
              <w:rPr>
                <w:sz w:val="24"/>
              </w:rPr>
            </w:pPr>
            <w:r w:rsidRPr="00B0456D">
              <w:rPr>
                <w:sz w:val="24"/>
              </w:rPr>
              <w:t>Heather Randle</w:t>
            </w:r>
          </w:p>
        </w:tc>
        <w:tc>
          <w:tcPr>
            <w:tcW w:w="6125" w:type="dxa"/>
          </w:tcPr>
          <w:p w14:paraId="50CE1373" w14:textId="77777777" w:rsidR="00672C03" w:rsidRPr="00B0456D" w:rsidRDefault="00672C03" w:rsidP="00B0456D">
            <w:pPr>
              <w:pStyle w:val="Tabletext"/>
              <w:rPr>
                <w:sz w:val="24"/>
              </w:rPr>
            </w:pPr>
            <w:r w:rsidRPr="00B0456D">
              <w:rPr>
                <w:sz w:val="24"/>
              </w:rPr>
              <w:t>Royal College of Nursing</w:t>
            </w:r>
          </w:p>
        </w:tc>
      </w:tr>
      <w:tr w:rsidR="00672C03" w:rsidRPr="0050579C" w14:paraId="2EE3880D" w14:textId="77777777" w:rsidTr="00FD6567">
        <w:trPr>
          <w:trHeight w:val="267"/>
        </w:trPr>
        <w:tc>
          <w:tcPr>
            <w:tcW w:w="2601" w:type="dxa"/>
          </w:tcPr>
          <w:p w14:paraId="2EDEACC1" w14:textId="77777777" w:rsidR="00672C03" w:rsidRPr="00B0456D" w:rsidRDefault="00672C03" w:rsidP="00B0456D">
            <w:pPr>
              <w:pStyle w:val="Tabletext"/>
              <w:rPr>
                <w:sz w:val="24"/>
              </w:rPr>
            </w:pPr>
            <w:r w:rsidRPr="00B0456D">
              <w:rPr>
                <w:sz w:val="24"/>
              </w:rPr>
              <w:t>Julia Hogan</w:t>
            </w:r>
          </w:p>
        </w:tc>
        <w:tc>
          <w:tcPr>
            <w:tcW w:w="6125" w:type="dxa"/>
          </w:tcPr>
          <w:p w14:paraId="2F962A5A" w14:textId="77777777" w:rsidR="00672C03" w:rsidRPr="00B0456D" w:rsidRDefault="00672C03" w:rsidP="00B0456D">
            <w:pPr>
              <w:pStyle w:val="Tabletext"/>
              <w:rPr>
                <w:sz w:val="24"/>
              </w:rPr>
            </w:pPr>
            <w:r w:rsidRPr="00B0456D">
              <w:rPr>
                <w:sz w:val="24"/>
              </w:rPr>
              <w:t>Clinical Nurse Specialist</w:t>
            </w:r>
          </w:p>
        </w:tc>
      </w:tr>
      <w:tr w:rsidR="00672C03" w:rsidRPr="0050579C" w14:paraId="5F2051AA" w14:textId="77777777" w:rsidTr="00FD6567">
        <w:trPr>
          <w:trHeight w:val="267"/>
        </w:trPr>
        <w:tc>
          <w:tcPr>
            <w:tcW w:w="2601" w:type="dxa"/>
          </w:tcPr>
          <w:p w14:paraId="69E72DE4" w14:textId="77777777" w:rsidR="00672C03" w:rsidRPr="00B0456D" w:rsidRDefault="00672C03" w:rsidP="00B0456D">
            <w:pPr>
              <w:pStyle w:val="Tabletext"/>
              <w:rPr>
                <w:sz w:val="24"/>
              </w:rPr>
            </w:pPr>
            <w:r w:rsidRPr="00B0456D">
              <w:rPr>
                <w:sz w:val="24"/>
              </w:rPr>
              <w:t>Kate Devonport</w:t>
            </w:r>
          </w:p>
        </w:tc>
        <w:tc>
          <w:tcPr>
            <w:tcW w:w="6125" w:type="dxa"/>
          </w:tcPr>
          <w:p w14:paraId="64D8757E" w14:textId="77777777" w:rsidR="00672C03" w:rsidRPr="00B0456D" w:rsidRDefault="00672C03" w:rsidP="00B0456D">
            <w:pPr>
              <w:pStyle w:val="Tabletext"/>
              <w:rPr>
                <w:sz w:val="24"/>
              </w:rPr>
            </w:pPr>
            <w:r w:rsidRPr="00B0456D">
              <w:rPr>
                <w:sz w:val="24"/>
              </w:rPr>
              <w:t>National Unplanned Pregnancy Association (NUPAS)</w:t>
            </w:r>
          </w:p>
        </w:tc>
      </w:tr>
      <w:tr w:rsidR="00672C03" w:rsidRPr="0050579C" w14:paraId="51541BCB" w14:textId="77777777" w:rsidTr="00FD6567">
        <w:trPr>
          <w:trHeight w:val="267"/>
        </w:trPr>
        <w:tc>
          <w:tcPr>
            <w:tcW w:w="2601" w:type="dxa"/>
          </w:tcPr>
          <w:p w14:paraId="75E9E05D" w14:textId="77777777" w:rsidR="00672C03" w:rsidRPr="00B0456D" w:rsidRDefault="00672C03" w:rsidP="00B0456D">
            <w:pPr>
              <w:pStyle w:val="Tabletext"/>
              <w:rPr>
                <w:sz w:val="24"/>
              </w:rPr>
            </w:pPr>
            <w:r w:rsidRPr="00B0456D">
              <w:rPr>
                <w:sz w:val="24"/>
              </w:rPr>
              <w:t xml:space="preserve">Kirsty Armstrong  </w:t>
            </w:r>
          </w:p>
        </w:tc>
        <w:tc>
          <w:tcPr>
            <w:tcW w:w="6125" w:type="dxa"/>
          </w:tcPr>
          <w:p w14:paraId="2851486C" w14:textId="77777777" w:rsidR="00672C03" w:rsidRPr="00B0456D" w:rsidRDefault="00672C03" w:rsidP="00B0456D">
            <w:pPr>
              <w:pStyle w:val="Tabletext"/>
              <w:rPr>
                <w:sz w:val="24"/>
              </w:rPr>
            </w:pPr>
            <w:r w:rsidRPr="00B0456D">
              <w:rPr>
                <w:sz w:val="24"/>
              </w:rPr>
              <w:t>National Pharmacy Integration Lead, NHS England</w:t>
            </w:r>
          </w:p>
        </w:tc>
      </w:tr>
      <w:tr w:rsidR="00672C03" w:rsidRPr="00D10926" w14:paraId="61290F62" w14:textId="77777777" w:rsidTr="00FD6567">
        <w:trPr>
          <w:trHeight w:val="267"/>
        </w:trPr>
        <w:tc>
          <w:tcPr>
            <w:tcW w:w="2601" w:type="dxa"/>
          </w:tcPr>
          <w:p w14:paraId="22BB1C4E" w14:textId="77777777" w:rsidR="00672C03" w:rsidRPr="00B0456D" w:rsidRDefault="00672C03" w:rsidP="00B0456D">
            <w:pPr>
              <w:pStyle w:val="Tabletext"/>
              <w:rPr>
                <w:sz w:val="24"/>
              </w:rPr>
            </w:pPr>
            <w:r w:rsidRPr="00B0456D">
              <w:rPr>
                <w:sz w:val="24"/>
              </w:rPr>
              <w:t>Lisa Knight</w:t>
            </w:r>
          </w:p>
        </w:tc>
        <w:tc>
          <w:tcPr>
            <w:tcW w:w="6125" w:type="dxa"/>
          </w:tcPr>
          <w:p w14:paraId="7F39A2D7" w14:textId="77777777" w:rsidR="00672C03" w:rsidRPr="00B0456D" w:rsidRDefault="00672C03" w:rsidP="00B0456D">
            <w:pPr>
              <w:pStyle w:val="Tabletext"/>
              <w:rPr>
                <w:sz w:val="24"/>
              </w:rPr>
            </w:pPr>
            <w:r w:rsidRPr="00B0456D">
              <w:rPr>
                <w:sz w:val="24"/>
              </w:rPr>
              <w:t xml:space="preserve">Community Health Services pharmacist </w:t>
            </w:r>
          </w:p>
        </w:tc>
      </w:tr>
      <w:tr w:rsidR="00672C03" w:rsidRPr="00A13E12" w14:paraId="4F7E8E92" w14:textId="77777777" w:rsidTr="00FD6567">
        <w:trPr>
          <w:trHeight w:val="267"/>
        </w:trPr>
        <w:tc>
          <w:tcPr>
            <w:tcW w:w="2601" w:type="dxa"/>
          </w:tcPr>
          <w:p w14:paraId="7F401769" w14:textId="77777777" w:rsidR="00672C03" w:rsidRPr="00B0456D" w:rsidRDefault="00672C03" w:rsidP="00B0456D">
            <w:pPr>
              <w:pStyle w:val="Tabletext"/>
              <w:rPr>
                <w:sz w:val="24"/>
              </w:rPr>
            </w:pPr>
            <w:r w:rsidRPr="00B0456D">
              <w:rPr>
                <w:sz w:val="24"/>
              </w:rPr>
              <w:t>Michelle Jenkins</w:t>
            </w:r>
          </w:p>
          <w:p w14:paraId="58CF1E2A" w14:textId="77777777" w:rsidR="00672C03" w:rsidRPr="00B0456D" w:rsidRDefault="00672C03" w:rsidP="00B0456D">
            <w:pPr>
              <w:pStyle w:val="Tabletext"/>
              <w:rPr>
                <w:sz w:val="24"/>
              </w:rPr>
            </w:pPr>
          </w:p>
        </w:tc>
        <w:tc>
          <w:tcPr>
            <w:tcW w:w="6125" w:type="dxa"/>
          </w:tcPr>
          <w:p w14:paraId="1CC51763" w14:textId="77777777" w:rsidR="006E65B6" w:rsidRPr="00B0456D" w:rsidRDefault="006E65B6" w:rsidP="00B0456D">
            <w:pPr>
              <w:pStyle w:val="Tabletext"/>
              <w:rPr>
                <w:sz w:val="24"/>
              </w:rPr>
            </w:pPr>
            <w:r w:rsidRPr="00B0456D">
              <w:rPr>
                <w:sz w:val="24"/>
              </w:rPr>
              <w:t xml:space="preserve">Clinical Nurse Specialist Sexual Health Blackpool Teaching Hospitals, and member of </w:t>
            </w:r>
          </w:p>
          <w:p w14:paraId="501EFA8B" w14:textId="77777777" w:rsidR="00672C03" w:rsidRPr="00B0456D" w:rsidRDefault="006E65B6" w:rsidP="00B0456D">
            <w:pPr>
              <w:pStyle w:val="Tabletext"/>
              <w:rPr>
                <w:sz w:val="24"/>
              </w:rPr>
            </w:pPr>
            <w:r w:rsidRPr="00B0456D">
              <w:rPr>
                <w:sz w:val="24"/>
              </w:rPr>
              <w:t>Courses and CPD Committee, College of Sexual and Reproductive Healthcare (CoSRH)</w:t>
            </w:r>
          </w:p>
        </w:tc>
      </w:tr>
      <w:tr w:rsidR="00672C03" w:rsidRPr="0050579C" w14:paraId="796E73CD" w14:textId="77777777" w:rsidTr="00FD6567">
        <w:trPr>
          <w:trHeight w:val="267"/>
        </w:trPr>
        <w:tc>
          <w:tcPr>
            <w:tcW w:w="2601" w:type="dxa"/>
          </w:tcPr>
          <w:p w14:paraId="45305C58" w14:textId="77777777" w:rsidR="00672C03" w:rsidRPr="00B0456D" w:rsidRDefault="00672C03" w:rsidP="00B0456D">
            <w:pPr>
              <w:pStyle w:val="Tabletext"/>
              <w:rPr>
                <w:sz w:val="24"/>
              </w:rPr>
            </w:pPr>
            <w:r w:rsidRPr="00B0456D">
              <w:rPr>
                <w:sz w:val="24"/>
              </w:rPr>
              <w:t>Portia Jackson</w:t>
            </w:r>
          </w:p>
        </w:tc>
        <w:tc>
          <w:tcPr>
            <w:tcW w:w="6125" w:type="dxa"/>
          </w:tcPr>
          <w:p w14:paraId="6B53659F" w14:textId="77777777" w:rsidR="00672C03" w:rsidRPr="00B0456D" w:rsidRDefault="00672C03" w:rsidP="00B0456D">
            <w:pPr>
              <w:pStyle w:val="Tabletext"/>
              <w:rPr>
                <w:sz w:val="24"/>
              </w:rPr>
            </w:pPr>
            <w:r w:rsidRPr="00B0456D">
              <w:rPr>
                <w:sz w:val="24"/>
              </w:rPr>
              <w:t>Lead Pharmacist iCaSH, Cambridgeshire Community Services</w:t>
            </w:r>
          </w:p>
        </w:tc>
      </w:tr>
      <w:tr w:rsidR="00672C03" w:rsidRPr="00D10926" w14:paraId="2217C1A5" w14:textId="77777777" w:rsidTr="00FD6567">
        <w:trPr>
          <w:trHeight w:val="267"/>
        </w:trPr>
        <w:tc>
          <w:tcPr>
            <w:tcW w:w="2601" w:type="dxa"/>
          </w:tcPr>
          <w:p w14:paraId="1D5D872C" w14:textId="77777777" w:rsidR="00672C03" w:rsidRPr="00B0456D" w:rsidRDefault="00672C03" w:rsidP="00B0456D">
            <w:pPr>
              <w:pStyle w:val="Tabletext"/>
              <w:rPr>
                <w:sz w:val="24"/>
              </w:rPr>
            </w:pPr>
            <w:r w:rsidRPr="00B0456D">
              <w:rPr>
                <w:sz w:val="24"/>
              </w:rPr>
              <w:t>Rachel Logan</w:t>
            </w:r>
          </w:p>
        </w:tc>
        <w:tc>
          <w:tcPr>
            <w:tcW w:w="6125" w:type="dxa"/>
          </w:tcPr>
          <w:p w14:paraId="281754AA" w14:textId="77777777" w:rsidR="00672C03" w:rsidRPr="00B0456D" w:rsidRDefault="00672C03" w:rsidP="00B0456D">
            <w:pPr>
              <w:pStyle w:val="Tabletext"/>
              <w:rPr>
                <w:sz w:val="24"/>
              </w:rPr>
            </w:pPr>
            <w:r w:rsidRPr="00B0456D">
              <w:rPr>
                <w:sz w:val="24"/>
              </w:rPr>
              <w:t>Senior Pharmacist, BPAS</w:t>
            </w:r>
          </w:p>
        </w:tc>
      </w:tr>
      <w:tr w:rsidR="00672C03" w:rsidRPr="00C749BF" w14:paraId="39D72E2E" w14:textId="77777777" w:rsidTr="00FD6567">
        <w:trPr>
          <w:trHeight w:val="150"/>
        </w:trPr>
        <w:tc>
          <w:tcPr>
            <w:tcW w:w="2601" w:type="dxa"/>
          </w:tcPr>
          <w:p w14:paraId="046CA026" w14:textId="77777777" w:rsidR="00672C03" w:rsidRPr="00B0456D" w:rsidRDefault="00672C03" w:rsidP="00B0456D">
            <w:pPr>
              <w:pStyle w:val="Tabletext"/>
              <w:rPr>
                <w:sz w:val="24"/>
              </w:rPr>
            </w:pPr>
            <w:r w:rsidRPr="00B0456D">
              <w:rPr>
                <w:sz w:val="24"/>
              </w:rPr>
              <w:t>Tanya Lane</w:t>
            </w:r>
          </w:p>
        </w:tc>
        <w:tc>
          <w:tcPr>
            <w:tcW w:w="6125" w:type="dxa"/>
          </w:tcPr>
          <w:p w14:paraId="5648970A" w14:textId="77777777" w:rsidR="00672C03" w:rsidRPr="00B0456D" w:rsidRDefault="00672C03" w:rsidP="00B0456D">
            <w:pPr>
              <w:pStyle w:val="Tabletext"/>
              <w:rPr>
                <w:sz w:val="24"/>
              </w:rPr>
            </w:pPr>
            <w:r w:rsidRPr="00B0456D">
              <w:rPr>
                <w:sz w:val="24"/>
              </w:rPr>
              <w:t>CoSRH Registered Trainer MSI reproductive Choices</w:t>
            </w:r>
          </w:p>
        </w:tc>
      </w:tr>
      <w:tr w:rsidR="00672C03" w:rsidRPr="00D10926" w14:paraId="6F1078EE" w14:textId="77777777" w:rsidTr="00FD6567">
        <w:trPr>
          <w:trHeight w:val="150"/>
        </w:trPr>
        <w:tc>
          <w:tcPr>
            <w:tcW w:w="2601" w:type="dxa"/>
          </w:tcPr>
          <w:p w14:paraId="0F13627F" w14:textId="77777777" w:rsidR="00672C03" w:rsidRPr="00B0456D" w:rsidRDefault="00672C03" w:rsidP="00B0456D">
            <w:pPr>
              <w:pStyle w:val="Tabletext"/>
              <w:rPr>
                <w:sz w:val="24"/>
              </w:rPr>
            </w:pPr>
            <w:r w:rsidRPr="00B0456D">
              <w:rPr>
                <w:sz w:val="24"/>
              </w:rPr>
              <w:t xml:space="preserve">Jo Jenkins </w:t>
            </w:r>
          </w:p>
        </w:tc>
        <w:tc>
          <w:tcPr>
            <w:tcW w:w="6125" w:type="dxa"/>
          </w:tcPr>
          <w:p w14:paraId="75B6560F" w14:textId="77777777" w:rsidR="00672C03" w:rsidRPr="00B0456D" w:rsidRDefault="00672C03" w:rsidP="00B0456D">
            <w:pPr>
              <w:pStyle w:val="Tabletext"/>
              <w:rPr>
                <w:sz w:val="24"/>
              </w:rPr>
            </w:pPr>
            <w:r w:rsidRPr="00B0456D">
              <w:rPr>
                <w:sz w:val="24"/>
              </w:rPr>
              <w:t>Associate Director Medicines Governance, Medicines Use and Safety, Specialist Pharmacy Service</w:t>
            </w:r>
          </w:p>
        </w:tc>
      </w:tr>
      <w:tr w:rsidR="00672C03" w:rsidRPr="00121A81" w14:paraId="788A4AF5" w14:textId="77777777" w:rsidTr="00FD6567">
        <w:trPr>
          <w:trHeight w:val="150"/>
        </w:trPr>
        <w:tc>
          <w:tcPr>
            <w:tcW w:w="2601" w:type="dxa"/>
          </w:tcPr>
          <w:p w14:paraId="65FC297C" w14:textId="77777777" w:rsidR="00672C03" w:rsidRPr="00B0456D" w:rsidRDefault="00672C03" w:rsidP="00B0456D">
            <w:pPr>
              <w:pStyle w:val="Tabletext"/>
              <w:rPr>
                <w:sz w:val="24"/>
              </w:rPr>
            </w:pPr>
            <w:r w:rsidRPr="00B0456D">
              <w:rPr>
                <w:sz w:val="24"/>
              </w:rPr>
              <w:t>Kieran Reynolds</w:t>
            </w:r>
          </w:p>
        </w:tc>
        <w:tc>
          <w:tcPr>
            <w:tcW w:w="6125" w:type="dxa"/>
          </w:tcPr>
          <w:p w14:paraId="15D070F6" w14:textId="77777777" w:rsidR="00672C03" w:rsidRPr="00B0456D" w:rsidRDefault="00672C03" w:rsidP="00B0456D">
            <w:pPr>
              <w:pStyle w:val="Tabletext"/>
              <w:rPr>
                <w:sz w:val="24"/>
              </w:rPr>
            </w:pPr>
            <w:r w:rsidRPr="00B0456D">
              <w:rPr>
                <w:sz w:val="24"/>
              </w:rPr>
              <w:t>Advanced Specialist Pharmacist - Medicines Governance Specialist Pharmacy Service</w:t>
            </w:r>
          </w:p>
        </w:tc>
      </w:tr>
      <w:tr w:rsidR="00672C03" w:rsidRPr="00121A81" w14:paraId="02D26B24" w14:textId="77777777" w:rsidTr="00FD6567">
        <w:trPr>
          <w:trHeight w:val="150"/>
        </w:trPr>
        <w:tc>
          <w:tcPr>
            <w:tcW w:w="2601" w:type="dxa"/>
          </w:tcPr>
          <w:p w14:paraId="6C6A7EAE" w14:textId="77777777" w:rsidR="00672C03" w:rsidRPr="00B0456D" w:rsidRDefault="00672C03" w:rsidP="00B0456D">
            <w:pPr>
              <w:pStyle w:val="Tabletext"/>
              <w:rPr>
                <w:sz w:val="24"/>
              </w:rPr>
            </w:pPr>
            <w:r w:rsidRPr="00B0456D">
              <w:rPr>
                <w:sz w:val="24"/>
              </w:rPr>
              <w:t>Rosie Furner (Working Group Co-ordinator)</w:t>
            </w:r>
          </w:p>
        </w:tc>
        <w:tc>
          <w:tcPr>
            <w:tcW w:w="6125" w:type="dxa"/>
          </w:tcPr>
          <w:p w14:paraId="4C8AC5C8" w14:textId="77777777" w:rsidR="00672C03" w:rsidRPr="00B0456D" w:rsidRDefault="00672C03" w:rsidP="00B0456D">
            <w:pPr>
              <w:pStyle w:val="Tabletext"/>
              <w:rPr>
                <w:sz w:val="24"/>
              </w:rPr>
            </w:pPr>
            <w:r w:rsidRPr="00B0456D">
              <w:rPr>
                <w:sz w:val="24"/>
              </w:rPr>
              <w:t>Advanced Specialist Pharmacist PGDs and Medicine Mechanisms, Specialist Pharmacy Service</w:t>
            </w:r>
          </w:p>
        </w:tc>
      </w:tr>
      <w:tr w:rsidR="00672C03" w:rsidRPr="00121A81" w14:paraId="081970C5" w14:textId="77777777" w:rsidTr="00FD6567">
        <w:trPr>
          <w:trHeight w:val="150"/>
        </w:trPr>
        <w:tc>
          <w:tcPr>
            <w:tcW w:w="2601" w:type="dxa"/>
          </w:tcPr>
          <w:p w14:paraId="5D65039E" w14:textId="77777777" w:rsidR="00672C03" w:rsidRPr="00B0456D" w:rsidRDefault="00672C03" w:rsidP="00B0456D">
            <w:pPr>
              <w:pStyle w:val="Tabletext"/>
              <w:rPr>
                <w:sz w:val="24"/>
              </w:rPr>
            </w:pPr>
            <w:r w:rsidRPr="00B0456D">
              <w:rPr>
                <w:sz w:val="24"/>
              </w:rPr>
              <w:t xml:space="preserve">Sandra Wolper </w:t>
            </w:r>
          </w:p>
        </w:tc>
        <w:tc>
          <w:tcPr>
            <w:tcW w:w="6125" w:type="dxa"/>
          </w:tcPr>
          <w:p w14:paraId="07489F71" w14:textId="77777777" w:rsidR="00672C03" w:rsidRPr="00B0456D" w:rsidRDefault="00672C03" w:rsidP="00B0456D">
            <w:pPr>
              <w:pStyle w:val="Tabletext"/>
              <w:rPr>
                <w:sz w:val="24"/>
              </w:rPr>
            </w:pPr>
            <w:r w:rsidRPr="00B0456D">
              <w:rPr>
                <w:sz w:val="24"/>
              </w:rPr>
              <w:t>Out of Hospital Care Lead, Medicines Use and Safety</w:t>
            </w:r>
            <w:r w:rsidR="003466C5" w:rsidRPr="00B0456D">
              <w:rPr>
                <w:sz w:val="24"/>
              </w:rPr>
              <w:t xml:space="preserve">, </w:t>
            </w:r>
            <w:r w:rsidRPr="00B0456D">
              <w:rPr>
                <w:sz w:val="24"/>
              </w:rPr>
              <w:t>Specialist Pharmacy Service</w:t>
            </w:r>
          </w:p>
        </w:tc>
      </w:tr>
      <w:bookmarkEnd w:id="3"/>
    </w:tbl>
    <w:p w14:paraId="5307EA51" w14:textId="5773CF3D" w:rsidR="00C05482" w:rsidRDefault="00C05482" w:rsidP="00095899">
      <w:pPr>
        <w:rPr>
          <w:b/>
          <w:u w:val="single"/>
        </w:rPr>
      </w:pPr>
    </w:p>
    <w:p w14:paraId="10E2314D" w14:textId="77777777" w:rsidR="00C05482" w:rsidRDefault="00C05482">
      <w:pPr>
        <w:rPr>
          <w:b/>
          <w:u w:val="single"/>
        </w:rPr>
      </w:pPr>
      <w:r>
        <w:rPr>
          <w:b/>
          <w:u w:val="single"/>
        </w:rPr>
        <w:br w:type="page"/>
      </w:r>
    </w:p>
    <w:p w14:paraId="39D19685" w14:textId="5C28032B" w:rsidR="00D00B34" w:rsidRPr="00FD6567" w:rsidRDefault="00F83060" w:rsidP="00F83060">
      <w:pPr>
        <w:pStyle w:val="Tabletitle"/>
        <w:rPr>
          <w:rFonts w:eastAsia="Arial"/>
          <w:lang w:eastAsia="en-GB" w:bidi="en-GB"/>
        </w:rPr>
      </w:pPr>
      <w:r>
        <w:rPr>
          <w:rFonts w:eastAsia="Arial"/>
          <w:lang w:eastAsia="en-GB" w:bidi="en-GB"/>
        </w:rPr>
        <w:lastRenderedPageBreak/>
        <w:t>1</w:t>
      </w:r>
      <w:r w:rsidR="000D53A3">
        <w:rPr>
          <w:rFonts w:eastAsia="Arial"/>
          <w:lang w:eastAsia="en-GB" w:bidi="en-GB"/>
        </w:rPr>
        <w:t>.</w:t>
      </w:r>
      <w:r>
        <w:rPr>
          <w:rFonts w:eastAsia="Arial"/>
          <w:lang w:eastAsia="en-GB" w:bidi="en-GB"/>
        </w:rPr>
        <w:t xml:space="preserve"> </w:t>
      </w:r>
      <w:bookmarkEnd w:id="4"/>
      <w:r w:rsidR="00182EE2" w:rsidRPr="00FD6567">
        <w:rPr>
          <w:rFonts w:eastAsia="Arial"/>
          <w:lang w:eastAsia="en-GB" w:bidi="en-GB"/>
        </w:rPr>
        <w:t>Staff competencies</w:t>
      </w:r>
    </w:p>
    <w:tbl>
      <w:tblPr>
        <w:tblStyle w:val="TableGrid"/>
        <w:tblW w:w="0" w:type="auto"/>
        <w:tblLook w:val="04A0" w:firstRow="1" w:lastRow="0" w:firstColumn="1" w:lastColumn="0" w:noHBand="0" w:noVBand="1"/>
        <w:tblCaption w:val="Staff competencies table"/>
        <w:tblDescription w:val="Table listing authorised staff and additional requirements "/>
      </w:tblPr>
      <w:tblGrid>
        <w:gridCol w:w="2949"/>
        <w:gridCol w:w="6067"/>
      </w:tblGrid>
      <w:tr w:rsidR="0026613D" w:rsidRPr="00D00B34" w14:paraId="6D864001" w14:textId="77777777" w:rsidTr="00F900CD">
        <w:tc>
          <w:tcPr>
            <w:tcW w:w="2949" w:type="dxa"/>
          </w:tcPr>
          <w:p w14:paraId="658733DE" w14:textId="77777777" w:rsidR="0026613D" w:rsidRPr="00FD6567" w:rsidRDefault="0026613D" w:rsidP="00F900CD">
            <w:pPr>
              <w:rPr>
                <w:rStyle w:val="TableHeaderColumn"/>
                <w:sz w:val="24"/>
              </w:rPr>
            </w:pPr>
            <w:r w:rsidRPr="00FD6567">
              <w:rPr>
                <w:rStyle w:val="TableHeaderColumn"/>
                <w:sz w:val="24"/>
                <w:szCs w:val="22"/>
              </w:rPr>
              <w:t>Authorised staff</w:t>
            </w:r>
          </w:p>
        </w:tc>
        <w:tc>
          <w:tcPr>
            <w:tcW w:w="6067" w:type="dxa"/>
          </w:tcPr>
          <w:p w14:paraId="0EDDC975" w14:textId="77777777" w:rsidR="0026613D" w:rsidRPr="00D00B34" w:rsidRDefault="0026613D" w:rsidP="00FD6567">
            <w:pPr>
              <w:pStyle w:val="Tabletext"/>
              <w:rPr>
                <w:b/>
              </w:rPr>
            </w:pPr>
            <w:r w:rsidRPr="00D00B34">
              <w:t>To complete locally to include those healthcare professionals who will be authorised to work under this protocol to administer the named product</w:t>
            </w:r>
          </w:p>
        </w:tc>
      </w:tr>
      <w:tr w:rsidR="0026613D" w:rsidRPr="00F900CD" w14:paraId="7FB5661D" w14:textId="77777777" w:rsidTr="00F900CD">
        <w:tc>
          <w:tcPr>
            <w:tcW w:w="2949" w:type="dxa"/>
          </w:tcPr>
          <w:p w14:paraId="52525089" w14:textId="77777777" w:rsidR="0026613D" w:rsidRPr="00FD6567" w:rsidRDefault="0026613D" w:rsidP="00F900CD">
            <w:pPr>
              <w:rPr>
                <w:rStyle w:val="TableHeaderColumn"/>
                <w:sz w:val="24"/>
              </w:rPr>
            </w:pPr>
            <w:r w:rsidRPr="00FD6567">
              <w:rPr>
                <w:rStyle w:val="TableHeaderColumn"/>
                <w:sz w:val="24"/>
                <w:szCs w:val="22"/>
              </w:rPr>
              <w:t>Additional requirements</w:t>
            </w:r>
          </w:p>
        </w:tc>
        <w:tc>
          <w:tcPr>
            <w:tcW w:w="6067" w:type="dxa"/>
          </w:tcPr>
          <w:p w14:paraId="3AE88072" w14:textId="77777777" w:rsidR="0026613D" w:rsidRPr="002768B9" w:rsidRDefault="0026613D" w:rsidP="00FD6567">
            <w:pPr>
              <w:pStyle w:val="Tabletext"/>
              <w:rPr>
                <w:highlight w:val="cyan"/>
              </w:rPr>
            </w:pPr>
            <w:r w:rsidRPr="00866B2D">
              <w:rPr>
                <w:highlight w:val="cyan"/>
              </w:rPr>
              <w:t>[</w:t>
            </w:r>
            <w:r w:rsidRPr="002768B9">
              <w:rPr>
                <w:highlight w:val="cyan"/>
              </w:rPr>
              <w:t xml:space="preserve">Insert detail as local agreement to include: </w:t>
            </w:r>
          </w:p>
          <w:p w14:paraId="049465BE" w14:textId="77777777" w:rsidR="0026613D" w:rsidRPr="002768B9" w:rsidRDefault="0026613D" w:rsidP="002768B9">
            <w:pPr>
              <w:pStyle w:val="PGDtablebullet0"/>
              <w:numPr>
                <w:ilvl w:val="0"/>
                <w:numId w:val="21"/>
              </w:numPr>
              <w:rPr>
                <w:highlight w:val="cyan"/>
              </w:rPr>
            </w:pPr>
            <w:r w:rsidRPr="002768B9">
              <w:rPr>
                <w:highlight w:val="cyan"/>
              </w:rPr>
              <w:t xml:space="preserve">staff band/role as appropriate; </w:t>
            </w:r>
          </w:p>
          <w:p w14:paraId="4C0FD2B6" w14:textId="6B89D478" w:rsidR="0026613D" w:rsidRPr="002768B9" w:rsidRDefault="0026613D" w:rsidP="002768B9">
            <w:pPr>
              <w:pStyle w:val="PGDtablebullet0"/>
              <w:numPr>
                <w:ilvl w:val="0"/>
                <w:numId w:val="21"/>
              </w:numPr>
              <w:rPr>
                <w:highlight w:val="cyan"/>
              </w:rPr>
            </w:pPr>
            <w:r w:rsidRPr="002768B9">
              <w:rPr>
                <w:highlight w:val="cyan"/>
              </w:rPr>
              <w:t>requirements of training to be undertaken before a</w:t>
            </w:r>
            <w:r w:rsidR="00D65648">
              <w:rPr>
                <w:highlight w:val="cyan"/>
              </w:rPr>
              <w:t>ss</w:t>
            </w:r>
            <w:r w:rsidRPr="002768B9">
              <w:rPr>
                <w:highlight w:val="cyan"/>
              </w:rPr>
              <w:t xml:space="preserve">essed as competent; </w:t>
            </w:r>
          </w:p>
          <w:p w14:paraId="16135BCC" w14:textId="2DDDAB58" w:rsidR="0026613D" w:rsidRPr="00F900CD" w:rsidRDefault="0026613D" w:rsidP="002768B9">
            <w:pPr>
              <w:pStyle w:val="PGDtablebullet0"/>
              <w:numPr>
                <w:ilvl w:val="0"/>
                <w:numId w:val="21"/>
              </w:numPr>
              <w:rPr>
                <w:b/>
              </w:rPr>
            </w:pPr>
            <w:r w:rsidRPr="002768B9">
              <w:rPr>
                <w:highlight w:val="cyan"/>
              </w:rPr>
              <w:t xml:space="preserve">any </w:t>
            </w:r>
            <w:r w:rsidR="00F57271" w:rsidRPr="002768B9">
              <w:rPr>
                <w:highlight w:val="cyan"/>
              </w:rPr>
              <w:t>on</w:t>
            </w:r>
            <w:r w:rsidRPr="002768B9">
              <w:rPr>
                <w:highlight w:val="cyan"/>
              </w:rPr>
              <w:t>going training/CPD requirements.]</w:t>
            </w:r>
          </w:p>
        </w:tc>
      </w:tr>
    </w:tbl>
    <w:p w14:paraId="1CAACE9F" w14:textId="77777777" w:rsidR="005A45CB" w:rsidRDefault="005A45CB" w:rsidP="005A45CB">
      <w:pPr>
        <w:rPr>
          <w:lang w:val="en-US"/>
        </w:rPr>
      </w:pPr>
    </w:p>
    <w:p w14:paraId="4FDCF626" w14:textId="42F6F8E6" w:rsidR="0026613D" w:rsidRDefault="0026613D" w:rsidP="00FD6567">
      <w:pPr>
        <w:pStyle w:val="Tabletitle"/>
      </w:pPr>
      <w:r w:rsidRPr="00D00B34">
        <w:rPr>
          <w:rFonts w:eastAsia="Arial"/>
          <w:lang w:eastAsia="en-GB" w:bidi="en-GB"/>
        </w:rPr>
        <w:t>2. Clinical condition or situation</w:t>
      </w:r>
    </w:p>
    <w:tbl>
      <w:tblPr>
        <w:tblStyle w:val="TableGrid"/>
        <w:tblW w:w="0" w:type="auto"/>
        <w:tblLook w:val="04A0" w:firstRow="1" w:lastRow="0" w:firstColumn="1" w:lastColumn="0" w:noHBand="0" w:noVBand="1"/>
        <w:tblCaption w:val="Clinical condition or situation table"/>
        <w:tblDescription w:val="Table listing: &#10;Clinical situation &#10;Individuals included&#10;Individuals excluded&#10;Cautions – monitor individual closely for adverse effects &#10;Action for individuals excluded&#10;Action if individual declines treatment &#10;"/>
      </w:tblPr>
      <w:tblGrid>
        <w:gridCol w:w="2949"/>
        <w:gridCol w:w="6067"/>
      </w:tblGrid>
      <w:tr w:rsidR="0026613D" w:rsidRPr="00D00B34" w14:paraId="5269B104" w14:textId="77777777" w:rsidTr="00F900CD">
        <w:tc>
          <w:tcPr>
            <w:tcW w:w="2949" w:type="dxa"/>
          </w:tcPr>
          <w:p w14:paraId="2DCBF18D" w14:textId="77777777" w:rsidR="0026613D" w:rsidRPr="00FD6567" w:rsidRDefault="0026613D" w:rsidP="00F900CD">
            <w:pPr>
              <w:rPr>
                <w:rStyle w:val="TableHeaderColumn"/>
                <w:sz w:val="24"/>
              </w:rPr>
            </w:pPr>
            <w:r w:rsidRPr="00FD6567">
              <w:rPr>
                <w:rStyle w:val="TableHeaderColumn"/>
                <w:rFonts w:eastAsiaTheme="minorHAnsi"/>
                <w:sz w:val="24"/>
                <w:szCs w:val="22"/>
              </w:rPr>
              <w:t>Clinical situation</w:t>
            </w:r>
          </w:p>
        </w:tc>
        <w:tc>
          <w:tcPr>
            <w:tcW w:w="6067" w:type="dxa"/>
          </w:tcPr>
          <w:p w14:paraId="03FE6B5E" w14:textId="29EAA43D" w:rsidR="0026613D" w:rsidRPr="00D00B34" w:rsidRDefault="0026613D" w:rsidP="00FD6567">
            <w:pPr>
              <w:pStyle w:val="Tabletext"/>
            </w:pPr>
            <w:r w:rsidRPr="00D00B34">
              <w:t xml:space="preserve">Administration of lidocaine 10 mg/metered dose spray to facilitate intrauterine </w:t>
            </w:r>
            <w:r w:rsidR="009F6A78">
              <w:t>device</w:t>
            </w:r>
            <w:r w:rsidRPr="00D00B34">
              <w:t xml:space="preserve"> (IU</w:t>
            </w:r>
            <w:r w:rsidR="009F6A78">
              <w:t>D</w:t>
            </w:r>
            <w:r w:rsidRPr="00D00B34">
              <w:t>) insertion or removal.</w:t>
            </w:r>
          </w:p>
        </w:tc>
      </w:tr>
      <w:tr w:rsidR="0026613D" w:rsidRPr="00D00B34" w14:paraId="2A7FD6BA" w14:textId="77777777" w:rsidTr="00F900CD">
        <w:tc>
          <w:tcPr>
            <w:tcW w:w="2949" w:type="dxa"/>
          </w:tcPr>
          <w:p w14:paraId="3BB8C550" w14:textId="77777777" w:rsidR="0026613D" w:rsidRPr="00FD6567" w:rsidRDefault="0026613D" w:rsidP="00F900CD">
            <w:pPr>
              <w:rPr>
                <w:rStyle w:val="TableHeaderColumn"/>
                <w:sz w:val="24"/>
              </w:rPr>
            </w:pPr>
            <w:r w:rsidRPr="00FD6567">
              <w:rPr>
                <w:rStyle w:val="TableHeaderColumn"/>
                <w:rFonts w:eastAsiaTheme="minorHAnsi"/>
                <w:sz w:val="24"/>
                <w:szCs w:val="22"/>
              </w:rPr>
              <w:t>Individuals included</w:t>
            </w:r>
          </w:p>
        </w:tc>
        <w:tc>
          <w:tcPr>
            <w:tcW w:w="6067" w:type="dxa"/>
          </w:tcPr>
          <w:p w14:paraId="3A766641" w14:textId="77777777" w:rsidR="0026613D" w:rsidRPr="00D00B34" w:rsidRDefault="0026613D" w:rsidP="002768B9">
            <w:pPr>
              <w:pStyle w:val="PGDtablebullet0"/>
              <w:numPr>
                <w:ilvl w:val="0"/>
                <w:numId w:val="22"/>
              </w:numPr>
              <w:rPr>
                <w:rFonts w:eastAsia="Arial"/>
                <w:lang w:eastAsia="en-GB" w:bidi="en-GB"/>
              </w:rPr>
            </w:pPr>
            <w:r w:rsidRPr="00D00B34">
              <w:rPr>
                <w:rFonts w:eastAsia="Arial"/>
                <w:lang w:eastAsia="en-GB" w:bidi="en-GB"/>
              </w:rPr>
              <w:t xml:space="preserve">Individuals aged </w:t>
            </w:r>
            <w:r w:rsidRPr="002768B9">
              <w:rPr>
                <w:rFonts w:eastAsia="Arial"/>
                <w:highlight w:val="cyan"/>
                <w:lang w:eastAsia="en-GB" w:bidi="en-GB"/>
              </w:rPr>
              <w:t>[xxx]</w:t>
            </w:r>
            <w:r w:rsidRPr="00D00B34">
              <w:rPr>
                <w:rFonts w:eastAsia="Arial"/>
                <w:lang w:eastAsia="en-GB" w:bidi="en-GB"/>
              </w:rPr>
              <w:t xml:space="preserve"> years and above</w:t>
            </w:r>
          </w:p>
          <w:p w14:paraId="6B3D9D6F" w14:textId="77777777" w:rsidR="0026613D" w:rsidRPr="00D00B34" w:rsidRDefault="0026613D" w:rsidP="002768B9">
            <w:pPr>
              <w:pStyle w:val="PGDtablebullet0"/>
              <w:numPr>
                <w:ilvl w:val="0"/>
                <w:numId w:val="22"/>
              </w:numPr>
              <w:rPr>
                <w:rFonts w:eastAsia="Arial"/>
                <w:lang w:eastAsia="en-GB" w:bidi="en-GB"/>
              </w:rPr>
            </w:pPr>
            <w:r w:rsidRPr="00D00B34">
              <w:rPr>
                <w:rFonts w:eastAsia="Arial"/>
                <w:lang w:eastAsia="en-GB" w:bidi="en-GB"/>
              </w:rPr>
              <w:t xml:space="preserve">Individual consents to treatment.  </w:t>
            </w:r>
          </w:p>
          <w:p w14:paraId="35CD92A7" w14:textId="7786DA34" w:rsidR="0026613D" w:rsidRPr="00D00B34" w:rsidRDefault="0026613D" w:rsidP="002768B9">
            <w:pPr>
              <w:pStyle w:val="PGDtablebullet0"/>
              <w:numPr>
                <w:ilvl w:val="0"/>
                <w:numId w:val="22"/>
              </w:numPr>
              <w:rPr>
                <w:rFonts w:eastAsia="Arial"/>
                <w:lang w:eastAsia="en-GB" w:bidi="en-GB"/>
              </w:rPr>
            </w:pPr>
            <w:r w:rsidRPr="00D00B34">
              <w:rPr>
                <w:rFonts w:eastAsia="Arial"/>
                <w:lang w:eastAsia="en-GB" w:bidi="en-GB"/>
              </w:rPr>
              <w:t>Planned</w:t>
            </w:r>
            <w:r w:rsidRPr="00D00B34">
              <w:rPr>
                <w:rFonts w:eastAsia="Arial"/>
                <w:color w:val="000000" w:themeColor="text1"/>
                <w:lang w:eastAsia="en-GB" w:bidi="en-GB"/>
              </w:rPr>
              <w:t>/emergency</w:t>
            </w:r>
            <w:r>
              <w:rPr>
                <w:rFonts w:eastAsia="Arial"/>
                <w:color w:val="000000" w:themeColor="text1"/>
                <w:lang w:eastAsia="en-GB" w:bidi="en-GB"/>
              </w:rPr>
              <w:t xml:space="preserve"> </w:t>
            </w:r>
            <w:r w:rsidRPr="00D00B34">
              <w:rPr>
                <w:rFonts w:eastAsia="Arial"/>
                <w:lang w:eastAsia="en-GB" w:bidi="en-GB"/>
              </w:rPr>
              <w:t xml:space="preserve">insertion or removal of an intrauterine </w:t>
            </w:r>
            <w:r w:rsidR="009F6A78">
              <w:rPr>
                <w:rFonts w:eastAsia="Arial"/>
                <w:lang w:eastAsia="en-GB" w:bidi="en-GB"/>
              </w:rPr>
              <w:t xml:space="preserve">device </w:t>
            </w:r>
            <w:r w:rsidRPr="00D00B34">
              <w:rPr>
                <w:rFonts w:eastAsia="Arial"/>
                <w:lang w:eastAsia="en-GB" w:bidi="en-GB"/>
              </w:rPr>
              <w:t>(IU</w:t>
            </w:r>
            <w:r w:rsidR="009F6A78">
              <w:rPr>
                <w:rFonts w:eastAsia="Arial"/>
                <w:lang w:eastAsia="en-GB" w:bidi="en-GB"/>
              </w:rPr>
              <w:t>D</w:t>
            </w:r>
            <w:r w:rsidRPr="00D00B34">
              <w:rPr>
                <w:rFonts w:eastAsia="Arial"/>
                <w:lang w:eastAsia="en-GB" w:bidi="en-GB"/>
              </w:rPr>
              <w:t>).</w:t>
            </w:r>
          </w:p>
        </w:tc>
      </w:tr>
      <w:tr w:rsidR="0026613D" w:rsidRPr="00D00B34" w14:paraId="7AA2345E" w14:textId="77777777" w:rsidTr="00F900CD">
        <w:tc>
          <w:tcPr>
            <w:tcW w:w="2949" w:type="dxa"/>
          </w:tcPr>
          <w:p w14:paraId="055D710B" w14:textId="77777777" w:rsidR="0026613D" w:rsidRPr="00FD6567" w:rsidRDefault="0026613D" w:rsidP="00F900CD">
            <w:pPr>
              <w:rPr>
                <w:rStyle w:val="TableHeaderColumn"/>
                <w:sz w:val="24"/>
              </w:rPr>
            </w:pPr>
            <w:r w:rsidRPr="00FD6567">
              <w:rPr>
                <w:rStyle w:val="TableHeaderColumn"/>
                <w:rFonts w:eastAsiaTheme="minorHAnsi"/>
                <w:sz w:val="24"/>
                <w:szCs w:val="22"/>
              </w:rPr>
              <w:t>Individuals excluded</w:t>
            </w:r>
          </w:p>
        </w:tc>
        <w:tc>
          <w:tcPr>
            <w:tcW w:w="6067" w:type="dxa"/>
          </w:tcPr>
          <w:p w14:paraId="6CC673CF" w14:textId="77777777" w:rsidR="0026613D" w:rsidRPr="00D00B34" w:rsidRDefault="0026613D" w:rsidP="002768B9">
            <w:pPr>
              <w:pStyle w:val="Tabletext"/>
              <w:numPr>
                <w:ilvl w:val="0"/>
                <w:numId w:val="23"/>
              </w:numPr>
              <w:rPr>
                <w:rFonts w:eastAsia="Arial"/>
                <w:lang w:eastAsia="en-GB" w:bidi="en-GB"/>
              </w:rPr>
            </w:pPr>
            <w:r w:rsidRPr="00D00B34">
              <w:rPr>
                <w:rFonts w:eastAsia="Arial"/>
                <w:lang w:eastAsia="en-GB" w:bidi="en-GB"/>
              </w:rPr>
              <w:t>Consent not given</w:t>
            </w:r>
          </w:p>
          <w:p w14:paraId="1455AA9D" w14:textId="348871A4" w:rsidR="0026613D" w:rsidRPr="00D00B34" w:rsidRDefault="0026613D" w:rsidP="002768B9">
            <w:pPr>
              <w:pStyle w:val="Tabletext"/>
              <w:numPr>
                <w:ilvl w:val="0"/>
                <w:numId w:val="23"/>
              </w:numPr>
              <w:rPr>
                <w:rFonts w:eastAsia="Arial"/>
                <w:lang w:eastAsia="en-GB" w:bidi="en-GB"/>
              </w:rPr>
            </w:pPr>
            <w:r w:rsidRPr="00D00B34">
              <w:rPr>
                <w:rFonts w:eastAsia="Arial"/>
                <w:lang w:eastAsia="en-GB" w:bidi="en-GB"/>
              </w:rPr>
              <w:t xml:space="preserve">Hypersensitivity to any of the ingredients of the preparation (see SPC </w:t>
            </w:r>
            <w:r w:rsidR="00D75C8A">
              <w:rPr>
                <w:rFonts w:eastAsia="Arial"/>
                <w:lang w:eastAsia="en-GB" w:bidi="en-GB"/>
              </w:rPr>
              <w:t xml:space="preserve">on the </w:t>
            </w:r>
            <w:hyperlink r:id="rId14" w:history="1">
              <w:r w:rsidR="00D75C8A" w:rsidRPr="00D65648">
                <w:rPr>
                  <w:rStyle w:val="Hyperlink"/>
                  <w:rFonts w:eastAsia="Arial"/>
                  <w:lang w:eastAsia="en-GB" w:bidi="en-GB"/>
                </w:rPr>
                <w:t>electronic</w:t>
              </w:r>
              <w:r w:rsidR="00D75C8A" w:rsidRPr="00D75C8A">
                <w:rPr>
                  <w:rStyle w:val="Hyperlink"/>
                  <w:rFonts w:eastAsia="Arial"/>
                  <w:sz w:val="22"/>
                  <w:lang w:eastAsia="en-GB" w:bidi="en-GB"/>
                </w:rPr>
                <w:t xml:space="preserve"> </w:t>
              </w:r>
              <w:r w:rsidR="00D75C8A" w:rsidRPr="00D75C8A">
                <w:rPr>
                  <w:rStyle w:val="Hyperlink"/>
                  <w:rFonts w:eastAsia="Arial"/>
                  <w:lang w:eastAsia="en-GB" w:bidi="en-GB"/>
                </w:rPr>
                <w:t>medicines compendium</w:t>
              </w:r>
            </w:hyperlink>
            <w:r w:rsidRPr="00D00B34">
              <w:rPr>
                <w:rFonts w:eastAsia="Arial"/>
                <w:lang w:eastAsia="en-GB" w:bidi="en-GB"/>
              </w:rPr>
              <w:t>)</w:t>
            </w:r>
          </w:p>
          <w:p w14:paraId="357EF76B" w14:textId="77777777" w:rsidR="0026613D" w:rsidRPr="00D00B34" w:rsidRDefault="0026613D" w:rsidP="002768B9">
            <w:pPr>
              <w:pStyle w:val="Tabletext"/>
              <w:numPr>
                <w:ilvl w:val="0"/>
                <w:numId w:val="23"/>
              </w:numPr>
              <w:rPr>
                <w:rFonts w:eastAsia="Arial"/>
                <w:lang w:eastAsia="en-GB" w:bidi="en-GB"/>
              </w:rPr>
            </w:pPr>
            <w:r w:rsidRPr="00D00B34">
              <w:rPr>
                <w:rFonts w:eastAsia="Arial"/>
                <w:lang w:eastAsia="en-GB" w:bidi="en-GB"/>
              </w:rPr>
              <w:t>Severe cervical ectropion</w:t>
            </w:r>
          </w:p>
          <w:p w14:paraId="62E6880E" w14:textId="77777777" w:rsidR="0026613D" w:rsidRPr="00D00B34" w:rsidRDefault="0026613D" w:rsidP="002768B9">
            <w:pPr>
              <w:pStyle w:val="Tabletext"/>
              <w:numPr>
                <w:ilvl w:val="0"/>
                <w:numId w:val="23"/>
              </w:numPr>
              <w:rPr>
                <w:rFonts w:eastAsia="Arial"/>
                <w:lang w:eastAsia="en-GB" w:bidi="en-GB"/>
              </w:rPr>
            </w:pPr>
            <w:r w:rsidRPr="00D00B34">
              <w:rPr>
                <w:rFonts w:eastAsia="Arial"/>
                <w:lang w:eastAsia="en-GB" w:bidi="en-GB"/>
              </w:rPr>
              <w:t>Individual concurrently receiving/using any other local anaesthetic or agents structurally related to amide-type local anaesthetic e.g. antiarrhythmic drugs such as mexiletine</w:t>
            </w:r>
          </w:p>
          <w:p w14:paraId="40FE662A" w14:textId="77777777" w:rsidR="0026613D" w:rsidRPr="00D00B34" w:rsidRDefault="0026613D" w:rsidP="002768B9">
            <w:pPr>
              <w:pStyle w:val="Tabletext"/>
              <w:numPr>
                <w:ilvl w:val="0"/>
                <w:numId w:val="23"/>
              </w:numPr>
              <w:rPr>
                <w:rFonts w:eastAsia="Arial"/>
                <w:lang w:eastAsia="en-GB" w:bidi="en-GB"/>
              </w:rPr>
            </w:pPr>
            <w:r w:rsidRPr="00D00B34">
              <w:rPr>
                <w:rFonts w:eastAsia="Arial"/>
                <w:lang w:eastAsia="en-GB" w:bidi="en-GB"/>
              </w:rPr>
              <w:t>Any open wounds affecting the application area or the immediate vicinity</w:t>
            </w:r>
          </w:p>
        </w:tc>
      </w:tr>
      <w:tr w:rsidR="0026613D" w:rsidRPr="00D00B34" w14:paraId="26C43842" w14:textId="77777777" w:rsidTr="00F900CD">
        <w:tc>
          <w:tcPr>
            <w:tcW w:w="2949" w:type="dxa"/>
          </w:tcPr>
          <w:p w14:paraId="3BBFF58E" w14:textId="77777777" w:rsidR="0026613D" w:rsidRPr="00FD6567" w:rsidRDefault="0026613D" w:rsidP="00F900CD">
            <w:pPr>
              <w:rPr>
                <w:rStyle w:val="TableHeaderColumn"/>
                <w:sz w:val="24"/>
              </w:rPr>
            </w:pPr>
            <w:r w:rsidRPr="00FD6567">
              <w:rPr>
                <w:rStyle w:val="TableHeaderColumn"/>
                <w:rFonts w:eastAsiaTheme="minorHAnsi"/>
                <w:sz w:val="24"/>
                <w:szCs w:val="22"/>
              </w:rPr>
              <w:t xml:space="preserve">Cautions – monitor individual closely for adverse effects </w:t>
            </w:r>
          </w:p>
        </w:tc>
        <w:tc>
          <w:tcPr>
            <w:tcW w:w="6067" w:type="dxa"/>
          </w:tcPr>
          <w:p w14:paraId="4E3C28B8" w14:textId="77777777" w:rsidR="0026613D" w:rsidRPr="00D00B34" w:rsidRDefault="0026613D" w:rsidP="002768B9">
            <w:pPr>
              <w:pStyle w:val="Tabletext"/>
              <w:numPr>
                <w:ilvl w:val="0"/>
                <w:numId w:val="24"/>
              </w:numPr>
              <w:rPr>
                <w:rFonts w:eastAsia="Arial"/>
                <w:lang w:eastAsia="en-GB" w:bidi="en-GB"/>
              </w:rPr>
            </w:pPr>
            <w:r w:rsidRPr="00D00B34">
              <w:rPr>
                <w:rFonts w:eastAsia="Arial"/>
                <w:lang w:eastAsia="en-GB" w:bidi="en-GB"/>
              </w:rPr>
              <w:t>Known epilepsy.</w:t>
            </w:r>
          </w:p>
          <w:p w14:paraId="74F2F667" w14:textId="77777777" w:rsidR="0026613D" w:rsidRPr="00D00B34" w:rsidRDefault="0026613D" w:rsidP="002768B9">
            <w:pPr>
              <w:pStyle w:val="Tabletext"/>
              <w:numPr>
                <w:ilvl w:val="0"/>
                <w:numId w:val="24"/>
              </w:numPr>
              <w:rPr>
                <w:rFonts w:eastAsia="Arial"/>
                <w:lang w:eastAsia="en-GB" w:bidi="en-GB"/>
              </w:rPr>
            </w:pPr>
            <w:r w:rsidRPr="00D00B34">
              <w:rPr>
                <w:rFonts w:eastAsia="Arial"/>
                <w:lang w:eastAsia="en-GB" w:bidi="en-GB"/>
              </w:rPr>
              <w:t>Known cardiovascular disease and/or heart failure.</w:t>
            </w:r>
          </w:p>
          <w:p w14:paraId="27E3CC46" w14:textId="77777777" w:rsidR="0026613D" w:rsidRPr="00D00B34" w:rsidRDefault="0026613D" w:rsidP="002768B9">
            <w:pPr>
              <w:pStyle w:val="Tabletext"/>
              <w:numPr>
                <w:ilvl w:val="0"/>
                <w:numId w:val="24"/>
              </w:numPr>
              <w:rPr>
                <w:rFonts w:eastAsia="Arial"/>
                <w:lang w:eastAsia="en-GB" w:bidi="en-GB"/>
              </w:rPr>
            </w:pPr>
            <w:r w:rsidRPr="00D00B34">
              <w:rPr>
                <w:rFonts w:eastAsia="Arial"/>
                <w:lang w:eastAsia="en-GB" w:bidi="en-GB"/>
              </w:rPr>
              <w:t>Known impaired cardiac conduction or bradycardia.</w:t>
            </w:r>
          </w:p>
          <w:p w14:paraId="692060D6" w14:textId="77777777" w:rsidR="0026613D" w:rsidRPr="00D00B34" w:rsidRDefault="0026613D" w:rsidP="002768B9">
            <w:pPr>
              <w:pStyle w:val="Tabletext"/>
              <w:numPr>
                <w:ilvl w:val="0"/>
                <w:numId w:val="24"/>
              </w:numPr>
              <w:rPr>
                <w:rFonts w:eastAsia="Arial"/>
                <w:lang w:eastAsia="en-GB" w:bidi="en-GB"/>
              </w:rPr>
            </w:pPr>
            <w:r w:rsidRPr="00D00B34">
              <w:rPr>
                <w:rFonts w:eastAsia="Arial"/>
                <w:lang w:eastAsia="en-GB" w:bidi="en-GB"/>
              </w:rPr>
              <w:t>Known severe renal impairment.</w:t>
            </w:r>
          </w:p>
          <w:p w14:paraId="1A2FCF8E" w14:textId="77777777" w:rsidR="0026613D" w:rsidRPr="00D00B34" w:rsidRDefault="0026613D" w:rsidP="002768B9">
            <w:pPr>
              <w:pStyle w:val="Tabletext"/>
              <w:numPr>
                <w:ilvl w:val="0"/>
                <w:numId w:val="24"/>
              </w:numPr>
              <w:rPr>
                <w:rFonts w:eastAsia="Arial"/>
                <w:lang w:eastAsia="en-GB" w:bidi="en-GB"/>
              </w:rPr>
            </w:pPr>
            <w:r w:rsidRPr="00D00B34">
              <w:rPr>
                <w:rFonts w:eastAsia="Arial"/>
                <w:lang w:eastAsia="en-GB" w:bidi="en-GB"/>
              </w:rPr>
              <w:t>Known hepatic impairment.</w:t>
            </w:r>
          </w:p>
          <w:p w14:paraId="373A3DF3" w14:textId="77777777" w:rsidR="0026613D" w:rsidRPr="00D00B34" w:rsidRDefault="0026613D" w:rsidP="002768B9">
            <w:pPr>
              <w:pStyle w:val="Tabletext"/>
              <w:numPr>
                <w:ilvl w:val="0"/>
                <w:numId w:val="24"/>
              </w:numPr>
              <w:rPr>
                <w:rFonts w:eastAsia="Arial"/>
                <w:lang w:eastAsia="en-GB" w:bidi="en-GB"/>
              </w:rPr>
            </w:pPr>
            <w:r w:rsidRPr="00D00B34">
              <w:rPr>
                <w:rFonts w:eastAsia="Arial"/>
                <w:lang w:eastAsia="en-GB" w:bidi="en-GB"/>
              </w:rPr>
              <w:t>Known porphyria.</w:t>
            </w:r>
          </w:p>
          <w:p w14:paraId="50675211" w14:textId="77777777" w:rsidR="0026613D" w:rsidRPr="00D00B34" w:rsidRDefault="0026613D" w:rsidP="002768B9">
            <w:pPr>
              <w:pStyle w:val="Tabletext"/>
              <w:numPr>
                <w:ilvl w:val="0"/>
                <w:numId w:val="24"/>
              </w:numPr>
              <w:rPr>
                <w:rFonts w:eastAsia="Arial"/>
                <w:lang w:eastAsia="en-GB" w:bidi="en-GB"/>
              </w:rPr>
            </w:pPr>
            <w:r w:rsidRPr="00D00B34">
              <w:rPr>
                <w:rFonts w:eastAsia="Arial"/>
                <w:lang w:eastAsia="en-GB" w:bidi="en-GB"/>
              </w:rPr>
              <w:t>Individuals currently taking antiarrhythmic drugs class III (e.g. amiodarone)</w:t>
            </w:r>
          </w:p>
        </w:tc>
      </w:tr>
      <w:tr w:rsidR="0026613D" w:rsidRPr="00D00B34" w14:paraId="0B9BC1FC" w14:textId="77777777" w:rsidTr="00F900CD">
        <w:tc>
          <w:tcPr>
            <w:tcW w:w="2949" w:type="dxa"/>
          </w:tcPr>
          <w:p w14:paraId="50AF0CE6" w14:textId="77777777" w:rsidR="0026613D" w:rsidRPr="00FD6567" w:rsidRDefault="0026613D" w:rsidP="00F900CD">
            <w:pPr>
              <w:rPr>
                <w:rStyle w:val="TableHeaderColumn"/>
                <w:sz w:val="24"/>
              </w:rPr>
            </w:pPr>
            <w:r w:rsidRPr="00FD6567">
              <w:rPr>
                <w:rStyle w:val="TableHeaderColumn"/>
                <w:rFonts w:eastAsiaTheme="minorHAnsi"/>
                <w:sz w:val="24"/>
                <w:szCs w:val="22"/>
              </w:rPr>
              <w:t>Action for individuals excluded</w:t>
            </w:r>
          </w:p>
        </w:tc>
        <w:tc>
          <w:tcPr>
            <w:tcW w:w="6067" w:type="dxa"/>
          </w:tcPr>
          <w:p w14:paraId="668EB3FC" w14:textId="77777777" w:rsidR="0026613D" w:rsidRPr="00D00B34" w:rsidRDefault="0026613D" w:rsidP="00FD6567">
            <w:pPr>
              <w:pStyle w:val="Tabletext"/>
              <w:rPr>
                <w:rFonts w:eastAsia="Arial"/>
                <w:highlight w:val="yellow"/>
                <w:lang w:eastAsia="en-GB" w:bidi="en-GB"/>
              </w:rPr>
            </w:pPr>
            <w:r w:rsidRPr="00866B2D">
              <w:rPr>
                <w:rFonts w:eastAsia="Arial"/>
                <w:highlight w:val="cyan"/>
                <w:lang w:eastAsia="en-GB" w:bidi="en-GB"/>
              </w:rPr>
              <w:t>[</w:t>
            </w:r>
            <w:r w:rsidRPr="001F21DB">
              <w:rPr>
                <w:rFonts w:eastAsia="Arial"/>
                <w:highlight w:val="cyan"/>
                <w:lang w:eastAsia="en-GB" w:bidi="en-GB"/>
              </w:rPr>
              <w:t>Complete with local pathway]</w:t>
            </w:r>
          </w:p>
        </w:tc>
      </w:tr>
      <w:tr w:rsidR="0026613D" w:rsidRPr="00D00B34" w14:paraId="60FD89A0" w14:textId="77777777" w:rsidTr="00F900CD">
        <w:tc>
          <w:tcPr>
            <w:tcW w:w="2949" w:type="dxa"/>
          </w:tcPr>
          <w:p w14:paraId="716DA88D" w14:textId="77777777" w:rsidR="0026613D" w:rsidRPr="00FD6567" w:rsidRDefault="0026613D" w:rsidP="00F900CD">
            <w:pPr>
              <w:rPr>
                <w:rStyle w:val="TableHeaderColumn"/>
                <w:sz w:val="24"/>
              </w:rPr>
            </w:pPr>
            <w:r w:rsidRPr="00FD6567">
              <w:rPr>
                <w:rStyle w:val="TableHeaderColumn"/>
                <w:rFonts w:eastAsiaTheme="minorHAnsi"/>
                <w:sz w:val="24"/>
                <w:szCs w:val="22"/>
              </w:rPr>
              <w:lastRenderedPageBreak/>
              <w:t xml:space="preserve">Action if individual declines treatment </w:t>
            </w:r>
          </w:p>
        </w:tc>
        <w:tc>
          <w:tcPr>
            <w:tcW w:w="6067" w:type="dxa"/>
          </w:tcPr>
          <w:p w14:paraId="16E8186B" w14:textId="77777777" w:rsidR="0026613D" w:rsidRPr="001F21DB" w:rsidRDefault="0026613D" w:rsidP="00FD6567">
            <w:pPr>
              <w:pStyle w:val="Tabletext"/>
              <w:rPr>
                <w:b/>
                <w:highlight w:val="cyan"/>
              </w:rPr>
            </w:pPr>
            <w:r w:rsidRPr="001F21DB">
              <w:rPr>
                <w:rFonts w:eastAsia="Arial"/>
                <w:highlight w:val="cyan"/>
                <w:lang w:eastAsia="en-GB" w:bidi="en-GB"/>
              </w:rPr>
              <w:t>[Complete with local pathway]</w:t>
            </w:r>
          </w:p>
        </w:tc>
      </w:tr>
    </w:tbl>
    <w:p w14:paraId="2116E691" w14:textId="77777777" w:rsidR="0026613D" w:rsidRDefault="0026613D" w:rsidP="005A45CB">
      <w:pPr>
        <w:rPr>
          <w:lang w:val="en-US"/>
        </w:rPr>
      </w:pPr>
    </w:p>
    <w:p w14:paraId="684FC063" w14:textId="77777777" w:rsidR="000F1AD9" w:rsidRDefault="000F1AD9" w:rsidP="005A45CB">
      <w:pPr>
        <w:rPr>
          <w:lang w:val="en-US"/>
        </w:rPr>
      </w:pPr>
    </w:p>
    <w:p w14:paraId="21F489BE" w14:textId="6E728568" w:rsidR="0026613D" w:rsidRDefault="00FE097C" w:rsidP="00FD6567">
      <w:pPr>
        <w:pStyle w:val="Tabletitle"/>
      </w:pPr>
      <w:r w:rsidRPr="00D00B34">
        <w:rPr>
          <w:rFonts w:eastAsia="Arial"/>
          <w:lang w:eastAsia="en-GB" w:bidi="en-GB"/>
        </w:rPr>
        <w:t>3. Description of treatment</w:t>
      </w:r>
    </w:p>
    <w:tbl>
      <w:tblPr>
        <w:tblStyle w:val="TableGrid"/>
        <w:tblW w:w="0" w:type="auto"/>
        <w:tblLook w:val="04A0" w:firstRow="1" w:lastRow="0" w:firstColumn="1" w:lastColumn="0" w:noHBand="0" w:noVBand="1"/>
        <w:tblCaption w:val="Description of treatment table"/>
        <w:tblDescription w:val="Table listing: Medicine to be administered; Legal status;&#10;Dose schedule/administration advice; &#10;Maximum dosage to be administered under this protocol; Off label use; Storage ; Adverse effects; Management of and reporting procedure for adverse reactions; Overdose ; Record keeping&#10;"/>
      </w:tblPr>
      <w:tblGrid>
        <w:gridCol w:w="2977"/>
        <w:gridCol w:w="6039"/>
      </w:tblGrid>
      <w:tr w:rsidR="008351E1" w14:paraId="401897BF" w14:textId="77777777" w:rsidTr="00095899">
        <w:tc>
          <w:tcPr>
            <w:tcW w:w="2949" w:type="dxa"/>
          </w:tcPr>
          <w:bookmarkEnd w:id="0"/>
          <w:p w14:paraId="0DB479AC" w14:textId="77777777" w:rsidR="008351E1" w:rsidRPr="00FD6567" w:rsidRDefault="008351E1" w:rsidP="00095899">
            <w:pPr>
              <w:rPr>
                <w:rStyle w:val="TableHeaderColumn"/>
                <w:sz w:val="24"/>
              </w:rPr>
            </w:pPr>
            <w:r w:rsidRPr="00FD6567">
              <w:rPr>
                <w:rStyle w:val="TableHeaderColumn"/>
                <w:rFonts w:eastAsiaTheme="minorHAnsi"/>
                <w:sz w:val="24"/>
                <w:szCs w:val="22"/>
              </w:rPr>
              <w:t>Medicine to be administered</w:t>
            </w:r>
          </w:p>
        </w:tc>
        <w:tc>
          <w:tcPr>
            <w:tcW w:w="6067" w:type="dxa"/>
          </w:tcPr>
          <w:p w14:paraId="5FAC77CD" w14:textId="77777777" w:rsidR="008351E1" w:rsidRPr="00D00B34" w:rsidRDefault="00877F44" w:rsidP="00FD6567">
            <w:pPr>
              <w:pStyle w:val="Tabletext"/>
              <w:rPr>
                <w:rFonts w:eastAsia="Arial"/>
                <w:lang w:eastAsia="en-GB" w:bidi="en-GB"/>
              </w:rPr>
            </w:pPr>
            <w:r w:rsidRPr="00D00B34">
              <w:rPr>
                <w:rFonts w:eastAsia="Arial"/>
                <w:lang w:eastAsia="en-GB" w:bidi="en-GB"/>
              </w:rPr>
              <w:t xml:space="preserve">Lidocaine 10 mg/metered dose </w:t>
            </w:r>
            <w:r w:rsidR="00EF2684" w:rsidRPr="00D00B34">
              <w:rPr>
                <w:rFonts w:eastAsia="Arial"/>
                <w:lang w:eastAsia="en-GB" w:bidi="en-GB"/>
              </w:rPr>
              <w:t xml:space="preserve">per </w:t>
            </w:r>
            <w:r w:rsidRPr="00D00B34">
              <w:rPr>
                <w:rFonts w:eastAsia="Arial"/>
                <w:lang w:eastAsia="en-GB" w:bidi="en-GB"/>
              </w:rPr>
              <w:t>spray</w:t>
            </w:r>
          </w:p>
          <w:p w14:paraId="767CD5C7" w14:textId="77777777" w:rsidR="00EF2684" w:rsidRPr="00D00B34" w:rsidRDefault="00EF2684" w:rsidP="00FD6567">
            <w:pPr>
              <w:pStyle w:val="Tabletext"/>
              <w:rPr>
                <w:rFonts w:eastAsia="Arial"/>
                <w:lang w:eastAsia="en-GB" w:bidi="en-GB"/>
              </w:rPr>
            </w:pPr>
          </w:p>
          <w:p w14:paraId="2E22191F" w14:textId="77777777" w:rsidR="00EF2684" w:rsidRPr="00D00B34" w:rsidRDefault="00EF2684" w:rsidP="00FD6567">
            <w:pPr>
              <w:pStyle w:val="Tabletext"/>
              <w:rPr>
                <w:rFonts w:eastAsia="Arial"/>
                <w:lang w:eastAsia="en-GB" w:bidi="en-GB"/>
              </w:rPr>
            </w:pPr>
            <w:r w:rsidRPr="00D00B34">
              <w:rPr>
                <w:rFonts w:eastAsia="Arial"/>
                <w:lang w:eastAsia="en-GB" w:bidi="en-GB"/>
              </w:rPr>
              <w:t xml:space="preserve">The contents of each 50ml spray bottles are sufficient to provide approximately 500 sprays with a metering spray pump. </w:t>
            </w:r>
          </w:p>
          <w:p w14:paraId="6D2A8E67" w14:textId="77777777" w:rsidR="00EF2684" w:rsidRPr="00D00B34" w:rsidRDefault="00EF2684" w:rsidP="00FD6567">
            <w:pPr>
              <w:pStyle w:val="Tabletext"/>
              <w:rPr>
                <w:rFonts w:eastAsia="Arial"/>
                <w:lang w:eastAsia="en-GB" w:bidi="en-GB"/>
              </w:rPr>
            </w:pPr>
          </w:p>
          <w:p w14:paraId="14A604F3" w14:textId="77777777" w:rsidR="00EF2684" w:rsidRPr="00D00B34" w:rsidRDefault="00EF2684" w:rsidP="00FD6567">
            <w:pPr>
              <w:pStyle w:val="Tabletext"/>
              <w:rPr>
                <w:rFonts w:eastAsia="Arial"/>
                <w:lang w:eastAsia="en-GB" w:bidi="en-GB"/>
              </w:rPr>
            </w:pPr>
            <w:r w:rsidRPr="00D00B34">
              <w:rPr>
                <w:rFonts w:eastAsia="Arial"/>
                <w:lang w:eastAsia="en-GB" w:bidi="en-GB"/>
              </w:rPr>
              <w:t xml:space="preserve">Each depression of the metered spray pump delivers 10 mg lidocaine base.  </w:t>
            </w:r>
          </w:p>
        </w:tc>
      </w:tr>
      <w:tr w:rsidR="00DE005B" w14:paraId="7E72EC96" w14:textId="77777777" w:rsidTr="00095899">
        <w:tc>
          <w:tcPr>
            <w:tcW w:w="2949" w:type="dxa"/>
          </w:tcPr>
          <w:p w14:paraId="0A826071" w14:textId="77777777" w:rsidR="00DE005B" w:rsidRPr="00FD6567" w:rsidRDefault="00DE005B" w:rsidP="00095899">
            <w:pPr>
              <w:rPr>
                <w:rStyle w:val="TableHeaderColumn"/>
                <w:sz w:val="24"/>
              </w:rPr>
            </w:pPr>
            <w:r w:rsidRPr="00FD6567">
              <w:rPr>
                <w:rStyle w:val="TableHeaderColumn"/>
                <w:rFonts w:eastAsiaTheme="minorHAnsi"/>
                <w:sz w:val="24"/>
                <w:szCs w:val="22"/>
              </w:rPr>
              <w:t>Legal status</w:t>
            </w:r>
          </w:p>
        </w:tc>
        <w:tc>
          <w:tcPr>
            <w:tcW w:w="6067" w:type="dxa"/>
          </w:tcPr>
          <w:p w14:paraId="46BA91A9" w14:textId="77777777" w:rsidR="00DE005B" w:rsidRPr="00D00B34" w:rsidRDefault="00DE005B" w:rsidP="00FD6567">
            <w:pPr>
              <w:pStyle w:val="Tabletext"/>
              <w:rPr>
                <w:rFonts w:eastAsia="Arial"/>
                <w:lang w:eastAsia="en-GB" w:bidi="en-GB"/>
              </w:rPr>
            </w:pPr>
            <w:r w:rsidRPr="00D00B34">
              <w:rPr>
                <w:rFonts w:eastAsia="Arial"/>
                <w:lang w:eastAsia="en-GB" w:bidi="en-GB"/>
              </w:rPr>
              <w:t xml:space="preserve">Pharmacy Only (P) medicine </w:t>
            </w:r>
          </w:p>
        </w:tc>
      </w:tr>
      <w:tr w:rsidR="008351E1" w14:paraId="66DD4BCC" w14:textId="77777777" w:rsidTr="00095899">
        <w:tc>
          <w:tcPr>
            <w:tcW w:w="2949" w:type="dxa"/>
          </w:tcPr>
          <w:p w14:paraId="19EB41C9" w14:textId="598A1920" w:rsidR="008351E1" w:rsidRPr="00FD6567" w:rsidRDefault="008351E1" w:rsidP="00095899">
            <w:pPr>
              <w:rPr>
                <w:rStyle w:val="TableHeaderColumn"/>
                <w:sz w:val="24"/>
              </w:rPr>
            </w:pPr>
            <w:r w:rsidRPr="00FD6567">
              <w:rPr>
                <w:rStyle w:val="TableHeaderColumn"/>
                <w:rFonts w:eastAsiaTheme="minorHAnsi"/>
                <w:sz w:val="24"/>
                <w:szCs w:val="22"/>
              </w:rPr>
              <w:t>Dose schedule</w:t>
            </w:r>
            <w:r w:rsidR="00877F44" w:rsidRPr="00FD6567">
              <w:rPr>
                <w:rStyle w:val="TableHeaderColumn"/>
                <w:rFonts w:eastAsiaTheme="minorHAnsi"/>
                <w:sz w:val="24"/>
                <w:szCs w:val="22"/>
              </w:rPr>
              <w:t>/administration advice</w:t>
            </w:r>
            <w:r w:rsidR="005A45CB" w:rsidRPr="00FD6567">
              <w:rPr>
                <w:rStyle w:val="TableHeaderColumn"/>
                <w:rFonts w:eastAsiaTheme="minorHAnsi"/>
                <w:sz w:val="24"/>
                <w:szCs w:val="22"/>
              </w:rPr>
              <w:t xml:space="preserve"> </w:t>
            </w:r>
            <w:r w:rsidR="002768B9">
              <w:rPr>
                <w:rStyle w:val="TableHeaderColumn"/>
                <w:rFonts w:eastAsiaTheme="minorHAnsi"/>
                <w:sz w:val="24"/>
                <w:szCs w:val="22"/>
              </w:rPr>
              <w:t>[</w:t>
            </w:r>
            <w:r w:rsidR="005D42E4" w:rsidRPr="00FD6567">
              <w:rPr>
                <w:rStyle w:val="TableHeaderColumn"/>
                <w:rFonts w:eastAsiaTheme="minorHAnsi"/>
                <w:sz w:val="24"/>
                <w:szCs w:val="22"/>
                <w:highlight w:val="yellow"/>
              </w:rPr>
              <w:t>[</w:t>
            </w:r>
            <w:r w:rsidRPr="00FD6567">
              <w:rPr>
                <w:rStyle w:val="TableHeaderColumn"/>
                <w:rFonts w:eastAsiaTheme="minorHAnsi"/>
                <w:sz w:val="24"/>
                <w:szCs w:val="22"/>
                <w:highlight w:val="yellow"/>
              </w:rPr>
              <w:t>note</w:t>
            </w:r>
            <w:r w:rsidR="006F25CD" w:rsidRPr="00FD6567">
              <w:rPr>
                <w:rStyle w:val="TableHeaderColumn"/>
                <w:rFonts w:eastAsiaTheme="minorHAnsi"/>
                <w:sz w:val="24"/>
                <w:szCs w:val="22"/>
                <w:highlight w:val="yellow"/>
              </w:rPr>
              <w:t>:</w:t>
            </w:r>
            <w:r w:rsidRPr="00FD6567">
              <w:rPr>
                <w:rStyle w:val="TableHeaderColumn"/>
                <w:rFonts w:eastAsiaTheme="minorHAnsi"/>
                <w:sz w:val="24"/>
                <w:szCs w:val="22"/>
                <w:highlight w:val="yellow"/>
              </w:rPr>
              <w:t xml:space="preserve"> adapt to reflect local policy – schedule given as an example only</w:t>
            </w:r>
            <w:r w:rsidR="005D42E4" w:rsidRPr="00FD6567">
              <w:rPr>
                <w:rStyle w:val="TableHeaderColumn"/>
                <w:rFonts w:eastAsiaTheme="minorHAnsi"/>
                <w:sz w:val="24"/>
                <w:szCs w:val="22"/>
                <w:highlight w:val="yellow"/>
              </w:rPr>
              <w:t>]</w:t>
            </w:r>
            <w:r w:rsidR="002768B9">
              <w:rPr>
                <w:rStyle w:val="TableHeaderColumn"/>
                <w:rFonts w:eastAsiaTheme="minorHAnsi"/>
                <w:sz w:val="24"/>
                <w:szCs w:val="22"/>
                <w:highlight w:val="yellow"/>
              </w:rPr>
              <w:t>]</w:t>
            </w:r>
            <w:r w:rsidRPr="00FD6567">
              <w:rPr>
                <w:rStyle w:val="TableHeaderColumn"/>
                <w:rFonts w:eastAsiaTheme="minorHAnsi"/>
                <w:sz w:val="24"/>
                <w:szCs w:val="22"/>
                <w:highlight w:val="yellow"/>
              </w:rPr>
              <w:t>:</w:t>
            </w:r>
          </w:p>
        </w:tc>
        <w:tc>
          <w:tcPr>
            <w:tcW w:w="6067" w:type="dxa"/>
          </w:tcPr>
          <w:p w14:paraId="71478945" w14:textId="77777777" w:rsidR="00AD0DBC" w:rsidRPr="00D00B34" w:rsidRDefault="00877F44" w:rsidP="00FD6567">
            <w:pPr>
              <w:pStyle w:val="Tabletext"/>
              <w:rPr>
                <w:rFonts w:eastAsia="Arial"/>
                <w:lang w:eastAsia="en-GB" w:bidi="en-GB"/>
              </w:rPr>
            </w:pPr>
            <w:r w:rsidRPr="00D00B34">
              <w:rPr>
                <w:rFonts w:eastAsia="Arial"/>
                <w:lang w:eastAsia="en-GB" w:bidi="en-GB"/>
              </w:rPr>
              <w:t xml:space="preserve">Apply </w:t>
            </w:r>
            <w:r w:rsidR="00AD0DBC" w:rsidRPr="00D00B34">
              <w:rPr>
                <w:rFonts w:eastAsia="Arial"/>
                <w:lang w:eastAsia="en-GB" w:bidi="en-GB"/>
              </w:rPr>
              <w:t xml:space="preserve">4 </w:t>
            </w:r>
            <w:r w:rsidR="009A4D22" w:rsidRPr="00D00B34">
              <w:rPr>
                <w:rFonts w:eastAsia="Arial"/>
                <w:lang w:eastAsia="en-GB" w:bidi="en-GB"/>
              </w:rPr>
              <w:t>metered</w:t>
            </w:r>
            <w:r w:rsidRPr="00D00B34">
              <w:rPr>
                <w:rFonts w:eastAsia="Arial"/>
                <w:lang w:eastAsia="en-GB" w:bidi="en-GB"/>
              </w:rPr>
              <w:t xml:space="preserve"> dose </w:t>
            </w:r>
            <w:r w:rsidR="00C926C0" w:rsidRPr="00D00B34">
              <w:rPr>
                <w:rFonts w:eastAsia="Arial"/>
                <w:lang w:eastAsia="en-GB" w:bidi="en-GB"/>
              </w:rPr>
              <w:t>sprays</w:t>
            </w:r>
            <w:r w:rsidR="00EF2684" w:rsidRPr="00D00B34">
              <w:rPr>
                <w:rFonts w:eastAsia="Arial"/>
                <w:lang w:eastAsia="en-GB" w:bidi="en-GB"/>
              </w:rPr>
              <w:t xml:space="preserve"> (total dose 40mg)</w:t>
            </w:r>
            <w:r w:rsidR="00C926C0" w:rsidRPr="00D00B34">
              <w:rPr>
                <w:rFonts w:eastAsia="Arial"/>
                <w:lang w:eastAsia="en-GB" w:bidi="en-GB"/>
              </w:rPr>
              <w:t xml:space="preserve"> to the surface of the cervix and external </w:t>
            </w:r>
            <w:proofErr w:type="spellStart"/>
            <w:r w:rsidR="00C926C0" w:rsidRPr="00D00B34">
              <w:rPr>
                <w:rFonts w:eastAsia="Arial"/>
                <w:lang w:eastAsia="en-GB" w:bidi="en-GB"/>
              </w:rPr>
              <w:t>os</w:t>
            </w:r>
            <w:proofErr w:type="spellEnd"/>
            <w:r w:rsidR="00C926C0" w:rsidRPr="00D00B34">
              <w:rPr>
                <w:rFonts w:eastAsia="Arial"/>
                <w:lang w:eastAsia="en-GB" w:bidi="en-GB"/>
              </w:rPr>
              <w:t xml:space="preserve"> </w:t>
            </w:r>
            <w:r w:rsidR="00AD0DBC" w:rsidRPr="00D00B34">
              <w:rPr>
                <w:rFonts w:eastAsia="Arial"/>
                <w:lang w:eastAsia="en-GB" w:bidi="en-GB"/>
              </w:rPr>
              <w:t xml:space="preserve">and wait 3 minutes after application </w:t>
            </w:r>
          </w:p>
          <w:p w14:paraId="606A0052" w14:textId="77777777" w:rsidR="00AD0DBC" w:rsidRPr="00D00B34" w:rsidRDefault="00AD0DBC" w:rsidP="00FD6567">
            <w:pPr>
              <w:pStyle w:val="Tabletext"/>
              <w:rPr>
                <w:rFonts w:eastAsia="Arial"/>
                <w:lang w:eastAsia="en-GB" w:bidi="en-GB"/>
              </w:rPr>
            </w:pPr>
          </w:p>
          <w:p w14:paraId="5D9B2520" w14:textId="77777777" w:rsidR="00877F44" w:rsidRPr="00D00B34" w:rsidRDefault="00877F44" w:rsidP="00FD6567">
            <w:pPr>
              <w:pStyle w:val="Tabletext"/>
              <w:rPr>
                <w:rFonts w:eastAsia="Arial"/>
                <w:lang w:eastAsia="en-GB" w:bidi="en-GB"/>
              </w:rPr>
            </w:pPr>
            <w:r w:rsidRPr="00D00B34">
              <w:rPr>
                <w:rFonts w:eastAsia="Arial"/>
                <w:lang w:eastAsia="en-GB" w:bidi="en-GB"/>
              </w:rPr>
              <w:t>As with any local anaesthetic, reactions and complications are best averted by employing the minimal effective dosage</w:t>
            </w:r>
            <w:r w:rsidR="009A4D22" w:rsidRPr="00D00B34">
              <w:rPr>
                <w:rFonts w:eastAsia="Arial"/>
                <w:lang w:eastAsia="en-GB" w:bidi="en-GB"/>
              </w:rPr>
              <w:t xml:space="preserve"> (see Overdose section below)</w:t>
            </w:r>
            <w:r w:rsidRPr="00D00B34">
              <w:rPr>
                <w:rFonts w:eastAsia="Arial"/>
                <w:lang w:eastAsia="en-GB" w:bidi="en-GB"/>
              </w:rPr>
              <w:t xml:space="preserve">. </w:t>
            </w:r>
          </w:p>
          <w:p w14:paraId="23EC2693" w14:textId="77777777" w:rsidR="00877F44" w:rsidRPr="00D00B34" w:rsidRDefault="00877F44" w:rsidP="00FD6567">
            <w:pPr>
              <w:pStyle w:val="Tabletext"/>
              <w:rPr>
                <w:rFonts w:eastAsia="Arial"/>
                <w:lang w:eastAsia="en-GB" w:bidi="en-GB"/>
              </w:rPr>
            </w:pPr>
          </w:p>
          <w:p w14:paraId="3590A919" w14:textId="77777777" w:rsidR="008351E1" w:rsidRPr="00D00B34" w:rsidRDefault="00877F44" w:rsidP="00FD6567">
            <w:pPr>
              <w:pStyle w:val="Tabletext"/>
              <w:rPr>
                <w:rFonts w:eastAsia="Arial"/>
                <w:lang w:eastAsia="en-GB" w:bidi="en-GB"/>
              </w:rPr>
            </w:pPr>
            <w:r w:rsidRPr="00D00B34">
              <w:rPr>
                <w:rFonts w:eastAsia="Arial"/>
                <w:lang w:eastAsia="en-GB" w:bidi="en-GB"/>
              </w:rPr>
              <w:t xml:space="preserve">It is unnecessary to dry the site prior to application. </w:t>
            </w:r>
          </w:p>
          <w:p w14:paraId="09B3F9CE" w14:textId="77777777" w:rsidR="009A4D22" w:rsidRPr="00D00B34" w:rsidRDefault="009A4D22" w:rsidP="00FD6567">
            <w:pPr>
              <w:pStyle w:val="Tabletext"/>
              <w:rPr>
                <w:rFonts w:eastAsia="Arial"/>
                <w:lang w:eastAsia="en-GB" w:bidi="en-GB"/>
              </w:rPr>
            </w:pPr>
          </w:p>
          <w:p w14:paraId="5882FF85" w14:textId="77777777" w:rsidR="009A4D22" w:rsidRPr="00D00B34" w:rsidRDefault="009A4D22" w:rsidP="00FD6567">
            <w:pPr>
              <w:pStyle w:val="Tabletext"/>
              <w:rPr>
                <w:rFonts w:eastAsia="Arial"/>
                <w:lang w:eastAsia="en-GB" w:bidi="en-GB"/>
              </w:rPr>
            </w:pPr>
            <w:r w:rsidRPr="00D00B34">
              <w:rPr>
                <w:rFonts w:eastAsia="Arial"/>
                <w:lang w:eastAsia="en-GB" w:bidi="en-GB"/>
              </w:rPr>
              <w:t>Lidocaine spray is administered using the supplied nozzle</w:t>
            </w:r>
            <w:r w:rsidR="00EF2684" w:rsidRPr="00D00B34">
              <w:rPr>
                <w:rFonts w:eastAsia="Arial"/>
                <w:lang w:eastAsia="en-GB" w:bidi="en-GB"/>
              </w:rPr>
              <w:t>s</w:t>
            </w:r>
            <w:r w:rsidRPr="00D00B34">
              <w:rPr>
                <w:rFonts w:eastAsia="Arial"/>
                <w:lang w:eastAsia="en-GB" w:bidi="en-GB"/>
              </w:rPr>
              <w:t>. The spray nozzle is bent to ensure correct spray function. Do not try to alter the shape as this could affect its performance.  The nozzle must not be shortened, as it will affect the spray function.</w:t>
            </w:r>
          </w:p>
          <w:p w14:paraId="3491672F" w14:textId="77777777" w:rsidR="009A4D22" w:rsidRPr="00D00B34" w:rsidRDefault="009A4D22" w:rsidP="00FD6567">
            <w:pPr>
              <w:pStyle w:val="Tabletext"/>
              <w:rPr>
                <w:rFonts w:eastAsia="Arial"/>
                <w:lang w:eastAsia="en-GB" w:bidi="en-GB"/>
              </w:rPr>
            </w:pPr>
          </w:p>
          <w:p w14:paraId="4930560F" w14:textId="2E2E8654" w:rsidR="00D9064C" w:rsidRPr="00A932EC" w:rsidRDefault="009A4D22" w:rsidP="00FD6567">
            <w:pPr>
              <w:pStyle w:val="Tabletext"/>
              <w:rPr>
                <w:rFonts w:eastAsia="Arial"/>
                <w:lang w:eastAsia="en-GB" w:bidi="en-GB"/>
              </w:rPr>
            </w:pPr>
            <w:r w:rsidRPr="00A932EC">
              <w:rPr>
                <w:rFonts w:eastAsia="Arial"/>
                <w:b/>
                <w:bCs/>
                <w:lang w:eastAsia="en-GB" w:bidi="en-GB"/>
              </w:rPr>
              <w:t>Nozzles are non-sterile single patient single use</w:t>
            </w:r>
            <w:r w:rsidRPr="00A932EC">
              <w:rPr>
                <w:rFonts w:eastAsia="Arial"/>
                <w:lang w:eastAsia="en-GB" w:bidi="en-GB"/>
              </w:rPr>
              <w:t xml:space="preserve"> and </w:t>
            </w:r>
            <w:r w:rsidR="005D42E4" w:rsidRPr="00866B2D">
              <w:rPr>
                <w:rFonts w:eastAsia="Arial"/>
                <w:highlight w:val="cyan"/>
                <w:lang w:eastAsia="en-GB" w:bidi="en-GB"/>
              </w:rPr>
              <w:t>[</w:t>
            </w:r>
            <w:r w:rsidRPr="00846AE1">
              <w:rPr>
                <w:rFonts w:eastAsia="Arial"/>
                <w:highlight w:val="cyan"/>
                <w:lang w:eastAsia="en-GB" w:bidi="en-GB"/>
              </w:rPr>
              <w:t>local procedures</w:t>
            </w:r>
            <w:r w:rsidR="005D42E4" w:rsidRPr="00846AE1">
              <w:rPr>
                <w:rFonts w:eastAsia="Arial"/>
                <w:highlight w:val="cyan"/>
                <w:lang w:eastAsia="en-GB" w:bidi="en-GB"/>
              </w:rPr>
              <w:t>]</w:t>
            </w:r>
            <w:r w:rsidR="00467E00" w:rsidRPr="00A932EC">
              <w:rPr>
                <w:rFonts w:eastAsia="Arial"/>
                <w:color w:val="FF0000"/>
                <w:lang w:eastAsia="en-GB" w:bidi="en-GB"/>
              </w:rPr>
              <w:t xml:space="preserve"> </w:t>
            </w:r>
            <w:r w:rsidRPr="00A932EC">
              <w:rPr>
                <w:rFonts w:eastAsia="Arial"/>
                <w:lang w:eastAsia="en-GB" w:bidi="en-GB"/>
              </w:rPr>
              <w:t xml:space="preserve">should be adhered to in order to prevent cross contamination – </w:t>
            </w:r>
            <w:r w:rsidR="00D9064C" w:rsidRPr="00A932EC">
              <w:rPr>
                <w:rFonts w:eastAsia="Arial"/>
                <w:lang w:eastAsia="en-GB" w:bidi="en-GB"/>
              </w:rPr>
              <w:t xml:space="preserve">refer to the product’s </w:t>
            </w:r>
            <w:hyperlink r:id="rId15" w:history="1">
              <w:r w:rsidRPr="00A932EC">
                <w:rPr>
                  <w:rStyle w:val="Hyperlink"/>
                  <w:rFonts w:eastAsia="Arial" w:cs="Arial"/>
                  <w:lang w:eastAsia="en-GB" w:bidi="en-GB"/>
                </w:rPr>
                <w:t xml:space="preserve">Risk </w:t>
              </w:r>
              <w:proofErr w:type="spellStart"/>
              <w:r w:rsidRPr="00A932EC">
                <w:rPr>
                  <w:rStyle w:val="Hyperlink"/>
                  <w:rFonts w:eastAsia="Arial" w:cs="Arial"/>
                  <w:lang w:eastAsia="en-GB" w:bidi="en-GB"/>
                </w:rPr>
                <w:t>Minimisation</w:t>
              </w:r>
              <w:proofErr w:type="spellEnd"/>
              <w:r w:rsidRPr="00A932EC">
                <w:rPr>
                  <w:rStyle w:val="Hyperlink"/>
                  <w:rFonts w:eastAsia="Arial" w:cs="Arial"/>
                  <w:lang w:eastAsia="en-GB" w:bidi="en-GB"/>
                </w:rPr>
                <w:t xml:space="preserve"> Materials</w:t>
              </w:r>
              <w:r w:rsidR="00B47A23" w:rsidRPr="00A932EC">
                <w:rPr>
                  <w:rStyle w:val="Hyperlink"/>
                </w:rPr>
                <w:t xml:space="preserve"> on the electronic medicines compendium</w:t>
              </w:r>
            </w:hyperlink>
            <w:r w:rsidRPr="00A932EC">
              <w:rPr>
                <w:rFonts w:eastAsia="Arial"/>
                <w:lang w:eastAsia="en-GB" w:bidi="en-GB"/>
              </w:rPr>
              <w:t xml:space="preserve"> to help reduce the risk</w:t>
            </w:r>
            <w:r w:rsidR="00D9064C" w:rsidRPr="00A932EC">
              <w:rPr>
                <w:rFonts w:eastAsia="Arial"/>
                <w:lang w:eastAsia="en-GB" w:bidi="en-GB"/>
              </w:rPr>
              <w:t>s</w:t>
            </w:r>
            <w:r w:rsidRPr="00A932EC">
              <w:rPr>
                <w:rFonts w:eastAsia="Arial"/>
                <w:lang w:eastAsia="en-GB" w:bidi="en-GB"/>
              </w:rPr>
              <w:t xml:space="preserve"> associated with using this medicine.</w:t>
            </w:r>
          </w:p>
          <w:p w14:paraId="5E624B13" w14:textId="77777777" w:rsidR="00D9064C" w:rsidRPr="00D00B34" w:rsidRDefault="00D9064C" w:rsidP="00FD6567">
            <w:pPr>
              <w:pStyle w:val="Tabletext"/>
              <w:rPr>
                <w:rFonts w:eastAsia="Arial"/>
                <w:lang w:eastAsia="en-GB" w:bidi="en-GB"/>
              </w:rPr>
            </w:pPr>
          </w:p>
          <w:p w14:paraId="7BE6F8A2" w14:textId="799D2154" w:rsidR="009A4D22" w:rsidRPr="00D00B34" w:rsidRDefault="00EF2684" w:rsidP="00FD6567">
            <w:pPr>
              <w:pStyle w:val="Tabletext"/>
              <w:rPr>
                <w:rFonts w:eastAsia="Arial"/>
                <w:lang w:eastAsia="en-GB" w:bidi="en-GB"/>
              </w:rPr>
            </w:pPr>
            <w:r w:rsidRPr="00D00B34">
              <w:rPr>
                <w:rFonts w:eastAsia="Arial"/>
                <w:lang w:eastAsia="en-GB" w:bidi="en-GB"/>
              </w:rPr>
              <w:t xml:space="preserve">The bottle should be covered in a sterile cover for each use.  </w:t>
            </w:r>
            <w:r w:rsidR="009A4D22" w:rsidRPr="00D00B34">
              <w:rPr>
                <w:rFonts w:eastAsia="Arial"/>
                <w:lang w:eastAsia="en-GB" w:bidi="en-GB"/>
              </w:rPr>
              <w:t>The nozzles should be handled using</w:t>
            </w:r>
            <w:r w:rsidR="00467E00">
              <w:rPr>
                <w:rFonts w:eastAsia="Arial"/>
                <w:lang w:eastAsia="en-GB" w:bidi="en-GB"/>
              </w:rPr>
              <w:t xml:space="preserve"> </w:t>
            </w:r>
            <w:r w:rsidR="009A4D22" w:rsidRPr="00D00B34">
              <w:rPr>
                <w:rFonts w:eastAsia="Arial"/>
                <w:lang w:eastAsia="en-GB" w:bidi="en-GB"/>
              </w:rPr>
              <w:t xml:space="preserve">gloves and the box of 50 should be kept closed between procedures. </w:t>
            </w:r>
            <w:r w:rsidR="009A4D22" w:rsidRPr="00D00B34">
              <w:rPr>
                <w:rFonts w:eastAsia="Arial"/>
                <w:b/>
                <w:bCs/>
                <w:lang w:eastAsia="en-GB" w:bidi="en-GB"/>
              </w:rPr>
              <w:t>Nozzles should not be reused and should be discarded immediately after use.</w:t>
            </w:r>
          </w:p>
        </w:tc>
      </w:tr>
      <w:tr w:rsidR="008351E1" w14:paraId="583D568B" w14:textId="77777777" w:rsidTr="00095899">
        <w:tc>
          <w:tcPr>
            <w:tcW w:w="2949" w:type="dxa"/>
          </w:tcPr>
          <w:p w14:paraId="52B1AF25" w14:textId="0EBC774D" w:rsidR="008351E1" w:rsidRPr="00FD6567" w:rsidRDefault="008351E1" w:rsidP="00095899">
            <w:pPr>
              <w:rPr>
                <w:rStyle w:val="TableHeaderColumn"/>
                <w:sz w:val="24"/>
              </w:rPr>
            </w:pPr>
            <w:r w:rsidRPr="00FD6567">
              <w:rPr>
                <w:rStyle w:val="TableHeaderColumn"/>
                <w:sz w:val="24"/>
                <w:szCs w:val="22"/>
              </w:rPr>
              <w:lastRenderedPageBreak/>
              <w:t xml:space="preserve">Maximum dosage to be administered under this protocol </w:t>
            </w:r>
            <w:r w:rsidR="002768B9" w:rsidRPr="0006311C">
              <w:rPr>
                <w:rStyle w:val="TableHeaderColumn"/>
                <w:sz w:val="24"/>
                <w:szCs w:val="22"/>
                <w:highlight w:val="yellow"/>
              </w:rPr>
              <w:t>[</w:t>
            </w:r>
            <w:r w:rsidR="005D42E4" w:rsidRPr="0006311C">
              <w:rPr>
                <w:rStyle w:val="TableHeaderColumn"/>
                <w:rFonts w:eastAsiaTheme="minorHAnsi"/>
                <w:sz w:val="24"/>
                <w:szCs w:val="22"/>
                <w:highlight w:val="yellow"/>
              </w:rPr>
              <w:t>[</w:t>
            </w:r>
            <w:r w:rsidRPr="00FD6567">
              <w:rPr>
                <w:rStyle w:val="TableHeaderColumn"/>
                <w:rFonts w:eastAsiaTheme="minorHAnsi"/>
                <w:sz w:val="24"/>
                <w:szCs w:val="22"/>
                <w:highlight w:val="yellow"/>
              </w:rPr>
              <w:t>note adapt to reflect local policy – maximum dosages given as an example only</w:t>
            </w:r>
            <w:r w:rsidR="005D42E4" w:rsidRPr="00FD6567">
              <w:rPr>
                <w:rStyle w:val="TableHeaderColumn"/>
                <w:rFonts w:eastAsiaTheme="minorHAnsi"/>
                <w:sz w:val="24"/>
                <w:szCs w:val="22"/>
                <w:highlight w:val="yellow"/>
              </w:rPr>
              <w:t>]</w:t>
            </w:r>
            <w:r w:rsidR="002768B9">
              <w:rPr>
                <w:rStyle w:val="TableHeaderColumn"/>
                <w:rFonts w:eastAsiaTheme="minorHAnsi"/>
                <w:sz w:val="24"/>
                <w:szCs w:val="22"/>
              </w:rPr>
              <w:t>]:</w:t>
            </w:r>
          </w:p>
        </w:tc>
        <w:tc>
          <w:tcPr>
            <w:tcW w:w="6067" w:type="dxa"/>
          </w:tcPr>
          <w:p w14:paraId="0598F6B6" w14:textId="74D52B78" w:rsidR="008351E1" w:rsidRPr="00D00B34" w:rsidRDefault="00877F44" w:rsidP="00FD6567">
            <w:pPr>
              <w:pStyle w:val="Tabletext"/>
              <w:rPr>
                <w:rFonts w:eastAsia="Arial"/>
                <w:lang w:eastAsia="en-GB" w:bidi="en-GB"/>
              </w:rPr>
            </w:pPr>
            <w:r w:rsidRPr="00D00B34">
              <w:rPr>
                <w:rFonts w:eastAsia="Arial"/>
                <w:lang w:eastAsia="en-GB" w:bidi="en-GB"/>
              </w:rPr>
              <w:t xml:space="preserve">A maximum of </w:t>
            </w:r>
            <w:r w:rsidR="000C4D7A" w:rsidRPr="00D00B34">
              <w:rPr>
                <w:rFonts w:eastAsia="Arial"/>
                <w:lang w:eastAsia="en-GB" w:bidi="en-GB"/>
              </w:rPr>
              <w:t>4</w:t>
            </w:r>
            <w:r w:rsidR="002768B9">
              <w:rPr>
                <w:rFonts w:eastAsia="Arial"/>
                <w:lang w:eastAsia="en-GB" w:bidi="en-GB"/>
              </w:rPr>
              <w:t xml:space="preserve"> </w:t>
            </w:r>
            <w:r w:rsidRPr="00D00B34">
              <w:rPr>
                <w:rFonts w:eastAsia="Arial"/>
                <w:lang w:eastAsia="en-GB" w:bidi="en-GB"/>
              </w:rPr>
              <w:t>spray</w:t>
            </w:r>
            <w:r w:rsidR="000C4D7A" w:rsidRPr="00D00B34">
              <w:rPr>
                <w:rFonts w:eastAsia="Arial"/>
                <w:lang w:eastAsia="en-GB" w:bidi="en-GB"/>
              </w:rPr>
              <w:t>s</w:t>
            </w:r>
            <w:r w:rsidR="009F6A78">
              <w:rPr>
                <w:rFonts w:eastAsia="Arial"/>
                <w:lang w:eastAsia="en-GB" w:bidi="en-GB"/>
              </w:rPr>
              <w:t xml:space="preserve"> </w:t>
            </w:r>
            <w:r w:rsidR="00EF2684" w:rsidRPr="00D00B34">
              <w:rPr>
                <w:rFonts w:eastAsia="Arial"/>
                <w:lang w:eastAsia="en-GB" w:bidi="en-GB"/>
              </w:rPr>
              <w:t xml:space="preserve">(total 40mg) </w:t>
            </w:r>
            <w:r w:rsidRPr="00D00B34">
              <w:rPr>
                <w:rFonts w:eastAsia="Arial"/>
                <w:lang w:eastAsia="en-GB" w:bidi="en-GB"/>
              </w:rPr>
              <w:t xml:space="preserve">applications per episode of care </w:t>
            </w:r>
            <w:r w:rsidR="00FD0A2B" w:rsidRPr="00D00B34">
              <w:rPr>
                <w:rFonts w:eastAsia="Arial"/>
                <w:lang w:eastAsia="en-GB" w:bidi="en-GB"/>
              </w:rPr>
              <w:t xml:space="preserve">may </w:t>
            </w:r>
            <w:r w:rsidRPr="00D00B34">
              <w:rPr>
                <w:rFonts w:eastAsia="Arial"/>
                <w:lang w:eastAsia="en-GB" w:bidi="en-GB"/>
              </w:rPr>
              <w:t xml:space="preserve">be administered.  </w:t>
            </w:r>
          </w:p>
        </w:tc>
      </w:tr>
      <w:tr w:rsidR="008351E1" w14:paraId="1FEA4EBC" w14:textId="77777777" w:rsidTr="00095899">
        <w:tc>
          <w:tcPr>
            <w:tcW w:w="2949" w:type="dxa"/>
          </w:tcPr>
          <w:p w14:paraId="442DF5B4" w14:textId="77777777" w:rsidR="008351E1" w:rsidRPr="00FD6567" w:rsidRDefault="008351E1" w:rsidP="00095899">
            <w:pPr>
              <w:rPr>
                <w:rStyle w:val="TableHeaderColumn"/>
                <w:sz w:val="24"/>
              </w:rPr>
            </w:pPr>
            <w:r w:rsidRPr="00FD6567">
              <w:rPr>
                <w:rStyle w:val="TableHeaderColumn"/>
                <w:rFonts w:eastAsiaTheme="minorHAnsi"/>
                <w:sz w:val="24"/>
                <w:szCs w:val="22"/>
              </w:rPr>
              <w:t>Off label use</w:t>
            </w:r>
          </w:p>
        </w:tc>
        <w:tc>
          <w:tcPr>
            <w:tcW w:w="6067" w:type="dxa"/>
          </w:tcPr>
          <w:p w14:paraId="3237C0C0" w14:textId="77777777" w:rsidR="008351E1" w:rsidRPr="00D00B34" w:rsidRDefault="008351E1" w:rsidP="00FD6567">
            <w:pPr>
              <w:pStyle w:val="Tabletext"/>
              <w:rPr>
                <w:rFonts w:eastAsia="Arial"/>
                <w:lang w:eastAsia="en-GB" w:bidi="en-GB"/>
              </w:rPr>
            </w:pPr>
            <w:r w:rsidRPr="00D00B34">
              <w:rPr>
                <w:rFonts w:eastAsia="Arial"/>
                <w:lang w:eastAsia="en-GB" w:bidi="en-GB"/>
              </w:rPr>
              <w:t xml:space="preserve">The use of </w:t>
            </w:r>
            <w:r w:rsidR="00877F44" w:rsidRPr="00D00B34">
              <w:rPr>
                <w:rFonts w:eastAsia="Arial"/>
                <w:lang w:eastAsia="en-GB" w:bidi="en-GB"/>
              </w:rPr>
              <w:t xml:space="preserve">lidocaine spray </w:t>
            </w:r>
            <w:r w:rsidRPr="00D00B34">
              <w:rPr>
                <w:rFonts w:eastAsia="Arial"/>
                <w:lang w:eastAsia="en-GB" w:bidi="en-GB"/>
              </w:rPr>
              <w:t>for the indications detailed within this protocol are outside the product licen</w:t>
            </w:r>
            <w:r w:rsidR="00FD0A2B" w:rsidRPr="00D00B34">
              <w:rPr>
                <w:rFonts w:eastAsia="Arial"/>
                <w:lang w:eastAsia="en-GB" w:bidi="en-GB"/>
              </w:rPr>
              <w:t>c</w:t>
            </w:r>
            <w:r w:rsidRPr="00D00B34">
              <w:rPr>
                <w:rFonts w:eastAsia="Arial"/>
                <w:lang w:eastAsia="en-GB" w:bidi="en-GB"/>
              </w:rPr>
              <w:t>e but are supported by national guidance</w:t>
            </w:r>
            <w:r w:rsidR="00877F44" w:rsidRPr="00D00B34">
              <w:rPr>
                <w:rFonts w:eastAsia="Arial"/>
                <w:lang w:eastAsia="en-GB" w:bidi="en-GB"/>
              </w:rPr>
              <w:t xml:space="preserve"> from the </w:t>
            </w:r>
            <w:r w:rsidR="001C5115">
              <w:rPr>
                <w:rFonts w:eastAsia="Arial"/>
                <w:lang w:eastAsia="en-GB" w:bidi="en-GB"/>
              </w:rPr>
              <w:t>Co</w:t>
            </w:r>
            <w:r w:rsidR="00877F44" w:rsidRPr="00D00B34">
              <w:rPr>
                <w:rFonts w:eastAsia="Arial"/>
                <w:lang w:eastAsia="en-GB" w:bidi="en-GB"/>
              </w:rPr>
              <w:t>SRH.</w:t>
            </w:r>
          </w:p>
        </w:tc>
      </w:tr>
      <w:tr w:rsidR="00EF2684" w14:paraId="07D193EE" w14:textId="77777777" w:rsidTr="00095899">
        <w:tc>
          <w:tcPr>
            <w:tcW w:w="2949" w:type="dxa"/>
          </w:tcPr>
          <w:p w14:paraId="7ADB329F" w14:textId="77777777" w:rsidR="00EF2684" w:rsidRPr="00FD6567" w:rsidRDefault="00EF2684" w:rsidP="00095899">
            <w:pPr>
              <w:rPr>
                <w:rStyle w:val="TableHeaderColumn"/>
                <w:sz w:val="24"/>
              </w:rPr>
            </w:pPr>
            <w:r w:rsidRPr="00FD6567">
              <w:rPr>
                <w:rStyle w:val="TableHeaderColumn"/>
                <w:rFonts w:eastAsiaTheme="minorHAnsi"/>
                <w:sz w:val="24"/>
                <w:szCs w:val="22"/>
              </w:rPr>
              <w:t xml:space="preserve">Storage </w:t>
            </w:r>
          </w:p>
        </w:tc>
        <w:tc>
          <w:tcPr>
            <w:tcW w:w="6067" w:type="dxa"/>
          </w:tcPr>
          <w:p w14:paraId="46320408" w14:textId="77777777" w:rsidR="00EF2684" w:rsidRPr="00D00B34" w:rsidRDefault="00EF2684" w:rsidP="00FD6567">
            <w:pPr>
              <w:pStyle w:val="Tabletext"/>
              <w:rPr>
                <w:rFonts w:eastAsia="Arial"/>
                <w:lang w:eastAsia="en-GB" w:bidi="en-GB"/>
              </w:rPr>
            </w:pPr>
            <w:r w:rsidRPr="00D00B34">
              <w:rPr>
                <w:rFonts w:eastAsia="Arial"/>
                <w:lang w:eastAsia="en-GB" w:bidi="en-GB"/>
              </w:rPr>
              <w:t>Do not store above 25°C.</w:t>
            </w:r>
          </w:p>
        </w:tc>
      </w:tr>
      <w:tr w:rsidR="009A4D22" w14:paraId="2B6D1DED" w14:textId="77777777" w:rsidTr="00095899">
        <w:tc>
          <w:tcPr>
            <w:tcW w:w="2949" w:type="dxa"/>
          </w:tcPr>
          <w:p w14:paraId="0E24CFF4" w14:textId="77777777" w:rsidR="009A4D22" w:rsidRPr="00FD6567" w:rsidRDefault="009A4D22" w:rsidP="00095899">
            <w:pPr>
              <w:rPr>
                <w:rStyle w:val="TableHeaderColumn"/>
                <w:sz w:val="24"/>
              </w:rPr>
            </w:pPr>
            <w:r w:rsidRPr="00FD6567">
              <w:rPr>
                <w:rStyle w:val="TableHeaderColumn"/>
                <w:rFonts w:eastAsiaTheme="minorHAnsi"/>
                <w:sz w:val="24"/>
                <w:szCs w:val="22"/>
              </w:rPr>
              <w:t>Adverse effects</w:t>
            </w:r>
          </w:p>
        </w:tc>
        <w:tc>
          <w:tcPr>
            <w:tcW w:w="6067" w:type="dxa"/>
          </w:tcPr>
          <w:p w14:paraId="354A89D9" w14:textId="77777777" w:rsidR="001E11C8" w:rsidRPr="00D00B34" w:rsidRDefault="001E11C8" w:rsidP="00FD6567">
            <w:pPr>
              <w:pStyle w:val="Tabletext"/>
              <w:rPr>
                <w:rFonts w:eastAsia="Arial"/>
                <w:b/>
                <w:bCs/>
                <w:u w:val="single"/>
                <w:lang w:eastAsia="en-GB" w:bidi="en-GB"/>
              </w:rPr>
            </w:pPr>
            <w:r w:rsidRPr="00D00B34">
              <w:rPr>
                <w:rFonts w:eastAsia="Arial"/>
                <w:b/>
                <w:bCs/>
                <w:u w:val="single"/>
                <w:lang w:eastAsia="en-GB" w:bidi="en-GB"/>
              </w:rPr>
              <w:t>Extremely rare:</w:t>
            </w:r>
          </w:p>
          <w:p w14:paraId="07972B3E" w14:textId="4C459F12" w:rsidR="001E11C8" w:rsidRPr="00D00B34" w:rsidRDefault="001E11C8" w:rsidP="00FD6567">
            <w:pPr>
              <w:pStyle w:val="Tabletext"/>
              <w:rPr>
                <w:rFonts w:eastAsia="Arial"/>
                <w:lang w:eastAsia="en-GB" w:bidi="en-GB"/>
              </w:rPr>
            </w:pPr>
            <w:r w:rsidRPr="00D00B34">
              <w:rPr>
                <w:rFonts w:eastAsia="Arial"/>
                <w:lang w:eastAsia="en-GB" w:bidi="en-GB"/>
              </w:rPr>
              <w:t xml:space="preserve">Amide-type local anaesthetic preparations have been associated with allergic reactions (in the most severe instances anaphylactic shock). </w:t>
            </w:r>
            <w:r w:rsidR="005D42E4" w:rsidRPr="0006311C">
              <w:rPr>
                <w:rFonts w:eastAsia="Arial"/>
                <w:highlight w:val="cyan"/>
                <w:lang w:eastAsia="en-GB" w:bidi="en-GB"/>
              </w:rPr>
              <w:t>[</w:t>
            </w:r>
            <w:r w:rsidRPr="00846AE1">
              <w:rPr>
                <w:rFonts w:eastAsia="Arial"/>
                <w:highlight w:val="cyan"/>
                <w:lang w:eastAsia="en-GB" w:bidi="en-GB"/>
              </w:rPr>
              <w:t xml:space="preserve">Adrenaline 1:1000/anaphylaxis kit should be readily available in areas where lidocaine spray is administered as should access to a phone </w:t>
            </w:r>
            <w:r w:rsidR="00FD0A2B" w:rsidRPr="00846AE1">
              <w:rPr>
                <w:rFonts w:eastAsia="Arial"/>
                <w:highlight w:val="cyan"/>
                <w:lang w:eastAsia="en-GB" w:bidi="en-GB"/>
              </w:rPr>
              <w:t xml:space="preserve">to </w:t>
            </w:r>
            <w:r w:rsidRPr="00846AE1">
              <w:rPr>
                <w:rFonts w:eastAsia="Arial"/>
                <w:highlight w:val="cyan"/>
                <w:lang w:eastAsia="en-GB" w:bidi="en-GB"/>
              </w:rPr>
              <w:t>summon assistance if required.</w:t>
            </w:r>
            <w:r w:rsidR="005D42E4" w:rsidRPr="00846AE1">
              <w:rPr>
                <w:rFonts w:eastAsia="Arial"/>
                <w:highlight w:val="cyan"/>
                <w:lang w:eastAsia="en-GB" w:bidi="en-GB"/>
              </w:rPr>
              <w:t>]</w:t>
            </w:r>
          </w:p>
          <w:p w14:paraId="4D62A218" w14:textId="77777777" w:rsidR="001E11C8" w:rsidRPr="00D00B34" w:rsidRDefault="001E11C8" w:rsidP="00FD6567">
            <w:pPr>
              <w:pStyle w:val="Tabletext"/>
              <w:rPr>
                <w:rFonts w:eastAsia="Arial"/>
                <w:lang w:eastAsia="en-GB" w:bidi="en-GB"/>
              </w:rPr>
            </w:pPr>
          </w:p>
          <w:p w14:paraId="5BF151E0" w14:textId="77777777" w:rsidR="001E11C8" w:rsidRPr="00D00B34" w:rsidRDefault="001E11C8" w:rsidP="00FD6567">
            <w:pPr>
              <w:pStyle w:val="Tabletext"/>
              <w:rPr>
                <w:rFonts w:eastAsia="Arial"/>
                <w:b/>
                <w:bCs/>
                <w:u w:val="single"/>
                <w:lang w:eastAsia="en-GB" w:bidi="en-GB"/>
              </w:rPr>
            </w:pPr>
            <w:r w:rsidRPr="00D00B34">
              <w:rPr>
                <w:rFonts w:eastAsia="Arial"/>
                <w:b/>
                <w:bCs/>
                <w:u w:val="single"/>
                <w:lang w:eastAsia="en-GB" w:bidi="en-GB"/>
              </w:rPr>
              <w:t>Rare:</w:t>
            </w:r>
          </w:p>
          <w:p w14:paraId="53DEF270" w14:textId="77777777" w:rsidR="001E11C8" w:rsidRPr="00D00B34" w:rsidRDefault="001E11C8" w:rsidP="00FD6567">
            <w:pPr>
              <w:pStyle w:val="Tabletext"/>
              <w:rPr>
                <w:rFonts w:eastAsia="Arial"/>
                <w:lang w:eastAsia="en-GB" w:bidi="en-GB"/>
              </w:rPr>
            </w:pPr>
            <w:r w:rsidRPr="00D00B34">
              <w:rPr>
                <w:rFonts w:eastAsia="Arial"/>
                <w:lang w:eastAsia="en-GB" w:bidi="en-GB"/>
              </w:rPr>
              <w:t xml:space="preserve">Systemic adverse reactions may result from high plasma levels due to excessive dosage or rapid absorption or from hypersensitivity, idiosyncrasy or reduced tolerance on the part of the </w:t>
            </w:r>
            <w:r w:rsidR="00FD0A2B" w:rsidRPr="00D00B34">
              <w:rPr>
                <w:rFonts w:eastAsia="Arial"/>
                <w:lang w:eastAsia="en-GB" w:bidi="en-GB"/>
              </w:rPr>
              <w:t>individual</w:t>
            </w:r>
            <w:r w:rsidR="00EF2684" w:rsidRPr="00D00B34">
              <w:rPr>
                <w:rFonts w:eastAsia="Arial"/>
                <w:lang w:eastAsia="en-GB" w:bidi="en-GB"/>
              </w:rPr>
              <w:t xml:space="preserve"> (see cautions section above)</w:t>
            </w:r>
            <w:r w:rsidRPr="00D00B34">
              <w:rPr>
                <w:rFonts w:eastAsia="Arial"/>
                <w:lang w:eastAsia="en-GB" w:bidi="en-GB"/>
              </w:rPr>
              <w:t xml:space="preserve">. </w:t>
            </w:r>
          </w:p>
          <w:p w14:paraId="2B079A64" w14:textId="77777777" w:rsidR="001E11C8" w:rsidRPr="00D00B34" w:rsidRDefault="001E11C8" w:rsidP="00FD6567">
            <w:pPr>
              <w:pStyle w:val="Tabletext"/>
              <w:rPr>
                <w:rFonts w:eastAsia="Arial"/>
                <w:lang w:eastAsia="en-GB" w:bidi="en-GB"/>
              </w:rPr>
            </w:pPr>
          </w:p>
          <w:p w14:paraId="5DBAB0CA" w14:textId="77777777" w:rsidR="001E11C8" w:rsidRPr="00D00B34" w:rsidRDefault="001E11C8" w:rsidP="00FD6567">
            <w:pPr>
              <w:pStyle w:val="Tabletext"/>
              <w:rPr>
                <w:rFonts w:eastAsia="Arial"/>
                <w:lang w:eastAsia="en-GB" w:bidi="en-GB"/>
              </w:rPr>
            </w:pPr>
            <w:r w:rsidRPr="00D00B34">
              <w:rPr>
                <w:rFonts w:eastAsia="Arial"/>
                <w:lang w:eastAsia="en-GB" w:bidi="en-GB"/>
              </w:rPr>
              <w:t>CNS reactions are excitatory and/or depressant and may be characterised by nervousness, dizziness, convulsions, unconsciousness and possibly respiratory arrest. The excitatory reactions may be very brief or may not occur at all, in which case the first manifestations of toxicity may be drowsiness, merging into unconsciousness and respiratory arrest.</w:t>
            </w:r>
          </w:p>
          <w:p w14:paraId="5E1D13A4" w14:textId="77777777" w:rsidR="001E11C8" w:rsidRPr="00D00B34" w:rsidRDefault="001E11C8" w:rsidP="00FD6567">
            <w:pPr>
              <w:pStyle w:val="Tabletext"/>
              <w:rPr>
                <w:rFonts w:eastAsia="Arial"/>
                <w:lang w:eastAsia="en-GB" w:bidi="en-GB"/>
              </w:rPr>
            </w:pPr>
          </w:p>
          <w:p w14:paraId="1C8767C0" w14:textId="77777777" w:rsidR="001E11C8" w:rsidRPr="00D00B34" w:rsidRDefault="001E11C8" w:rsidP="00FD6567">
            <w:pPr>
              <w:pStyle w:val="Tabletext"/>
              <w:rPr>
                <w:rFonts w:eastAsia="Arial"/>
                <w:lang w:eastAsia="en-GB" w:bidi="en-GB"/>
              </w:rPr>
            </w:pPr>
            <w:r w:rsidRPr="00D00B34">
              <w:rPr>
                <w:rFonts w:eastAsia="Arial"/>
                <w:lang w:eastAsia="en-GB" w:bidi="en-GB"/>
              </w:rPr>
              <w:t>Cardiovascular reactions are depressant and may be characterised by hypotension, myocardial depression, bradycardia and possibly cardiac arrest.</w:t>
            </w:r>
          </w:p>
          <w:p w14:paraId="11A3FD2E" w14:textId="77777777" w:rsidR="001E11C8" w:rsidRPr="00D00B34" w:rsidRDefault="001E11C8" w:rsidP="00FD6567">
            <w:pPr>
              <w:pStyle w:val="Tabletext"/>
              <w:rPr>
                <w:rFonts w:eastAsia="Arial"/>
                <w:lang w:eastAsia="en-GB" w:bidi="en-GB"/>
              </w:rPr>
            </w:pPr>
          </w:p>
          <w:p w14:paraId="5B348BAD" w14:textId="77777777" w:rsidR="001E11C8" w:rsidRPr="00D00B34" w:rsidRDefault="001E11C8" w:rsidP="00FD6567">
            <w:pPr>
              <w:pStyle w:val="Tabletext"/>
              <w:rPr>
                <w:rFonts w:eastAsia="Arial"/>
                <w:b/>
                <w:bCs/>
                <w:u w:val="single"/>
                <w:lang w:eastAsia="en-GB" w:bidi="en-GB"/>
              </w:rPr>
            </w:pPr>
            <w:r w:rsidRPr="00D00B34">
              <w:rPr>
                <w:rFonts w:eastAsia="Arial"/>
                <w:b/>
                <w:bCs/>
                <w:u w:val="single"/>
                <w:lang w:eastAsia="en-GB" w:bidi="en-GB"/>
              </w:rPr>
              <w:t>Unknown frequency:</w:t>
            </w:r>
          </w:p>
          <w:p w14:paraId="09DF4E02" w14:textId="77777777" w:rsidR="009A4D22" w:rsidRPr="00D00B34" w:rsidRDefault="001E11C8" w:rsidP="00FD6567">
            <w:pPr>
              <w:pStyle w:val="Tabletext"/>
              <w:rPr>
                <w:rFonts w:eastAsia="Arial"/>
                <w:lang w:eastAsia="en-GB" w:bidi="en-GB"/>
              </w:rPr>
            </w:pPr>
            <w:r w:rsidRPr="00D00B34">
              <w:rPr>
                <w:rFonts w:eastAsia="Arial"/>
                <w:lang w:eastAsia="en-GB" w:bidi="en-GB"/>
              </w:rPr>
              <w:t>Local irritation at the application site.</w:t>
            </w:r>
          </w:p>
          <w:p w14:paraId="56C05441" w14:textId="77777777" w:rsidR="00C926C0" w:rsidRPr="00D00B34" w:rsidRDefault="00C926C0" w:rsidP="00FD6567">
            <w:pPr>
              <w:pStyle w:val="Tabletext"/>
              <w:rPr>
                <w:rFonts w:eastAsia="Arial"/>
                <w:lang w:eastAsia="en-GB" w:bidi="en-GB"/>
              </w:rPr>
            </w:pPr>
            <w:r w:rsidRPr="00D00B34">
              <w:rPr>
                <w:rFonts w:eastAsia="Arial"/>
                <w:lang w:eastAsia="en-GB" w:bidi="en-GB"/>
              </w:rPr>
              <w:t>Vaginal irritation</w:t>
            </w:r>
          </w:p>
        </w:tc>
      </w:tr>
      <w:tr w:rsidR="000C4D7A" w14:paraId="23910F2E" w14:textId="77777777" w:rsidTr="00095899">
        <w:tc>
          <w:tcPr>
            <w:tcW w:w="2949" w:type="dxa"/>
          </w:tcPr>
          <w:p w14:paraId="1421DE8C" w14:textId="77777777" w:rsidR="000C4D7A" w:rsidRPr="00FD6567" w:rsidRDefault="000C4D7A" w:rsidP="000C4D7A">
            <w:pPr>
              <w:rPr>
                <w:rStyle w:val="TableHeaderColumn"/>
                <w:sz w:val="24"/>
              </w:rPr>
            </w:pPr>
            <w:r w:rsidRPr="00FD6567">
              <w:rPr>
                <w:rStyle w:val="TableHeaderColumn"/>
                <w:sz w:val="24"/>
                <w:szCs w:val="22"/>
              </w:rPr>
              <w:t>Management of and reporting procedure for adverse reactions</w:t>
            </w:r>
          </w:p>
        </w:tc>
        <w:tc>
          <w:tcPr>
            <w:tcW w:w="6067" w:type="dxa"/>
          </w:tcPr>
          <w:p w14:paraId="72636557" w14:textId="37DCD353" w:rsidR="000C4D7A" w:rsidRPr="00D00B34" w:rsidRDefault="000C4D7A" w:rsidP="00FD6567">
            <w:pPr>
              <w:pStyle w:val="Tabletext"/>
              <w:rPr>
                <w:rFonts w:eastAsia="Arial"/>
              </w:rPr>
            </w:pPr>
            <w:r w:rsidRPr="00D00B34">
              <w:rPr>
                <w:rFonts w:eastAsia="Arial"/>
              </w:rPr>
              <w:t>Healthcare</w:t>
            </w:r>
            <w:r w:rsidR="00467E00">
              <w:rPr>
                <w:rFonts w:eastAsia="Arial"/>
              </w:rPr>
              <w:t xml:space="preserve"> </w:t>
            </w:r>
            <w:r w:rsidRPr="00D00B34">
              <w:rPr>
                <w:rFonts w:eastAsia="Arial"/>
              </w:rPr>
              <w:t>professionals</w:t>
            </w:r>
            <w:r w:rsidR="00467E00">
              <w:rPr>
                <w:rFonts w:eastAsia="Arial"/>
              </w:rPr>
              <w:t xml:space="preserve"> </w:t>
            </w:r>
            <w:r w:rsidRPr="00D00B34">
              <w:rPr>
                <w:rFonts w:eastAsia="Arial"/>
              </w:rPr>
              <w:t>and</w:t>
            </w:r>
            <w:r w:rsidR="00467E00">
              <w:rPr>
                <w:rFonts w:eastAsia="Arial"/>
              </w:rPr>
              <w:t xml:space="preserve"> </w:t>
            </w:r>
            <w:r w:rsidRPr="00D00B34">
              <w:rPr>
                <w:rFonts w:eastAsia="Arial"/>
              </w:rPr>
              <w:t>patients/carers are</w:t>
            </w:r>
            <w:r w:rsidR="00467E00">
              <w:rPr>
                <w:rFonts w:eastAsia="Arial"/>
              </w:rPr>
              <w:t xml:space="preserve"> </w:t>
            </w:r>
            <w:r w:rsidRPr="00D00B34">
              <w:rPr>
                <w:rFonts w:eastAsia="Arial"/>
              </w:rPr>
              <w:t>encouraged</w:t>
            </w:r>
            <w:r w:rsidR="00467E00">
              <w:rPr>
                <w:rFonts w:eastAsia="Arial"/>
              </w:rPr>
              <w:t xml:space="preserve"> </w:t>
            </w:r>
            <w:r w:rsidRPr="00D00B34">
              <w:rPr>
                <w:rFonts w:eastAsia="Arial"/>
              </w:rPr>
              <w:t>to</w:t>
            </w:r>
            <w:r w:rsidR="00467E00">
              <w:rPr>
                <w:rFonts w:eastAsia="Arial"/>
              </w:rPr>
              <w:t xml:space="preserve"> </w:t>
            </w:r>
            <w:r w:rsidRPr="00D00B34">
              <w:rPr>
                <w:rFonts w:eastAsia="Arial"/>
              </w:rPr>
              <w:t>report</w:t>
            </w:r>
            <w:r w:rsidR="00467E00">
              <w:rPr>
                <w:rFonts w:eastAsia="Arial"/>
              </w:rPr>
              <w:t xml:space="preserve"> </w:t>
            </w:r>
            <w:r w:rsidRPr="00D00B34">
              <w:rPr>
                <w:rFonts w:eastAsia="Arial"/>
              </w:rPr>
              <w:t>suspected</w:t>
            </w:r>
            <w:r w:rsidR="00467E00">
              <w:rPr>
                <w:rFonts w:eastAsia="Arial"/>
              </w:rPr>
              <w:t xml:space="preserve"> </w:t>
            </w:r>
            <w:r w:rsidRPr="00D00B34">
              <w:rPr>
                <w:rFonts w:eastAsia="Arial"/>
              </w:rPr>
              <w:t>adverse</w:t>
            </w:r>
            <w:r w:rsidR="00467E00">
              <w:rPr>
                <w:rFonts w:eastAsia="Arial"/>
              </w:rPr>
              <w:t xml:space="preserve"> </w:t>
            </w:r>
            <w:r w:rsidRPr="00D00B34">
              <w:rPr>
                <w:rFonts w:eastAsia="Arial"/>
              </w:rPr>
              <w:t>reactions</w:t>
            </w:r>
            <w:r w:rsidR="00467E00">
              <w:rPr>
                <w:rFonts w:eastAsia="Arial"/>
              </w:rPr>
              <w:t xml:space="preserve"> </w:t>
            </w:r>
            <w:r w:rsidRPr="00D00B34">
              <w:rPr>
                <w:rFonts w:eastAsia="Arial"/>
              </w:rPr>
              <w:t>to</w:t>
            </w:r>
            <w:r w:rsidR="00467E00">
              <w:rPr>
                <w:rFonts w:eastAsia="Arial"/>
              </w:rPr>
              <w:t xml:space="preserve"> </w:t>
            </w:r>
            <w:r w:rsidRPr="00D00B34">
              <w:rPr>
                <w:rFonts w:eastAsia="Arial"/>
              </w:rPr>
              <w:t>the</w:t>
            </w:r>
            <w:r w:rsidR="00467E00">
              <w:rPr>
                <w:rFonts w:eastAsia="Arial"/>
              </w:rPr>
              <w:t xml:space="preserve"> </w:t>
            </w:r>
            <w:r w:rsidRPr="00D00B34">
              <w:rPr>
                <w:rFonts w:eastAsia="Arial"/>
              </w:rPr>
              <w:t>Medicines</w:t>
            </w:r>
            <w:r w:rsidR="00467E00">
              <w:rPr>
                <w:rFonts w:eastAsia="Arial"/>
              </w:rPr>
              <w:t xml:space="preserve"> </w:t>
            </w:r>
            <w:r w:rsidRPr="00D00B34">
              <w:rPr>
                <w:rFonts w:eastAsia="Arial"/>
              </w:rPr>
              <w:t>and</w:t>
            </w:r>
            <w:r w:rsidR="00467E00">
              <w:rPr>
                <w:rFonts w:eastAsia="Arial"/>
              </w:rPr>
              <w:t xml:space="preserve"> </w:t>
            </w:r>
            <w:r w:rsidRPr="00D00B34">
              <w:rPr>
                <w:rFonts w:eastAsia="Arial"/>
              </w:rPr>
              <w:t>Healthcare</w:t>
            </w:r>
            <w:r w:rsidR="00467E00">
              <w:rPr>
                <w:rFonts w:eastAsia="Arial"/>
              </w:rPr>
              <w:t xml:space="preserve"> </w:t>
            </w:r>
            <w:r w:rsidRPr="00D00B34">
              <w:rPr>
                <w:rFonts w:eastAsia="Arial"/>
              </w:rPr>
              <w:t>products</w:t>
            </w:r>
            <w:r w:rsidR="00467E00">
              <w:rPr>
                <w:rFonts w:eastAsia="Arial"/>
              </w:rPr>
              <w:t xml:space="preserve"> </w:t>
            </w:r>
            <w:r w:rsidRPr="00D00B34">
              <w:rPr>
                <w:rFonts w:eastAsia="Arial"/>
              </w:rPr>
              <w:t>Regulatory</w:t>
            </w:r>
            <w:r w:rsidR="00467E00">
              <w:rPr>
                <w:rFonts w:eastAsia="Arial"/>
              </w:rPr>
              <w:t xml:space="preserve"> </w:t>
            </w:r>
            <w:r w:rsidRPr="00D00B34">
              <w:rPr>
                <w:rFonts w:eastAsia="Arial"/>
              </w:rPr>
              <w:lastRenderedPageBreak/>
              <w:t>Agency</w:t>
            </w:r>
            <w:r w:rsidR="00467E00">
              <w:rPr>
                <w:rFonts w:eastAsia="Arial"/>
              </w:rPr>
              <w:t xml:space="preserve"> </w:t>
            </w:r>
            <w:r w:rsidRPr="00D00B34">
              <w:rPr>
                <w:rFonts w:eastAsia="Arial"/>
              </w:rPr>
              <w:t>(MHRA)</w:t>
            </w:r>
            <w:r w:rsidR="00467E00">
              <w:rPr>
                <w:rFonts w:eastAsia="Arial"/>
              </w:rPr>
              <w:t xml:space="preserve"> </w:t>
            </w:r>
            <w:r w:rsidRPr="00D00B34">
              <w:rPr>
                <w:rFonts w:eastAsia="Arial"/>
              </w:rPr>
              <w:t>using</w:t>
            </w:r>
            <w:r w:rsidR="00467E00">
              <w:rPr>
                <w:rFonts w:eastAsia="Arial"/>
              </w:rPr>
              <w:t xml:space="preserve"> </w:t>
            </w:r>
            <w:r w:rsidRPr="00D00B34">
              <w:rPr>
                <w:rFonts w:eastAsia="Arial"/>
              </w:rPr>
              <w:t>the</w:t>
            </w:r>
            <w:r w:rsidR="00467E00">
              <w:rPr>
                <w:rFonts w:eastAsia="Arial"/>
              </w:rPr>
              <w:t xml:space="preserve"> </w:t>
            </w:r>
            <w:hyperlink r:id="rId16" w:history="1">
              <w:r w:rsidRPr="005F3057">
                <w:rPr>
                  <w:rStyle w:val="Hyperlink"/>
                  <w:rFonts w:eastAsia="Arial"/>
                  <w:sz w:val="22"/>
                </w:rPr>
                <w:t>Yellow</w:t>
              </w:r>
              <w:r w:rsidR="00467E00" w:rsidRPr="005F3057">
                <w:rPr>
                  <w:rStyle w:val="Hyperlink"/>
                  <w:rFonts w:eastAsia="Arial"/>
                </w:rPr>
                <w:t xml:space="preserve"> </w:t>
              </w:r>
              <w:r w:rsidRPr="005F3057">
                <w:rPr>
                  <w:rStyle w:val="Hyperlink"/>
                  <w:rFonts w:eastAsia="Arial"/>
                </w:rPr>
                <w:t>Card</w:t>
              </w:r>
              <w:r w:rsidR="00467E00" w:rsidRPr="005F3057">
                <w:rPr>
                  <w:rStyle w:val="Hyperlink"/>
                  <w:rFonts w:eastAsia="Arial"/>
                </w:rPr>
                <w:t xml:space="preserve"> </w:t>
              </w:r>
              <w:r w:rsidRPr="005F3057">
                <w:rPr>
                  <w:rStyle w:val="Hyperlink"/>
                  <w:rFonts w:eastAsia="Arial"/>
                </w:rPr>
                <w:t>reporting</w:t>
              </w:r>
              <w:r w:rsidR="00467E00" w:rsidRPr="005F3057">
                <w:rPr>
                  <w:rStyle w:val="Hyperlink"/>
                  <w:rFonts w:eastAsia="Arial"/>
                </w:rPr>
                <w:t xml:space="preserve"> </w:t>
              </w:r>
              <w:r w:rsidRPr="005F3057">
                <w:rPr>
                  <w:rStyle w:val="Hyperlink"/>
                  <w:rFonts w:eastAsia="Arial"/>
                </w:rPr>
                <w:t>scheme</w:t>
              </w:r>
              <w:r w:rsidR="00467E00" w:rsidRPr="005F3057">
                <w:rPr>
                  <w:rStyle w:val="Hyperlink"/>
                  <w:rFonts w:eastAsia="Arial"/>
                </w:rPr>
                <w:t xml:space="preserve"> </w:t>
              </w:r>
              <w:r w:rsidR="00231C4A" w:rsidRPr="005F3057">
                <w:rPr>
                  <w:rStyle w:val="Hyperlink"/>
                  <w:rFonts w:eastAsia="Arial"/>
                </w:rPr>
                <w:t>via the MHRA</w:t>
              </w:r>
            </w:hyperlink>
            <w:r w:rsidR="005F3057">
              <w:rPr>
                <w:rFonts w:eastAsia="Arial"/>
              </w:rPr>
              <w:t>.</w:t>
            </w:r>
          </w:p>
          <w:p w14:paraId="6A33BB8E" w14:textId="77777777" w:rsidR="000C4D7A" w:rsidRPr="00D00B34" w:rsidRDefault="000C4D7A" w:rsidP="00FD6567">
            <w:pPr>
              <w:pStyle w:val="Tabletext"/>
              <w:rPr>
                <w:rFonts w:eastAsia="Arial"/>
                <w:lang w:eastAsia="en-GB" w:bidi="en-GB"/>
              </w:rPr>
            </w:pPr>
            <w:r w:rsidRPr="00D00B34">
              <w:t>Record all adverse drug reactions (ADRs) in the patient’s medical record.</w:t>
            </w:r>
          </w:p>
          <w:p w14:paraId="5DAF27A7" w14:textId="77777777" w:rsidR="000C4D7A" w:rsidRPr="00D00B34" w:rsidRDefault="000C4D7A" w:rsidP="00FD6567">
            <w:pPr>
              <w:pStyle w:val="Tabletext"/>
              <w:rPr>
                <w:rFonts w:eastAsia="Arial"/>
                <w:lang w:eastAsia="en-GB" w:bidi="en-GB"/>
              </w:rPr>
            </w:pPr>
            <w:r w:rsidRPr="00D00B34">
              <w:t>Report via organisation incident policy.</w:t>
            </w:r>
          </w:p>
        </w:tc>
      </w:tr>
      <w:tr w:rsidR="000C4D7A" w14:paraId="5296478C" w14:textId="77777777" w:rsidTr="00467E00">
        <w:tc>
          <w:tcPr>
            <w:tcW w:w="2949" w:type="dxa"/>
            <w:tcBorders>
              <w:bottom w:val="single" w:sz="4" w:space="0" w:color="auto"/>
            </w:tcBorders>
          </w:tcPr>
          <w:p w14:paraId="0F002591" w14:textId="77777777" w:rsidR="000C4D7A" w:rsidRPr="00FD6567" w:rsidRDefault="000C4D7A" w:rsidP="000C4D7A">
            <w:pPr>
              <w:rPr>
                <w:rStyle w:val="TableHeaderColumn"/>
                <w:sz w:val="24"/>
              </w:rPr>
            </w:pPr>
            <w:r w:rsidRPr="00FD6567">
              <w:rPr>
                <w:rStyle w:val="TableHeaderColumn"/>
                <w:rFonts w:eastAsiaTheme="minorHAnsi"/>
                <w:sz w:val="24"/>
                <w:szCs w:val="22"/>
              </w:rPr>
              <w:lastRenderedPageBreak/>
              <w:t xml:space="preserve">Overdose </w:t>
            </w:r>
          </w:p>
        </w:tc>
        <w:tc>
          <w:tcPr>
            <w:tcW w:w="6067" w:type="dxa"/>
          </w:tcPr>
          <w:p w14:paraId="13ADD497" w14:textId="77777777" w:rsidR="000C4D7A" w:rsidRPr="00D00B34" w:rsidRDefault="000C4D7A" w:rsidP="00FD6567">
            <w:pPr>
              <w:pStyle w:val="Tabletext"/>
              <w:rPr>
                <w:rFonts w:eastAsia="Arial"/>
                <w:lang w:eastAsia="en-GB" w:bidi="en-GB"/>
              </w:rPr>
            </w:pPr>
            <w:r w:rsidRPr="00D00B34">
              <w:rPr>
                <w:rFonts w:eastAsia="Arial"/>
                <w:lang w:eastAsia="en-GB" w:bidi="en-GB"/>
              </w:rPr>
              <w:t>Toxic reactions originate mainly in the central nervous and the cardiovascular systems.</w:t>
            </w:r>
          </w:p>
          <w:p w14:paraId="0EC15F14" w14:textId="77777777" w:rsidR="000C4D7A" w:rsidRPr="00D00B34" w:rsidRDefault="000C4D7A" w:rsidP="00FD6567">
            <w:pPr>
              <w:pStyle w:val="Tabletext"/>
              <w:rPr>
                <w:rFonts w:eastAsia="Arial"/>
                <w:lang w:eastAsia="en-GB" w:bidi="en-GB"/>
              </w:rPr>
            </w:pPr>
          </w:p>
          <w:p w14:paraId="2B693AEA" w14:textId="77777777" w:rsidR="000C4D7A" w:rsidRPr="00D00B34" w:rsidRDefault="000C4D7A" w:rsidP="00FD6567">
            <w:pPr>
              <w:pStyle w:val="Tabletext"/>
              <w:rPr>
                <w:rFonts w:eastAsia="Arial"/>
                <w:lang w:eastAsia="en-GB" w:bidi="en-GB"/>
              </w:rPr>
            </w:pPr>
            <w:r w:rsidRPr="00D00B34">
              <w:rPr>
                <w:rFonts w:eastAsia="Arial"/>
                <w:lang w:eastAsia="en-GB" w:bidi="en-GB"/>
              </w:rPr>
              <w:t xml:space="preserve">Central nervous system toxicity is a graded response with symptoms and signs of escalating severity. The first symptoms are circumoral </w:t>
            </w:r>
            <w:proofErr w:type="spellStart"/>
            <w:r w:rsidRPr="00D00B34">
              <w:rPr>
                <w:rFonts w:eastAsia="Arial"/>
                <w:lang w:eastAsia="en-GB" w:bidi="en-GB"/>
              </w:rPr>
              <w:t>paraesthesia</w:t>
            </w:r>
            <w:proofErr w:type="spellEnd"/>
            <w:r w:rsidRPr="00D00B34">
              <w:rPr>
                <w:rFonts w:eastAsia="Arial"/>
                <w:lang w:eastAsia="en-GB" w:bidi="en-GB"/>
              </w:rPr>
              <w:t xml:space="preserve">, numbness of the tongue, light-headedness, hyperacusis and tinnitus. </w:t>
            </w:r>
          </w:p>
          <w:p w14:paraId="7F05E2C5" w14:textId="77777777" w:rsidR="000C4D7A" w:rsidRPr="00D00B34" w:rsidRDefault="000C4D7A" w:rsidP="00FD6567">
            <w:pPr>
              <w:pStyle w:val="Tabletext"/>
              <w:rPr>
                <w:rFonts w:eastAsia="Arial"/>
                <w:lang w:eastAsia="en-GB" w:bidi="en-GB"/>
              </w:rPr>
            </w:pPr>
          </w:p>
          <w:p w14:paraId="1FD98F83" w14:textId="77777777" w:rsidR="000C4D7A" w:rsidRPr="00D00B34" w:rsidRDefault="000C4D7A" w:rsidP="00FD6567">
            <w:pPr>
              <w:pStyle w:val="Tabletext"/>
              <w:rPr>
                <w:rFonts w:eastAsia="Arial"/>
                <w:lang w:eastAsia="en-GB" w:bidi="en-GB"/>
              </w:rPr>
            </w:pPr>
            <w:r w:rsidRPr="00D00B34">
              <w:rPr>
                <w:rFonts w:eastAsia="Arial"/>
                <w:lang w:eastAsia="en-GB" w:bidi="en-GB"/>
              </w:rPr>
              <w:t xml:space="preserve">Visual disturbance and muscular tremors are more serious and precede the onset of generalised convulsions. Unconsciousness and grand mal convulsions may follow, which may last from a few seconds to several minutes. </w:t>
            </w:r>
          </w:p>
          <w:p w14:paraId="78635673" w14:textId="77777777" w:rsidR="000C4D7A" w:rsidRPr="00D00B34" w:rsidRDefault="000C4D7A" w:rsidP="00FD6567">
            <w:pPr>
              <w:pStyle w:val="Tabletext"/>
              <w:rPr>
                <w:rFonts w:eastAsia="Arial"/>
                <w:lang w:eastAsia="en-GB" w:bidi="en-GB"/>
              </w:rPr>
            </w:pPr>
          </w:p>
          <w:p w14:paraId="15F86D05" w14:textId="77777777" w:rsidR="000C4D7A" w:rsidRPr="00D00B34" w:rsidRDefault="000C4D7A" w:rsidP="00FD6567">
            <w:pPr>
              <w:pStyle w:val="Tabletext"/>
              <w:rPr>
                <w:rFonts w:eastAsia="Arial"/>
                <w:lang w:eastAsia="en-GB" w:bidi="en-GB"/>
              </w:rPr>
            </w:pPr>
            <w:r w:rsidRPr="00D00B34">
              <w:rPr>
                <w:rFonts w:eastAsia="Arial"/>
                <w:lang w:eastAsia="en-GB" w:bidi="en-GB"/>
              </w:rPr>
              <w:t>Hypoxia and hypercarbia occur rapidly following convulsions due to the increased muscular activity, together with the interference with normal respiration. In severe cases, apnoea may occur. Acidosis increases the toxic effects of local anaesthetics.</w:t>
            </w:r>
          </w:p>
          <w:p w14:paraId="767B1A60" w14:textId="77777777" w:rsidR="000C4D7A" w:rsidRPr="00D00B34" w:rsidRDefault="000C4D7A" w:rsidP="00FD6567">
            <w:pPr>
              <w:pStyle w:val="Tabletext"/>
              <w:rPr>
                <w:rFonts w:eastAsia="Arial"/>
                <w:lang w:eastAsia="en-GB" w:bidi="en-GB"/>
              </w:rPr>
            </w:pPr>
          </w:p>
          <w:p w14:paraId="6BAFD29A" w14:textId="77777777" w:rsidR="000C4D7A" w:rsidRPr="00D00B34" w:rsidRDefault="000C4D7A" w:rsidP="00FD6567">
            <w:pPr>
              <w:pStyle w:val="Tabletext"/>
              <w:rPr>
                <w:rFonts w:eastAsia="Arial"/>
                <w:lang w:eastAsia="en-GB" w:bidi="en-GB"/>
              </w:rPr>
            </w:pPr>
            <w:r w:rsidRPr="00D00B34">
              <w:rPr>
                <w:rFonts w:eastAsia="Arial"/>
                <w:lang w:eastAsia="en-GB" w:bidi="en-GB"/>
              </w:rPr>
              <w:t>Cardiovascular effects are only seen in cases with high systemic concentrations. Severe hypotension, bradycardia, arrhythmia and cardiovascular collapse may be the result in such cases.</w:t>
            </w:r>
          </w:p>
          <w:p w14:paraId="532F565B" w14:textId="77777777" w:rsidR="000C4D7A" w:rsidRPr="00D00B34" w:rsidRDefault="000C4D7A" w:rsidP="00FD6567">
            <w:pPr>
              <w:pStyle w:val="Tabletext"/>
              <w:rPr>
                <w:rFonts w:eastAsia="Arial"/>
                <w:lang w:eastAsia="en-GB" w:bidi="en-GB"/>
              </w:rPr>
            </w:pPr>
          </w:p>
          <w:p w14:paraId="5A10B700" w14:textId="77777777" w:rsidR="000C4D7A" w:rsidRPr="00D00B34" w:rsidRDefault="000C4D7A" w:rsidP="00FD6567">
            <w:pPr>
              <w:pStyle w:val="Tabletext"/>
              <w:rPr>
                <w:rFonts w:eastAsia="Arial"/>
                <w:lang w:eastAsia="en-GB" w:bidi="en-GB"/>
              </w:rPr>
            </w:pPr>
            <w:r w:rsidRPr="00D00B34">
              <w:rPr>
                <w:rFonts w:eastAsia="Arial"/>
                <w:lang w:eastAsia="en-GB" w:bidi="en-GB"/>
              </w:rPr>
              <w:t>Recovery is due to redistribution and metabolism of the local anaesthetic drug from the central nervous system. Recovery may be rapid unless large amounts of the drug have been administered.</w:t>
            </w:r>
          </w:p>
          <w:p w14:paraId="4E4961F3" w14:textId="77777777" w:rsidR="000C4D7A" w:rsidRPr="00D00B34" w:rsidRDefault="000C4D7A" w:rsidP="00FD6567">
            <w:pPr>
              <w:pStyle w:val="Tabletext"/>
              <w:rPr>
                <w:rFonts w:eastAsia="Arial"/>
                <w:lang w:eastAsia="en-GB" w:bidi="en-GB"/>
              </w:rPr>
            </w:pPr>
          </w:p>
          <w:p w14:paraId="703F9725" w14:textId="6C9E7029" w:rsidR="000C4D7A" w:rsidRPr="00D00B34" w:rsidRDefault="002768B9" w:rsidP="00FD6567">
            <w:pPr>
              <w:pStyle w:val="Tabletext"/>
              <w:rPr>
                <w:rFonts w:eastAsia="Arial"/>
                <w:lang w:eastAsia="en-GB" w:bidi="en-GB"/>
              </w:rPr>
            </w:pPr>
            <w:r w:rsidRPr="0006311C">
              <w:rPr>
                <w:rFonts w:eastAsia="Arial"/>
                <w:highlight w:val="cyan"/>
                <w:lang w:eastAsia="en-GB" w:bidi="en-GB"/>
              </w:rPr>
              <w:t>[</w:t>
            </w:r>
            <w:r w:rsidR="000C4D7A" w:rsidRPr="00846AE1">
              <w:rPr>
                <w:rFonts w:eastAsia="Arial"/>
                <w:highlight w:val="cyan"/>
                <w:lang w:eastAsia="en-GB" w:bidi="en-GB"/>
              </w:rPr>
              <w:t>Insert details of how overdose should be managed locally</w:t>
            </w:r>
            <w:r w:rsidR="005D42E4">
              <w:rPr>
                <w:rFonts w:eastAsia="Arial"/>
                <w:lang w:eastAsia="en-GB" w:bidi="en-GB"/>
              </w:rPr>
              <w:t>]</w:t>
            </w:r>
          </w:p>
        </w:tc>
      </w:tr>
      <w:tr w:rsidR="000C4D7A" w14:paraId="0C5D4871" w14:textId="77777777" w:rsidTr="00467E00">
        <w:tc>
          <w:tcPr>
            <w:tcW w:w="2949" w:type="dxa"/>
            <w:tcBorders>
              <w:bottom w:val="single" w:sz="4" w:space="0" w:color="auto"/>
            </w:tcBorders>
          </w:tcPr>
          <w:p w14:paraId="6A43AF48" w14:textId="77777777" w:rsidR="000C4D7A" w:rsidRPr="00FD6567" w:rsidRDefault="000C4D7A" w:rsidP="000C4D7A">
            <w:pPr>
              <w:rPr>
                <w:rStyle w:val="TableHeaderColumn"/>
                <w:sz w:val="24"/>
              </w:rPr>
            </w:pPr>
            <w:r w:rsidRPr="00FD6567">
              <w:rPr>
                <w:rStyle w:val="TableHeaderColumn"/>
                <w:rFonts w:eastAsiaTheme="minorHAnsi"/>
                <w:sz w:val="24"/>
                <w:szCs w:val="22"/>
              </w:rPr>
              <w:t>Record keeping</w:t>
            </w:r>
          </w:p>
        </w:tc>
        <w:tc>
          <w:tcPr>
            <w:tcW w:w="6067" w:type="dxa"/>
          </w:tcPr>
          <w:p w14:paraId="41A84CCD" w14:textId="465043CE" w:rsidR="000C4D7A" w:rsidRPr="00D00B34" w:rsidRDefault="000C4D7A" w:rsidP="00FD6567">
            <w:pPr>
              <w:pStyle w:val="Tabletext"/>
            </w:pPr>
            <w:r w:rsidRPr="00D00B34">
              <w:t xml:space="preserve">The following must be recorded on </w:t>
            </w:r>
            <w:r w:rsidRPr="005D42E4">
              <w:t xml:space="preserve">the </w:t>
            </w:r>
            <w:r w:rsidR="005D42E4" w:rsidRPr="0006311C">
              <w:rPr>
                <w:highlight w:val="cyan"/>
              </w:rPr>
              <w:t>[</w:t>
            </w:r>
            <w:r w:rsidRPr="00846AE1">
              <w:rPr>
                <w:szCs w:val="28"/>
                <w:highlight w:val="cyan"/>
              </w:rPr>
              <w:t>medicine chart/EPS or clinical notes as per local protocol</w:t>
            </w:r>
            <w:r w:rsidRPr="00846AE1">
              <w:rPr>
                <w:highlight w:val="cyan"/>
              </w:rPr>
              <w:t>:</w:t>
            </w:r>
            <w:r w:rsidR="002768B9" w:rsidRPr="00846AE1">
              <w:rPr>
                <w:highlight w:val="cyan"/>
              </w:rPr>
              <w:t>]</w:t>
            </w:r>
          </w:p>
          <w:p w14:paraId="709720AC" w14:textId="77777777" w:rsidR="000C4D7A" w:rsidRPr="00D00B34" w:rsidRDefault="000C4D7A" w:rsidP="00FD6567">
            <w:pPr>
              <w:pStyle w:val="Tabletext"/>
            </w:pPr>
            <w:r w:rsidRPr="00D00B34">
              <w:t>Date and time of administration.</w:t>
            </w:r>
          </w:p>
          <w:p w14:paraId="70CD5C45" w14:textId="77777777" w:rsidR="00C807AE" w:rsidRPr="00C807AE" w:rsidRDefault="000C4D7A" w:rsidP="00FD6567">
            <w:pPr>
              <w:pStyle w:val="Tabletext"/>
            </w:pPr>
            <w:r w:rsidRPr="00D00B34">
              <w:t xml:space="preserve">Individual’s details such as name, date of birth, hospital or NHS number (where applicable), allergies, </w:t>
            </w:r>
            <w:r w:rsidRPr="00D00B34">
              <w:lastRenderedPageBreak/>
              <w:t>previous adverse events and the criteria under which the individual fits the protocol.</w:t>
            </w:r>
          </w:p>
          <w:p w14:paraId="1159B197" w14:textId="77777777" w:rsidR="000C4D7A" w:rsidRDefault="000C4D7A" w:rsidP="00FD6567">
            <w:pPr>
              <w:pStyle w:val="Tabletext"/>
            </w:pPr>
            <w:r w:rsidRPr="00D00B34">
              <w:t xml:space="preserve">Details of medicine including name, strength dose, route.  </w:t>
            </w:r>
          </w:p>
          <w:p w14:paraId="38FE9E56" w14:textId="2128F7A2" w:rsidR="00C807AE" w:rsidRPr="0006311C" w:rsidRDefault="005D42E4" w:rsidP="00FD6567">
            <w:pPr>
              <w:pStyle w:val="Tabletext"/>
              <w:rPr>
                <w:highlight w:val="cyan"/>
              </w:rPr>
            </w:pPr>
            <w:r w:rsidRPr="0006311C">
              <w:rPr>
                <w:highlight w:val="cyan"/>
              </w:rPr>
              <w:t>[</w:t>
            </w:r>
            <w:r w:rsidR="00C807AE" w:rsidRPr="0006311C">
              <w:rPr>
                <w:highlight w:val="cyan"/>
              </w:rPr>
              <w:t>Batch number and expiry date of product in line with local procedure</w:t>
            </w:r>
            <w:r w:rsidRPr="0006311C">
              <w:rPr>
                <w:highlight w:val="cyan"/>
              </w:rPr>
              <w:t>]</w:t>
            </w:r>
          </w:p>
          <w:p w14:paraId="1B0D10BA" w14:textId="77777777" w:rsidR="000C4D7A" w:rsidRPr="00D00B34" w:rsidRDefault="000C4D7A" w:rsidP="00FD6567">
            <w:pPr>
              <w:pStyle w:val="Tabletext"/>
            </w:pPr>
            <w:r w:rsidRPr="00D00B34">
              <w:t>A statement that administration is under a protocol.</w:t>
            </w:r>
          </w:p>
          <w:p w14:paraId="5F476DFC" w14:textId="77777777" w:rsidR="000C4D7A" w:rsidRPr="00D00B34" w:rsidRDefault="000C4D7A" w:rsidP="00FD6567">
            <w:pPr>
              <w:pStyle w:val="Tabletext"/>
            </w:pPr>
            <w:r w:rsidRPr="00D00B34">
              <w:t>Name and signature (which may be electronic) of healthcare professional acting under the protocol to supply the medication.</w:t>
            </w:r>
          </w:p>
          <w:p w14:paraId="52534226" w14:textId="77777777" w:rsidR="000C4D7A" w:rsidRPr="00D00B34" w:rsidRDefault="000C4D7A" w:rsidP="00FD6567">
            <w:pPr>
              <w:pStyle w:val="Tabletext"/>
            </w:pPr>
            <w:r w:rsidRPr="00D00B34">
              <w:t>Relevant information that was given to the individual/carer.</w:t>
            </w:r>
          </w:p>
          <w:p w14:paraId="5F1D9155" w14:textId="77777777" w:rsidR="000C4D7A" w:rsidRPr="00D00B34" w:rsidRDefault="000C4D7A" w:rsidP="00FD6567">
            <w:pPr>
              <w:pStyle w:val="Tabletext"/>
            </w:pPr>
            <w:r w:rsidRPr="00D00B34">
              <w:rPr>
                <w:lang w:eastAsia="en-GB"/>
              </w:rPr>
              <w:t>Record that consent gained (or refused) – if consent refused record actions taken.</w:t>
            </w:r>
          </w:p>
        </w:tc>
      </w:tr>
    </w:tbl>
    <w:p w14:paraId="25F0924D" w14:textId="77777777" w:rsidR="00034850" w:rsidRDefault="00034850"/>
    <w:p w14:paraId="4A5C50EB" w14:textId="3173B5FF" w:rsidR="005D42E4" w:rsidRDefault="005D42E4" w:rsidP="00FD6567">
      <w:pPr>
        <w:pStyle w:val="Tabletitle"/>
      </w:pPr>
      <w:r>
        <w:t>4. References</w:t>
      </w:r>
      <w:r w:rsidR="00BF22E3">
        <w:t xml:space="preserve"> (Last accessed August 2024</w:t>
      </w:r>
    </w:p>
    <w:p w14:paraId="5DDD4F7E" w14:textId="6F4E1931" w:rsidR="00BF22E3" w:rsidRPr="004C69B9" w:rsidRDefault="004C69B9" w:rsidP="009F6A78">
      <w:pPr>
        <w:pStyle w:val="Tabletext"/>
        <w:numPr>
          <w:ilvl w:val="0"/>
          <w:numId w:val="25"/>
        </w:numPr>
        <w:rPr>
          <w:rStyle w:val="Hyperlink"/>
          <w:sz w:val="24"/>
        </w:rPr>
      </w:pPr>
      <w:r>
        <w:rPr>
          <w:sz w:val="24"/>
        </w:rPr>
        <w:fldChar w:fldCharType="begin"/>
      </w:r>
      <w:r>
        <w:rPr>
          <w:sz w:val="24"/>
        </w:rPr>
        <w:instrText>HYPERLINK "https://www.cosrh.org/Public/Standards-and-Guidance/Intrauterine-Contraception.aspx"</w:instrText>
      </w:r>
      <w:r>
        <w:rPr>
          <w:sz w:val="24"/>
        </w:rPr>
      </w:r>
      <w:r>
        <w:rPr>
          <w:sz w:val="24"/>
        </w:rPr>
        <w:fldChar w:fldCharType="separate"/>
      </w:r>
      <w:r w:rsidR="00BF22E3" w:rsidRPr="004C69B9">
        <w:rPr>
          <w:rStyle w:val="Hyperlink"/>
          <w:sz w:val="24"/>
        </w:rPr>
        <w:t>CoSRH Clinical Guideline: Intrauterine contraception (March 2023, amended Jan 2025)</w:t>
      </w:r>
    </w:p>
    <w:p w14:paraId="5AD6DA64" w14:textId="54FB2586" w:rsidR="00BF22E3" w:rsidRPr="00B758C6" w:rsidRDefault="004C69B9" w:rsidP="009F6A78">
      <w:pPr>
        <w:pStyle w:val="Tabletitle"/>
        <w:numPr>
          <w:ilvl w:val="0"/>
          <w:numId w:val="25"/>
        </w:numPr>
        <w:rPr>
          <w:rStyle w:val="Hyperlink"/>
          <w:b w:val="0"/>
        </w:rPr>
      </w:pPr>
      <w:r>
        <w:rPr>
          <w:b w:val="0"/>
        </w:rPr>
        <w:fldChar w:fldCharType="end"/>
      </w:r>
      <w:hyperlink r:id="rId17" w:history="1">
        <w:r w:rsidR="00BF22E3" w:rsidRPr="00B758C6">
          <w:rPr>
            <w:rStyle w:val="Hyperlink"/>
            <w:b w:val="0"/>
          </w:rPr>
          <w:t>Summary of Product Characteristics electronic medicines compendium)</w:t>
        </w:r>
      </w:hyperlink>
    </w:p>
    <w:p w14:paraId="5D8DC403" w14:textId="77777777" w:rsidR="005D42E4" w:rsidRDefault="005D42E4" w:rsidP="00C9447F"/>
    <w:sectPr w:rsidR="005D42E4" w:rsidSect="009320A1">
      <w:headerReference w:type="even" r:id="rId18"/>
      <w:headerReference w:type="default" r:id="rId19"/>
      <w:footerReference w:type="default" r:id="rId20"/>
      <w:head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7F6ED" w14:textId="77777777" w:rsidR="0097409E" w:rsidRDefault="0097409E" w:rsidP="008351E1">
      <w:pPr>
        <w:spacing w:after="0" w:line="240" w:lineRule="auto"/>
      </w:pPr>
      <w:r>
        <w:separator/>
      </w:r>
    </w:p>
  </w:endnote>
  <w:endnote w:type="continuationSeparator" w:id="0">
    <w:p w14:paraId="14B7F4F6" w14:textId="77777777" w:rsidR="0097409E" w:rsidRDefault="0097409E" w:rsidP="00835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2551"/>
    </w:tblGrid>
    <w:tr w:rsidR="00D00B34" w:rsidRPr="00D00B34" w14:paraId="5FAB669A" w14:textId="77777777" w:rsidTr="00C00E0A">
      <w:tc>
        <w:tcPr>
          <w:tcW w:w="2439" w:type="dxa"/>
        </w:tcPr>
        <w:p w14:paraId="4EE0120B" w14:textId="63F6CBAE" w:rsidR="00D00B34" w:rsidRPr="00D00B34" w:rsidRDefault="00467E00" w:rsidP="00D00B34">
          <w:pPr>
            <w:tabs>
              <w:tab w:val="center" w:pos="3312"/>
              <w:tab w:val="right" w:pos="6624"/>
              <w:tab w:val="left" w:pos="8460"/>
              <w:tab w:val="left" w:pos="9936"/>
            </w:tabs>
            <w:spacing w:after="0" w:line="240" w:lineRule="auto"/>
            <w:rPr>
              <w:rFonts w:ascii="Arial" w:eastAsia="Times New Roman" w:hAnsi="Arial" w:cs="Arial"/>
              <w:b/>
              <w:bCs/>
              <w:sz w:val="18"/>
              <w:szCs w:val="18"/>
            </w:rPr>
          </w:pPr>
          <w:r>
            <w:rPr>
              <w:rFonts w:ascii="Arial" w:eastAsia="Times New Roman" w:hAnsi="Arial" w:cs="Arial"/>
              <w:b/>
              <w:bCs/>
              <w:sz w:val="18"/>
              <w:szCs w:val="18"/>
            </w:rPr>
            <w:t>Valid from</w:t>
          </w:r>
          <w:r w:rsidR="00D00B34" w:rsidRPr="00D00B34">
            <w:rPr>
              <w:rFonts w:ascii="Arial" w:eastAsia="Times New Roman" w:hAnsi="Arial" w:cs="Arial"/>
              <w:b/>
              <w:bCs/>
              <w:sz w:val="18"/>
              <w:szCs w:val="18"/>
            </w:rPr>
            <w:t xml:space="preserve"> date:</w:t>
          </w:r>
        </w:p>
      </w:tc>
      <w:tc>
        <w:tcPr>
          <w:tcW w:w="2551" w:type="dxa"/>
        </w:tcPr>
        <w:p w14:paraId="05210AE3" w14:textId="529D38E2" w:rsidR="00D00B34" w:rsidRPr="00063BE0" w:rsidRDefault="0094146E" w:rsidP="00D00B34">
          <w:pPr>
            <w:tabs>
              <w:tab w:val="center" w:pos="3312"/>
              <w:tab w:val="right" w:pos="6624"/>
              <w:tab w:val="left" w:pos="8460"/>
              <w:tab w:val="left" w:pos="9936"/>
            </w:tabs>
            <w:spacing w:after="0" w:line="240" w:lineRule="auto"/>
            <w:rPr>
              <w:rFonts w:ascii="Arial" w:eastAsia="Times New Roman" w:hAnsi="Arial" w:cs="Arial"/>
              <w:sz w:val="18"/>
              <w:szCs w:val="18"/>
            </w:rPr>
          </w:pPr>
          <w:r>
            <w:rPr>
              <w:rFonts w:ascii="Arial" w:eastAsia="Times New Roman" w:hAnsi="Arial" w:cs="Arial"/>
              <w:sz w:val="18"/>
              <w:szCs w:val="18"/>
              <w:lang w:eastAsia="en-GB"/>
            </w:rPr>
            <w:t>1</w:t>
          </w:r>
          <w:r w:rsidRPr="0094146E">
            <w:rPr>
              <w:rFonts w:ascii="Arial" w:eastAsia="Times New Roman" w:hAnsi="Arial" w:cs="Arial"/>
              <w:sz w:val="18"/>
              <w:szCs w:val="18"/>
              <w:vertAlign w:val="superscript"/>
              <w:lang w:eastAsia="en-GB"/>
            </w:rPr>
            <w:t>st</w:t>
          </w:r>
          <w:r>
            <w:rPr>
              <w:rFonts w:ascii="Arial" w:eastAsia="Times New Roman" w:hAnsi="Arial" w:cs="Arial"/>
              <w:sz w:val="18"/>
              <w:szCs w:val="18"/>
              <w:lang w:eastAsia="en-GB"/>
            </w:rPr>
            <w:t xml:space="preserve"> </w:t>
          </w:r>
          <w:r w:rsidR="00D00B34" w:rsidRPr="00063BE0">
            <w:rPr>
              <w:rFonts w:ascii="Arial" w:eastAsia="Times New Roman" w:hAnsi="Arial" w:cs="Arial"/>
              <w:sz w:val="18"/>
              <w:szCs w:val="18"/>
              <w:lang w:eastAsia="en-GB"/>
            </w:rPr>
            <w:t>January 202</w:t>
          </w:r>
          <w:r w:rsidR="004B11FA" w:rsidRPr="00063BE0">
            <w:rPr>
              <w:rFonts w:ascii="Arial" w:eastAsia="Times New Roman" w:hAnsi="Arial" w:cs="Arial"/>
              <w:sz w:val="18"/>
              <w:szCs w:val="18"/>
              <w:lang w:eastAsia="en-GB"/>
            </w:rPr>
            <w:t>6</w:t>
          </w:r>
        </w:p>
      </w:tc>
    </w:tr>
    <w:tr w:rsidR="00D00B34" w:rsidRPr="00D00B34" w14:paraId="2DCE3793" w14:textId="77777777" w:rsidTr="004B11FA">
      <w:trPr>
        <w:trHeight w:val="195"/>
      </w:trPr>
      <w:tc>
        <w:tcPr>
          <w:tcW w:w="2439" w:type="dxa"/>
        </w:tcPr>
        <w:p w14:paraId="4D8C0E5E" w14:textId="77777777" w:rsidR="00D00B34" w:rsidRPr="00D00B34" w:rsidRDefault="00D00B34" w:rsidP="00D00B34">
          <w:pPr>
            <w:tabs>
              <w:tab w:val="center" w:pos="3312"/>
              <w:tab w:val="right" w:pos="6624"/>
              <w:tab w:val="left" w:pos="8460"/>
              <w:tab w:val="left" w:pos="9936"/>
            </w:tabs>
            <w:spacing w:after="0" w:line="240" w:lineRule="auto"/>
            <w:rPr>
              <w:rFonts w:ascii="Arial" w:eastAsia="Times New Roman" w:hAnsi="Arial" w:cs="Arial"/>
              <w:b/>
              <w:bCs/>
              <w:sz w:val="18"/>
              <w:szCs w:val="18"/>
            </w:rPr>
          </w:pPr>
          <w:r w:rsidRPr="00D00B34">
            <w:rPr>
              <w:rFonts w:ascii="Arial" w:eastAsia="Times New Roman" w:hAnsi="Arial" w:cs="Arial"/>
              <w:b/>
              <w:bCs/>
              <w:sz w:val="18"/>
              <w:szCs w:val="18"/>
            </w:rPr>
            <w:t>Review date</w:t>
          </w:r>
          <w:r w:rsidR="001C5115">
            <w:rPr>
              <w:rFonts w:ascii="Arial" w:eastAsia="Times New Roman" w:hAnsi="Arial" w:cs="Arial"/>
              <w:b/>
              <w:bCs/>
              <w:sz w:val="18"/>
              <w:szCs w:val="18"/>
            </w:rPr>
            <w:t>:</w:t>
          </w:r>
        </w:p>
      </w:tc>
      <w:tc>
        <w:tcPr>
          <w:tcW w:w="2551" w:type="dxa"/>
        </w:tcPr>
        <w:p w14:paraId="110FFF9F" w14:textId="5E44D6CE" w:rsidR="00D00B34" w:rsidRPr="00063BE0" w:rsidRDefault="004757C5" w:rsidP="00D00B34">
          <w:pPr>
            <w:tabs>
              <w:tab w:val="center" w:pos="3312"/>
              <w:tab w:val="right" w:pos="6624"/>
              <w:tab w:val="left" w:pos="8460"/>
              <w:tab w:val="left" w:pos="9936"/>
            </w:tabs>
            <w:spacing w:after="0" w:line="240" w:lineRule="auto"/>
            <w:rPr>
              <w:rFonts w:ascii="Arial" w:eastAsia="Times New Roman" w:hAnsi="Arial" w:cs="Arial"/>
              <w:sz w:val="18"/>
              <w:szCs w:val="18"/>
            </w:rPr>
          </w:pPr>
          <w:r>
            <w:rPr>
              <w:rFonts w:ascii="Arial" w:eastAsia="Times New Roman" w:hAnsi="Arial" w:cs="Arial"/>
              <w:sz w:val="18"/>
              <w:szCs w:val="18"/>
              <w:lang w:eastAsia="en-GB"/>
            </w:rPr>
            <w:t>1</w:t>
          </w:r>
          <w:r w:rsidRPr="004F7DAB">
            <w:rPr>
              <w:rFonts w:ascii="Arial" w:eastAsia="Times New Roman" w:hAnsi="Arial" w:cs="Arial"/>
              <w:sz w:val="18"/>
              <w:szCs w:val="18"/>
              <w:vertAlign w:val="superscript"/>
              <w:lang w:eastAsia="en-GB"/>
            </w:rPr>
            <w:t>st</w:t>
          </w:r>
          <w:r>
            <w:rPr>
              <w:rFonts w:ascii="Arial" w:eastAsia="Times New Roman" w:hAnsi="Arial" w:cs="Arial"/>
              <w:sz w:val="18"/>
              <w:szCs w:val="18"/>
              <w:lang w:eastAsia="en-GB"/>
            </w:rPr>
            <w:t xml:space="preserve"> </w:t>
          </w:r>
          <w:r w:rsidR="00A1624F" w:rsidRPr="00063BE0">
            <w:rPr>
              <w:rFonts w:ascii="Arial" w:eastAsia="Times New Roman" w:hAnsi="Arial" w:cs="Arial"/>
              <w:sz w:val="18"/>
              <w:szCs w:val="18"/>
              <w:lang w:eastAsia="en-GB"/>
            </w:rPr>
            <w:t>Ju</w:t>
          </w:r>
          <w:r w:rsidR="00566ED3">
            <w:rPr>
              <w:rFonts w:ascii="Arial" w:eastAsia="Times New Roman" w:hAnsi="Arial" w:cs="Arial"/>
              <w:sz w:val="18"/>
              <w:szCs w:val="18"/>
              <w:lang w:eastAsia="en-GB"/>
            </w:rPr>
            <w:t>ly</w:t>
          </w:r>
          <w:r w:rsidR="00D00B34" w:rsidRPr="00063BE0">
            <w:rPr>
              <w:rFonts w:ascii="Arial" w:eastAsia="Times New Roman" w:hAnsi="Arial" w:cs="Arial"/>
              <w:sz w:val="18"/>
              <w:szCs w:val="18"/>
              <w:lang w:eastAsia="en-GB"/>
            </w:rPr>
            <w:t xml:space="preserve"> 202</w:t>
          </w:r>
          <w:r w:rsidR="004B11FA" w:rsidRPr="00063BE0">
            <w:rPr>
              <w:rFonts w:ascii="Arial" w:eastAsia="Times New Roman" w:hAnsi="Arial" w:cs="Arial"/>
              <w:sz w:val="18"/>
              <w:szCs w:val="18"/>
              <w:lang w:eastAsia="en-GB"/>
            </w:rPr>
            <w:t>8</w:t>
          </w:r>
        </w:p>
      </w:tc>
    </w:tr>
    <w:tr w:rsidR="00D00B34" w:rsidRPr="00D00B34" w14:paraId="438A7AE2" w14:textId="77777777" w:rsidTr="00C00E0A">
      <w:tc>
        <w:tcPr>
          <w:tcW w:w="2439" w:type="dxa"/>
        </w:tcPr>
        <w:p w14:paraId="5B36E0D0" w14:textId="77777777" w:rsidR="00D00B34" w:rsidRPr="00D00B34" w:rsidRDefault="00D00B34" w:rsidP="00D00B34">
          <w:pPr>
            <w:tabs>
              <w:tab w:val="center" w:pos="3312"/>
              <w:tab w:val="right" w:pos="6624"/>
              <w:tab w:val="left" w:pos="8460"/>
              <w:tab w:val="left" w:pos="9936"/>
            </w:tabs>
            <w:spacing w:after="0" w:line="240" w:lineRule="auto"/>
            <w:rPr>
              <w:rFonts w:ascii="Arial" w:eastAsia="Times New Roman" w:hAnsi="Arial" w:cs="Arial"/>
              <w:b/>
              <w:bCs/>
              <w:sz w:val="18"/>
              <w:szCs w:val="18"/>
            </w:rPr>
          </w:pPr>
          <w:r w:rsidRPr="00D00B34">
            <w:rPr>
              <w:rFonts w:ascii="Arial" w:eastAsia="Times New Roman" w:hAnsi="Arial" w:cs="Arial"/>
              <w:b/>
              <w:bCs/>
              <w:sz w:val="18"/>
              <w:szCs w:val="18"/>
            </w:rPr>
            <w:t xml:space="preserve">Expiry date: </w:t>
          </w:r>
        </w:p>
      </w:tc>
      <w:tc>
        <w:tcPr>
          <w:tcW w:w="2551" w:type="dxa"/>
        </w:tcPr>
        <w:p w14:paraId="635B604E" w14:textId="0812996C" w:rsidR="00D00B34" w:rsidRPr="00063BE0" w:rsidRDefault="0094146E" w:rsidP="00D00B34">
          <w:pPr>
            <w:tabs>
              <w:tab w:val="center" w:pos="3312"/>
              <w:tab w:val="right" w:pos="6624"/>
              <w:tab w:val="left" w:pos="8460"/>
              <w:tab w:val="left" w:pos="9936"/>
            </w:tabs>
            <w:spacing w:after="0" w:line="240" w:lineRule="auto"/>
            <w:rPr>
              <w:rFonts w:ascii="Arial" w:eastAsia="Times New Roman" w:hAnsi="Arial" w:cs="Arial"/>
              <w:sz w:val="18"/>
              <w:szCs w:val="18"/>
            </w:rPr>
          </w:pPr>
          <w:r>
            <w:rPr>
              <w:rFonts w:ascii="Arial" w:eastAsia="Times New Roman" w:hAnsi="Arial" w:cs="Arial"/>
              <w:sz w:val="18"/>
              <w:szCs w:val="18"/>
              <w:lang w:eastAsia="en-GB"/>
            </w:rPr>
            <w:t>31</w:t>
          </w:r>
          <w:r w:rsidRPr="0094146E">
            <w:rPr>
              <w:rFonts w:ascii="Arial" w:eastAsia="Times New Roman" w:hAnsi="Arial" w:cs="Arial"/>
              <w:sz w:val="18"/>
              <w:szCs w:val="18"/>
              <w:vertAlign w:val="superscript"/>
              <w:lang w:eastAsia="en-GB"/>
            </w:rPr>
            <w:t>st</w:t>
          </w:r>
          <w:r>
            <w:rPr>
              <w:rFonts w:ascii="Arial" w:eastAsia="Times New Roman" w:hAnsi="Arial" w:cs="Arial"/>
              <w:sz w:val="18"/>
              <w:szCs w:val="18"/>
              <w:lang w:eastAsia="en-GB"/>
            </w:rPr>
            <w:t xml:space="preserve"> </w:t>
          </w:r>
          <w:r w:rsidR="00A1624F" w:rsidRPr="00063BE0">
            <w:rPr>
              <w:rFonts w:ascii="Arial" w:eastAsia="Times New Roman" w:hAnsi="Arial" w:cs="Arial"/>
              <w:sz w:val="18"/>
              <w:szCs w:val="18"/>
              <w:lang w:eastAsia="en-GB"/>
            </w:rPr>
            <w:t>December 202</w:t>
          </w:r>
          <w:r w:rsidR="00063BE0">
            <w:rPr>
              <w:rFonts w:ascii="Arial" w:eastAsia="Times New Roman" w:hAnsi="Arial" w:cs="Arial"/>
              <w:sz w:val="18"/>
              <w:szCs w:val="18"/>
              <w:lang w:eastAsia="en-GB"/>
            </w:rPr>
            <w:t>8</w:t>
          </w:r>
        </w:p>
      </w:tc>
    </w:tr>
  </w:tbl>
  <w:p w14:paraId="3299152E" w14:textId="77777777" w:rsidR="00E03768" w:rsidRDefault="00E03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74AC2" w14:textId="77777777" w:rsidR="0097409E" w:rsidRDefault="0097409E" w:rsidP="008351E1">
      <w:pPr>
        <w:spacing w:after="0" w:line="240" w:lineRule="auto"/>
      </w:pPr>
      <w:r>
        <w:separator/>
      </w:r>
    </w:p>
  </w:footnote>
  <w:footnote w:type="continuationSeparator" w:id="0">
    <w:p w14:paraId="40FA6DD0" w14:textId="77777777" w:rsidR="0097409E" w:rsidRDefault="0097409E" w:rsidP="00835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2B1CE" w14:textId="77777777" w:rsidR="00E03768" w:rsidRDefault="004C69B9">
    <w:pPr>
      <w:pStyle w:val="Header"/>
    </w:pPr>
    <w:r>
      <w:rPr>
        <w:noProof/>
      </w:rPr>
      <w:pict w14:anchorId="77105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655282" o:spid="_x0000_s1026" type="#_x0000_t136" style="position:absolute;margin-left:0;margin-top:0;width:477.2pt;height:159.05pt;rotation:315;z-index:-251658239;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BF860" w14:textId="5EE1F1B9" w:rsidR="00095899" w:rsidRDefault="00606A75">
    <w:pPr>
      <w:pStyle w:val="Header"/>
    </w:pPr>
    <w:r w:rsidRPr="00606A75">
      <w:t xml:space="preserve">Text </w:t>
    </w:r>
    <w:r w:rsidRPr="004A241C">
      <w:rPr>
        <w:highlight w:val="cyan"/>
      </w:rPr>
      <w:t>[</w:t>
    </w:r>
    <w:r w:rsidRPr="00606A75">
      <w:rPr>
        <w:highlight w:val="cyan"/>
      </w:rPr>
      <w:t>highlighted in blue and in single square brackets</w:t>
    </w:r>
    <w:r w:rsidRPr="004A241C">
      <w:rPr>
        <w:highlight w:val="cyan"/>
      </w:rPr>
      <w:t>]</w:t>
    </w:r>
    <w:r w:rsidRPr="00606A75">
      <w:t xml:space="preserve"> should be replaced with the user organisation’s own text. Text </w:t>
    </w:r>
    <w:r w:rsidRPr="004A241C">
      <w:rPr>
        <w:highlight w:val="yellow"/>
      </w:rPr>
      <w:t>[[</w:t>
    </w:r>
    <w:r w:rsidRPr="00606A75">
      <w:rPr>
        <w:highlight w:val="yellow"/>
      </w:rPr>
      <w:t>highlighted in yellow and in double square brackets</w:t>
    </w:r>
    <w:r w:rsidRPr="004A241C">
      <w:rPr>
        <w:highlight w:val="yellow"/>
      </w:rPr>
      <w:t>]]</w:t>
    </w:r>
    <w:r w:rsidRPr="00606A75">
      <w:t xml:space="preserve"> is advisory text and should be removed in final </w:t>
    </w:r>
    <w:r w:rsidR="00F57271">
      <w:t>approved</w:t>
    </w:r>
    <w:r w:rsidRPr="00606A75">
      <w:t xml:space="preserve"> versions of the </w:t>
    </w:r>
    <w:r w:rsidR="00F57271">
      <w:t>protocol</w:t>
    </w:r>
    <w:r w:rsidRPr="00606A75">
      <w:t>.  It is advised that all non-highlighted text remains in final authorised versions</w:t>
    </w:r>
    <w:r w:rsidR="004C69B9">
      <w:rPr>
        <w:rFonts w:ascii="Arial" w:hAnsi="Arial" w:cs="Arial"/>
        <w:noProof/>
      </w:rPr>
      <w:pict w14:anchorId="493667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655283" o:spid="_x0000_s1027" type="#_x0000_t136" style="position:absolute;margin-left:0;margin-top:0;width:477.2pt;height:159.05pt;rotation:315;z-index:-25165823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53B2" w14:textId="77777777" w:rsidR="00E03768" w:rsidRDefault="004C69B9">
    <w:pPr>
      <w:pStyle w:val="Header"/>
    </w:pPr>
    <w:r>
      <w:rPr>
        <w:noProof/>
      </w:rPr>
      <w:pict w14:anchorId="473EAF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655281" o:spid="_x0000_s1025" type="#_x0000_t136" style="position:absolute;margin-left:0;margin-top:0;width:477.2pt;height:159.05pt;rotation:315;z-index:-25165824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C1909"/>
    <w:multiLevelType w:val="hybridMultilevel"/>
    <w:tmpl w:val="53F440EE"/>
    <w:lvl w:ilvl="0" w:tplc="08090001">
      <w:start w:val="1"/>
      <w:numFmt w:val="bullet"/>
      <w:lvlText w:val=""/>
      <w:lvlJc w:val="left"/>
      <w:pPr>
        <w:ind w:left="595" w:hanging="360"/>
      </w:pPr>
      <w:rPr>
        <w:rFonts w:ascii="Symbol" w:hAnsi="Symbol" w:hint="default"/>
      </w:rPr>
    </w:lvl>
    <w:lvl w:ilvl="1" w:tplc="08090003" w:tentative="1">
      <w:start w:val="1"/>
      <w:numFmt w:val="bullet"/>
      <w:lvlText w:val="o"/>
      <w:lvlJc w:val="left"/>
      <w:pPr>
        <w:ind w:left="1315" w:hanging="360"/>
      </w:pPr>
      <w:rPr>
        <w:rFonts w:ascii="Courier New" w:hAnsi="Courier New" w:cs="Courier New" w:hint="default"/>
      </w:rPr>
    </w:lvl>
    <w:lvl w:ilvl="2" w:tplc="08090005" w:tentative="1">
      <w:start w:val="1"/>
      <w:numFmt w:val="bullet"/>
      <w:lvlText w:val=""/>
      <w:lvlJc w:val="left"/>
      <w:pPr>
        <w:ind w:left="2035" w:hanging="360"/>
      </w:pPr>
      <w:rPr>
        <w:rFonts w:ascii="Wingdings" w:hAnsi="Wingdings" w:hint="default"/>
      </w:rPr>
    </w:lvl>
    <w:lvl w:ilvl="3" w:tplc="08090001" w:tentative="1">
      <w:start w:val="1"/>
      <w:numFmt w:val="bullet"/>
      <w:lvlText w:val=""/>
      <w:lvlJc w:val="left"/>
      <w:pPr>
        <w:ind w:left="2755" w:hanging="360"/>
      </w:pPr>
      <w:rPr>
        <w:rFonts w:ascii="Symbol" w:hAnsi="Symbol" w:hint="default"/>
      </w:rPr>
    </w:lvl>
    <w:lvl w:ilvl="4" w:tplc="08090003" w:tentative="1">
      <w:start w:val="1"/>
      <w:numFmt w:val="bullet"/>
      <w:lvlText w:val="o"/>
      <w:lvlJc w:val="left"/>
      <w:pPr>
        <w:ind w:left="3475" w:hanging="360"/>
      </w:pPr>
      <w:rPr>
        <w:rFonts w:ascii="Courier New" w:hAnsi="Courier New" w:cs="Courier New" w:hint="default"/>
      </w:rPr>
    </w:lvl>
    <w:lvl w:ilvl="5" w:tplc="08090005" w:tentative="1">
      <w:start w:val="1"/>
      <w:numFmt w:val="bullet"/>
      <w:lvlText w:val=""/>
      <w:lvlJc w:val="left"/>
      <w:pPr>
        <w:ind w:left="4195" w:hanging="360"/>
      </w:pPr>
      <w:rPr>
        <w:rFonts w:ascii="Wingdings" w:hAnsi="Wingdings" w:hint="default"/>
      </w:rPr>
    </w:lvl>
    <w:lvl w:ilvl="6" w:tplc="08090001" w:tentative="1">
      <w:start w:val="1"/>
      <w:numFmt w:val="bullet"/>
      <w:lvlText w:val=""/>
      <w:lvlJc w:val="left"/>
      <w:pPr>
        <w:ind w:left="4915" w:hanging="360"/>
      </w:pPr>
      <w:rPr>
        <w:rFonts w:ascii="Symbol" w:hAnsi="Symbol" w:hint="default"/>
      </w:rPr>
    </w:lvl>
    <w:lvl w:ilvl="7" w:tplc="08090003" w:tentative="1">
      <w:start w:val="1"/>
      <w:numFmt w:val="bullet"/>
      <w:lvlText w:val="o"/>
      <w:lvlJc w:val="left"/>
      <w:pPr>
        <w:ind w:left="5635" w:hanging="360"/>
      </w:pPr>
      <w:rPr>
        <w:rFonts w:ascii="Courier New" w:hAnsi="Courier New" w:cs="Courier New" w:hint="default"/>
      </w:rPr>
    </w:lvl>
    <w:lvl w:ilvl="8" w:tplc="08090005" w:tentative="1">
      <w:start w:val="1"/>
      <w:numFmt w:val="bullet"/>
      <w:lvlText w:val=""/>
      <w:lvlJc w:val="left"/>
      <w:pPr>
        <w:ind w:left="6355" w:hanging="360"/>
      </w:pPr>
      <w:rPr>
        <w:rFonts w:ascii="Wingdings" w:hAnsi="Wingdings" w:hint="default"/>
      </w:rPr>
    </w:lvl>
  </w:abstractNum>
  <w:abstractNum w:abstractNumId="2" w15:restartNumberingAfterBreak="0">
    <w:nsid w:val="17880075"/>
    <w:multiLevelType w:val="hybridMultilevel"/>
    <w:tmpl w:val="B8120A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C115D69"/>
    <w:multiLevelType w:val="hybridMultilevel"/>
    <w:tmpl w:val="91444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4873C4"/>
    <w:multiLevelType w:val="hybridMultilevel"/>
    <w:tmpl w:val="E9C84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EB4D09"/>
    <w:multiLevelType w:val="hybridMultilevel"/>
    <w:tmpl w:val="3800A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FC1F1C"/>
    <w:multiLevelType w:val="hybridMultilevel"/>
    <w:tmpl w:val="7E24A9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C42C1E"/>
    <w:multiLevelType w:val="hybridMultilevel"/>
    <w:tmpl w:val="7832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D433CD"/>
    <w:multiLevelType w:val="hybridMultilevel"/>
    <w:tmpl w:val="E0409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C6805DA"/>
    <w:multiLevelType w:val="hybridMultilevel"/>
    <w:tmpl w:val="60B68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FD686F"/>
    <w:multiLevelType w:val="hybridMultilevel"/>
    <w:tmpl w:val="68D07F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C433237"/>
    <w:multiLevelType w:val="hybridMultilevel"/>
    <w:tmpl w:val="6C30F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EB2EAA"/>
    <w:multiLevelType w:val="hybridMultilevel"/>
    <w:tmpl w:val="E6FE3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227521"/>
    <w:multiLevelType w:val="hybridMultilevel"/>
    <w:tmpl w:val="74D8E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E76D2F"/>
    <w:multiLevelType w:val="hybridMultilevel"/>
    <w:tmpl w:val="E1F8A2F4"/>
    <w:lvl w:ilvl="0" w:tplc="08090001">
      <w:start w:val="1"/>
      <w:numFmt w:val="bullet"/>
      <w:lvlText w:val=""/>
      <w:lvlJc w:val="left"/>
      <w:pPr>
        <w:ind w:left="595" w:hanging="360"/>
      </w:pPr>
      <w:rPr>
        <w:rFonts w:ascii="Symbol" w:hAnsi="Symbol" w:hint="default"/>
      </w:rPr>
    </w:lvl>
    <w:lvl w:ilvl="1" w:tplc="08090003" w:tentative="1">
      <w:start w:val="1"/>
      <w:numFmt w:val="bullet"/>
      <w:lvlText w:val="o"/>
      <w:lvlJc w:val="left"/>
      <w:pPr>
        <w:ind w:left="1315" w:hanging="360"/>
      </w:pPr>
      <w:rPr>
        <w:rFonts w:ascii="Courier New" w:hAnsi="Courier New" w:cs="Courier New" w:hint="default"/>
      </w:rPr>
    </w:lvl>
    <w:lvl w:ilvl="2" w:tplc="08090005" w:tentative="1">
      <w:start w:val="1"/>
      <w:numFmt w:val="bullet"/>
      <w:lvlText w:val=""/>
      <w:lvlJc w:val="left"/>
      <w:pPr>
        <w:ind w:left="2035" w:hanging="360"/>
      </w:pPr>
      <w:rPr>
        <w:rFonts w:ascii="Wingdings" w:hAnsi="Wingdings" w:hint="default"/>
      </w:rPr>
    </w:lvl>
    <w:lvl w:ilvl="3" w:tplc="08090001" w:tentative="1">
      <w:start w:val="1"/>
      <w:numFmt w:val="bullet"/>
      <w:lvlText w:val=""/>
      <w:lvlJc w:val="left"/>
      <w:pPr>
        <w:ind w:left="2755" w:hanging="360"/>
      </w:pPr>
      <w:rPr>
        <w:rFonts w:ascii="Symbol" w:hAnsi="Symbol" w:hint="default"/>
      </w:rPr>
    </w:lvl>
    <w:lvl w:ilvl="4" w:tplc="08090003" w:tentative="1">
      <w:start w:val="1"/>
      <w:numFmt w:val="bullet"/>
      <w:lvlText w:val="o"/>
      <w:lvlJc w:val="left"/>
      <w:pPr>
        <w:ind w:left="3475" w:hanging="360"/>
      </w:pPr>
      <w:rPr>
        <w:rFonts w:ascii="Courier New" w:hAnsi="Courier New" w:cs="Courier New" w:hint="default"/>
      </w:rPr>
    </w:lvl>
    <w:lvl w:ilvl="5" w:tplc="08090005" w:tentative="1">
      <w:start w:val="1"/>
      <w:numFmt w:val="bullet"/>
      <w:lvlText w:val=""/>
      <w:lvlJc w:val="left"/>
      <w:pPr>
        <w:ind w:left="4195" w:hanging="360"/>
      </w:pPr>
      <w:rPr>
        <w:rFonts w:ascii="Wingdings" w:hAnsi="Wingdings" w:hint="default"/>
      </w:rPr>
    </w:lvl>
    <w:lvl w:ilvl="6" w:tplc="08090001" w:tentative="1">
      <w:start w:val="1"/>
      <w:numFmt w:val="bullet"/>
      <w:lvlText w:val=""/>
      <w:lvlJc w:val="left"/>
      <w:pPr>
        <w:ind w:left="4915" w:hanging="360"/>
      </w:pPr>
      <w:rPr>
        <w:rFonts w:ascii="Symbol" w:hAnsi="Symbol" w:hint="default"/>
      </w:rPr>
    </w:lvl>
    <w:lvl w:ilvl="7" w:tplc="08090003" w:tentative="1">
      <w:start w:val="1"/>
      <w:numFmt w:val="bullet"/>
      <w:lvlText w:val="o"/>
      <w:lvlJc w:val="left"/>
      <w:pPr>
        <w:ind w:left="5635" w:hanging="360"/>
      </w:pPr>
      <w:rPr>
        <w:rFonts w:ascii="Courier New" w:hAnsi="Courier New" w:cs="Courier New" w:hint="default"/>
      </w:rPr>
    </w:lvl>
    <w:lvl w:ilvl="8" w:tplc="08090005" w:tentative="1">
      <w:start w:val="1"/>
      <w:numFmt w:val="bullet"/>
      <w:lvlText w:val=""/>
      <w:lvlJc w:val="left"/>
      <w:pPr>
        <w:ind w:left="6355" w:hanging="360"/>
      </w:pPr>
      <w:rPr>
        <w:rFonts w:ascii="Wingdings" w:hAnsi="Wingdings" w:hint="default"/>
      </w:rPr>
    </w:lvl>
  </w:abstractNum>
  <w:abstractNum w:abstractNumId="17" w15:restartNumberingAfterBreak="0">
    <w:nsid w:val="67394D61"/>
    <w:multiLevelType w:val="hybridMultilevel"/>
    <w:tmpl w:val="624A2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BAA2C9E"/>
    <w:multiLevelType w:val="hybridMultilevel"/>
    <w:tmpl w:val="C82CB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D7522E"/>
    <w:multiLevelType w:val="hybridMultilevel"/>
    <w:tmpl w:val="A5C89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7C56EB"/>
    <w:multiLevelType w:val="hybridMultilevel"/>
    <w:tmpl w:val="55E21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4777E7"/>
    <w:multiLevelType w:val="hybridMultilevel"/>
    <w:tmpl w:val="4C744D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A641190"/>
    <w:multiLevelType w:val="hybridMultilevel"/>
    <w:tmpl w:val="D3B8B2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C65D83"/>
    <w:multiLevelType w:val="hybridMultilevel"/>
    <w:tmpl w:val="4DDE9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968387646">
    <w:abstractNumId w:val="17"/>
  </w:num>
  <w:num w:numId="2" w16cid:durableId="1370033145">
    <w:abstractNumId w:val="21"/>
  </w:num>
  <w:num w:numId="3" w16cid:durableId="1142039546">
    <w:abstractNumId w:val="16"/>
  </w:num>
  <w:num w:numId="4" w16cid:durableId="1846703737">
    <w:abstractNumId w:val="1"/>
  </w:num>
  <w:num w:numId="5" w16cid:durableId="1258909024">
    <w:abstractNumId w:val="6"/>
  </w:num>
  <w:num w:numId="6" w16cid:durableId="492533226">
    <w:abstractNumId w:val="12"/>
  </w:num>
  <w:num w:numId="7" w16cid:durableId="1748111121">
    <w:abstractNumId w:val="3"/>
  </w:num>
  <w:num w:numId="8" w16cid:durableId="192235911">
    <w:abstractNumId w:val="20"/>
  </w:num>
  <w:num w:numId="9" w16cid:durableId="943464937">
    <w:abstractNumId w:val="11"/>
  </w:num>
  <w:num w:numId="10" w16cid:durableId="1058893438">
    <w:abstractNumId w:val="23"/>
  </w:num>
  <w:num w:numId="11" w16cid:durableId="140735224">
    <w:abstractNumId w:val="7"/>
  </w:num>
  <w:num w:numId="12" w16cid:durableId="308903209">
    <w:abstractNumId w:val="2"/>
  </w:num>
  <w:num w:numId="13" w16cid:durableId="2084257975">
    <w:abstractNumId w:val="10"/>
  </w:num>
  <w:num w:numId="14" w16cid:durableId="185095276">
    <w:abstractNumId w:val="0"/>
  </w:num>
  <w:num w:numId="15" w16cid:durableId="788016992">
    <w:abstractNumId w:val="4"/>
  </w:num>
  <w:num w:numId="16" w16cid:durableId="541721032">
    <w:abstractNumId w:val="24"/>
  </w:num>
  <w:num w:numId="17" w16cid:durableId="1475486033">
    <w:abstractNumId w:val="19"/>
  </w:num>
  <w:num w:numId="18" w16cid:durableId="277294485">
    <w:abstractNumId w:val="22"/>
  </w:num>
  <w:num w:numId="19" w16cid:durableId="1255826029">
    <w:abstractNumId w:val="9"/>
  </w:num>
  <w:num w:numId="20" w16cid:durableId="998507175">
    <w:abstractNumId w:val="15"/>
  </w:num>
  <w:num w:numId="21" w16cid:durableId="1036806473">
    <w:abstractNumId w:val="18"/>
  </w:num>
  <w:num w:numId="22" w16cid:durableId="2017224286">
    <w:abstractNumId w:val="14"/>
  </w:num>
  <w:num w:numId="23" w16cid:durableId="836920241">
    <w:abstractNumId w:val="8"/>
  </w:num>
  <w:num w:numId="24" w16cid:durableId="871189481">
    <w:abstractNumId w:val="13"/>
  </w:num>
  <w:num w:numId="25" w16cid:durableId="1346145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1E1"/>
    <w:rsid w:val="000001AA"/>
    <w:rsid w:val="00005BC5"/>
    <w:rsid w:val="00010C15"/>
    <w:rsid w:val="00021522"/>
    <w:rsid w:val="00034850"/>
    <w:rsid w:val="0006311C"/>
    <w:rsid w:val="00063BE0"/>
    <w:rsid w:val="00095899"/>
    <w:rsid w:val="000A45A8"/>
    <w:rsid w:val="000A6426"/>
    <w:rsid w:val="000C43AD"/>
    <w:rsid w:val="000C4D7A"/>
    <w:rsid w:val="000C5E4F"/>
    <w:rsid w:val="000D53A3"/>
    <w:rsid w:val="000F1AD9"/>
    <w:rsid w:val="00145F9A"/>
    <w:rsid w:val="00152A8F"/>
    <w:rsid w:val="00154BA8"/>
    <w:rsid w:val="00157FB6"/>
    <w:rsid w:val="00160E9A"/>
    <w:rsid w:val="0016248C"/>
    <w:rsid w:val="00172B28"/>
    <w:rsid w:val="00182EE2"/>
    <w:rsid w:val="001953DB"/>
    <w:rsid w:val="00195CE7"/>
    <w:rsid w:val="001C5115"/>
    <w:rsid w:val="001D22C6"/>
    <w:rsid w:val="001E11C8"/>
    <w:rsid w:val="001F1C6C"/>
    <w:rsid w:val="001F21DB"/>
    <w:rsid w:val="001F5D2F"/>
    <w:rsid w:val="00204B15"/>
    <w:rsid w:val="00231C4A"/>
    <w:rsid w:val="0026613D"/>
    <w:rsid w:val="00272D07"/>
    <w:rsid w:val="002768B9"/>
    <w:rsid w:val="0029049C"/>
    <w:rsid w:val="00293DE8"/>
    <w:rsid w:val="002B00E3"/>
    <w:rsid w:val="002C49DD"/>
    <w:rsid w:val="002C4D04"/>
    <w:rsid w:val="002D4D6F"/>
    <w:rsid w:val="003466C5"/>
    <w:rsid w:val="0035111D"/>
    <w:rsid w:val="00376816"/>
    <w:rsid w:val="003C5372"/>
    <w:rsid w:val="003E10EC"/>
    <w:rsid w:val="00417E8F"/>
    <w:rsid w:val="00467E00"/>
    <w:rsid w:val="004757C5"/>
    <w:rsid w:val="004A1E64"/>
    <w:rsid w:val="004A241C"/>
    <w:rsid w:val="004A59D5"/>
    <w:rsid w:val="004A6411"/>
    <w:rsid w:val="004B11FA"/>
    <w:rsid w:val="004C69B9"/>
    <w:rsid w:val="004F7DAB"/>
    <w:rsid w:val="00511B83"/>
    <w:rsid w:val="005319D3"/>
    <w:rsid w:val="00566ED3"/>
    <w:rsid w:val="005A45CB"/>
    <w:rsid w:val="005D076D"/>
    <w:rsid w:val="005D42E4"/>
    <w:rsid w:val="005E26B1"/>
    <w:rsid w:val="005F3057"/>
    <w:rsid w:val="00606A75"/>
    <w:rsid w:val="00650A80"/>
    <w:rsid w:val="006615E3"/>
    <w:rsid w:val="0066725C"/>
    <w:rsid w:val="00672C03"/>
    <w:rsid w:val="00680056"/>
    <w:rsid w:val="0069630E"/>
    <w:rsid w:val="00697D56"/>
    <w:rsid w:val="006D5BD8"/>
    <w:rsid w:val="006E65B6"/>
    <w:rsid w:val="006F25CD"/>
    <w:rsid w:val="007065D5"/>
    <w:rsid w:val="00717CFB"/>
    <w:rsid w:val="00717E67"/>
    <w:rsid w:val="0073312F"/>
    <w:rsid w:val="00762BA6"/>
    <w:rsid w:val="007A1C52"/>
    <w:rsid w:val="007C450F"/>
    <w:rsid w:val="0081779B"/>
    <w:rsid w:val="00825B15"/>
    <w:rsid w:val="008351E1"/>
    <w:rsid w:val="00841ACB"/>
    <w:rsid w:val="00843EC0"/>
    <w:rsid w:val="00846AE1"/>
    <w:rsid w:val="00866B2D"/>
    <w:rsid w:val="00877F44"/>
    <w:rsid w:val="00880E26"/>
    <w:rsid w:val="008B3FB9"/>
    <w:rsid w:val="008C4917"/>
    <w:rsid w:val="008E79A2"/>
    <w:rsid w:val="009307D8"/>
    <w:rsid w:val="009320A1"/>
    <w:rsid w:val="0094146E"/>
    <w:rsid w:val="009501C9"/>
    <w:rsid w:val="0097409E"/>
    <w:rsid w:val="00986F38"/>
    <w:rsid w:val="00986FB0"/>
    <w:rsid w:val="00987EE0"/>
    <w:rsid w:val="009968CE"/>
    <w:rsid w:val="009A4D22"/>
    <w:rsid w:val="009F6A78"/>
    <w:rsid w:val="00A02FB9"/>
    <w:rsid w:val="00A03016"/>
    <w:rsid w:val="00A05D4F"/>
    <w:rsid w:val="00A1624F"/>
    <w:rsid w:val="00A34AEE"/>
    <w:rsid w:val="00A37054"/>
    <w:rsid w:val="00A60047"/>
    <w:rsid w:val="00A932EC"/>
    <w:rsid w:val="00AA74FC"/>
    <w:rsid w:val="00AC38B3"/>
    <w:rsid w:val="00AD0DBC"/>
    <w:rsid w:val="00B0456D"/>
    <w:rsid w:val="00B146D4"/>
    <w:rsid w:val="00B22222"/>
    <w:rsid w:val="00B372DC"/>
    <w:rsid w:val="00B47A23"/>
    <w:rsid w:val="00B50D71"/>
    <w:rsid w:val="00B758C6"/>
    <w:rsid w:val="00B876F7"/>
    <w:rsid w:val="00B9564B"/>
    <w:rsid w:val="00BB5E58"/>
    <w:rsid w:val="00BB5EAA"/>
    <w:rsid w:val="00BC08E7"/>
    <w:rsid w:val="00BC3D0E"/>
    <w:rsid w:val="00BF22E3"/>
    <w:rsid w:val="00C00A36"/>
    <w:rsid w:val="00C05482"/>
    <w:rsid w:val="00C0713F"/>
    <w:rsid w:val="00C7000B"/>
    <w:rsid w:val="00C732C6"/>
    <w:rsid w:val="00C807AE"/>
    <w:rsid w:val="00C926C0"/>
    <w:rsid w:val="00C9447F"/>
    <w:rsid w:val="00CD02E8"/>
    <w:rsid w:val="00CD5982"/>
    <w:rsid w:val="00CE7F6E"/>
    <w:rsid w:val="00D00B34"/>
    <w:rsid w:val="00D151FB"/>
    <w:rsid w:val="00D37AB5"/>
    <w:rsid w:val="00D43BAE"/>
    <w:rsid w:val="00D57CBE"/>
    <w:rsid w:val="00D65648"/>
    <w:rsid w:val="00D74D72"/>
    <w:rsid w:val="00D75C8A"/>
    <w:rsid w:val="00D7648C"/>
    <w:rsid w:val="00D836C6"/>
    <w:rsid w:val="00D9064C"/>
    <w:rsid w:val="00DA1288"/>
    <w:rsid w:val="00DA58D8"/>
    <w:rsid w:val="00DE005B"/>
    <w:rsid w:val="00DE1513"/>
    <w:rsid w:val="00E03768"/>
    <w:rsid w:val="00E1300E"/>
    <w:rsid w:val="00E4508F"/>
    <w:rsid w:val="00E60AB0"/>
    <w:rsid w:val="00E94852"/>
    <w:rsid w:val="00EF2684"/>
    <w:rsid w:val="00EF7203"/>
    <w:rsid w:val="00F00B05"/>
    <w:rsid w:val="00F269AC"/>
    <w:rsid w:val="00F375AD"/>
    <w:rsid w:val="00F51413"/>
    <w:rsid w:val="00F57271"/>
    <w:rsid w:val="00F66C05"/>
    <w:rsid w:val="00F75C41"/>
    <w:rsid w:val="00F83060"/>
    <w:rsid w:val="00FB0633"/>
    <w:rsid w:val="00FD0A2B"/>
    <w:rsid w:val="00FD6567"/>
    <w:rsid w:val="00FE097C"/>
    <w:rsid w:val="00FE39E4"/>
    <w:rsid w:val="00FF0A6A"/>
    <w:rsid w:val="0899CF32"/>
    <w:rsid w:val="32A8BE24"/>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A808E"/>
  <w15:docId w15:val="{6F794505-0D4D-4B37-A608-388EF344E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9"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768B9"/>
  </w:style>
  <w:style w:type="paragraph" w:styleId="Heading1">
    <w:name w:val="heading 1"/>
    <w:basedOn w:val="Normal"/>
    <w:next w:val="Normal"/>
    <w:link w:val="Heading1Char"/>
    <w:uiPriority w:val="1"/>
    <w:qFormat/>
    <w:rsid w:val="00825B15"/>
    <w:pPr>
      <w:keepNext/>
      <w:spacing w:after="120" w:line="278" w:lineRule="auto"/>
      <w:outlineLvl w:val="0"/>
    </w:pPr>
    <w:rPr>
      <w:rFonts w:ascii="Arial" w:hAnsi="Arial"/>
      <w:b/>
      <w:bCs/>
      <w:kern w:val="32"/>
      <w:sz w:val="28"/>
      <w:szCs w:val="32"/>
      <w14:ligatures w14:val="standardContextual"/>
    </w:rPr>
  </w:style>
  <w:style w:type="paragraph" w:styleId="Heading2">
    <w:name w:val="heading 2"/>
    <w:basedOn w:val="Normal"/>
    <w:next w:val="Normal"/>
    <w:link w:val="Heading2Char"/>
    <w:uiPriority w:val="9"/>
    <w:unhideWhenUsed/>
    <w:qFormat/>
    <w:rsid w:val="00825B1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3"/>
    <w:qFormat/>
    <w:rsid w:val="00825B15"/>
    <w:pPr>
      <w:keepNext/>
      <w:spacing w:after="60" w:line="278" w:lineRule="auto"/>
      <w:outlineLvl w:val="2"/>
    </w:pPr>
    <w:rPr>
      <w:rFonts w:ascii="Arial" w:hAnsi="Arial"/>
      <w:b/>
      <w:bCs/>
      <w:kern w:val="2"/>
      <w:sz w:val="24"/>
      <w:szCs w:val="26"/>
      <w14:ligatures w14:val="standardContextual"/>
    </w:rPr>
  </w:style>
  <w:style w:type="paragraph" w:styleId="Heading4">
    <w:name w:val="heading 4"/>
    <w:basedOn w:val="Normal"/>
    <w:next w:val="Normal"/>
    <w:link w:val="Heading4Char"/>
    <w:uiPriority w:val="9"/>
    <w:qFormat/>
    <w:rsid w:val="00825B15"/>
    <w:pPr>
      <w:spacing w:before="200" w:line="278" w:lineRule="auto"/>
      <w:outlineLvl w:val="3"/>
    </w:pPr>
    <w:rPr>
      <w:rFonts w:ascii="Cambria" w:hAnsi="Cambria"/>
      <w:b/>
      <w:bCs/>
      <w:i/>
      <w:iCs/>
      <w:kern w:val="2"/>
      <w:sz w:val="24"/>
      <w:szCs w:val="24"/>
      <w14:ligatures w14:val="standardContextual"/>
    </w:rPr>
  </w:style>
  <w:style w:type="paragraph" w:styleId="Heading5">
    <w:name w:val="heading 5"/>
    <w:basedOn w:val="Normal"/>
    <w:next w:val="Normal"/>
    <w:link w:val="Heading5Char"/>
    <w:uiPriority w:val="9"/>
    <w:qFormat/>
    <w:rsid w:val="00825B15"/>
    <w:pPr>
      <w:spacing w:before="200" w:line="278" w:lineRule="auto"/>
      <w:outlineLvl w:val="4"/>
    </w:pPr>
    <w:rPr>
      <w:rFonts w:ascii="Cambria" w:hAnsi="Cambria"/>
      <w:b/>
      <w:bCs/>
      <w:color w:val="7F7F7F"/>
      <w:kern w:val="2"/>
      <w:sz w:val="24"/>
      <w:szCs w:val="24"/>
      <w14:ligatures w14:val="standardContextual"/>
    </w:rPr>
  </w:style>
  <w:style w:type="paragraph" w:styleId="Heading6">
    <w:name w:val="heading 6"/>
    <w:basedOn w:val="Normal"/>
    <w:next w:val="Normal"/>
    <w:link w:val="Heading6Char"/>
    <w:uiPriority w:val="9"/>
    <w:qFormat/>
    <w:rsid w:val="00825B15"/>
    <w:pPr>
      <w:spacing w:line="271" w:lineRule="auto"/>
      <w:outlineLvl w:val="5"/>
    </w:pPr>
    <w:rPr>
      <w:rFonts w:ascii="Cambria" w:hAnsi="Cambria"/>
      <w:b/>
      <w:bCs/>
      <w:i/>
      <w:iCs/>
      <w:color w:val="7F7F7F"/>
      <w:kern w:val="2"/>
      <w:sz w:val="24"/>
      <w:szCs w:val="24"/>
      <w14:ligatures w14:val="standardContextual"/>
    </w:rPr>
  </w:style>
  <w:style w:type="paragraph" w:styleId="Heading7">
    <w:name w:val="heading 7"/>
    <w:basedOn w:val="Normal"/>
    <w:next w:val="Normal"/>
    <w:link w:val="Heading7Char"/>
    <w:uiPriority w:val="9"/>
    <w:qFormat/>
    <w:rsid w:val="00825B15"/>
    <w:pPr>
      <w:spacing w:line="278" w:lineRule="auto"/>
      <w:outlineLvl w:val="6"/>
    </w:pPr>
    <w:rPr>
      <w:rFonts w:ascii="Cambria" w:hAnsi="Cambria"/>
      <w:i/>
      <w:iCs/>
      <w:kern w:val="2"/>
      <w:sz w:val="24"/>
      <w:szCs w:val="24"/>
      <w14:ligatures w14:val="standardContextual"/>
    </w:rPr>
  </w:style>
  <w:style w:type="paragraph" w:styleId="Heading8">
    <w:name w:val="heading 8"/>
    <w:basedOn w:val="Normal"/>
    <w:next w:val="Normal"/>
    <w:link w:val="Heading8Char"/>
    <w:uiPriority w:val="9"/>
    <w:qFormat/>
    <w:rsid w:val="00825B15"/>
    <w:pPr>
      <w:spacing w:line="278" w:lineRule="auto"/>
      <w:outlineLvl w:val="7"/>
    </w:pPr>
    <w:rPr>
      <w:rFonts w:ascii="Cambria" w:hAnsi="Cambria"/>
      <w:kern w:val="2"/>
      <w:sz w:val="20"/>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51E1"/>
    <w:rPr>
      <w:color w:val="0563C1" w:themeColor="hyperlink"/>
      <w:u w:val="single"/>
    </w:rPr>
  </w:style>
  <w:style w:type="paragraph" w:styleId="ListParagraph">
    <w:name w:val="List Paragraph"/>
    <w:basedOn w:val="Normal"/>
    <w:uiPriority w:val="99"/>
    <w:qFormat/>
    <w:rsid w:val="008351E1"/>
    <w:pPr>
      <w:ind w:left="720"/>
      <w:contextualSpacing/>
    </w:pPr>
  </w:style>
  <w:style w:type="table" w:styleId="TableGrid">
    <w:name w:val="Table Grid"/>
    <w:basedOn w:val="TableNormal"/>
    <w:uiPriority w:val="59"/>
    <w:rsid w:val="008351E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351E1"/>
    <w:rPr>
      <w:color w:val="605E5C"/>
      <w:shd w:val="clear" w:color="auto" w:fill="E1DFDD"/>
    </w:rPr>
  </w:style>
  <w:style w:type="paragraph" w:styleId="Header">
    <w:name w:val="header"/>
    <w:basedOn w:val="Normal"/>
    <w:link w:val="HeaderChar"/>
    <w:uiPriority w:val="99"/>
    <w:unhideWhenUsed/>
    <w:rsid w:val="008351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1E1"/>
  </w:style>
  <w:style w:type="paragraph" w:styleId="Footer">
    <w:name w:val="footer"/>
    <w:basedOn w:val="Normal"/>
    <w:link w:val="FooterChar"/>
    <w:uiPriority w:val="99"/>
    <w:unhideWhenUsed/>
    <w:rsid w:val="008351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1E1"/>
  </w:style>
  <w:style w:type="paragraph" w:styleId="Revision">
    <w:name w:val="Revision"/>
    <w:hidden/>
    <w:uiPriority w:val="99"/>
    <w:semiHidden/>
    <w:rsid w:val="00AD0DBC"/>
    <w:pPr>
      <w:spacing w:after="0" w:line="240" w:lineRule="auto"/>
    </w:pPr>
  </w:style>
  <w:style w:type="character" w:styleId="CommentReference">
    <w:name w:val="annotation reference"/>
    <w:basedOn w:val="DefaultParagraphFont"/>
    <w:uiPriority w:val="99"/>
    <w:semiHidden/>
    <w:unhideWhenUsed/>
    <w:rsid w:val="006F25CD"/>
    <w:rPr>
      <w:sz w:val="16"/>
      <w:szCs w:val="16"/>
    </w:rPr>
  </w:style>
  <w:style w:type="paragraph" w:styleId="CommentText">
    <w:name w:val="annotation text"/>
    <w:basedOn w:val="Normal"/>
    <w:link w:val="CommentTextChar"/>
    <w:uiPriority w:val="99"/>
    <w:unhideWhenUsed/>
    <w:rsid w:val="006F25CD"/>
    <w:pPr>
      <w:spacing w:line="240" w:lineRule="auto"/>
    </w:pPr>
    <w:rPr>
      <w:sz w:val="20"/>
      <w:szCs w:val="20"/>
    </w:rPr>
  </w:style>
  <w:style w:type="character" w:customStyle="1" w:styleId="CommentTextChar">
    <w:name w:val="Comment Text Char"/>
    <w:basedOn w:val="DefaultParagraphFont"/>
    <w:link w:val="CommentText"/>
    <w:uiPriority w:val="99"/>
    <w:rsid w:val="006F25CD"/>
    <w:rPr>
      <w:sz w:val="20"/>
      <w:szCs w:val="20"/>
    </w:rPr>
  </w:style>
  <w:style w:type="paragraph" w:styleId="CommentSubject">
    <w:name w:val="annotation subject"/>
    <w:basedOn w:val="CommentText"/>
    <w:next w:val="CommentText"/>
    <w:link w:val="CommentSubjectChar"/>
    <w:uiPriority w:val="99"/>
    <w:semiHidden/>
    <w:unhideWhenUsed/>
    <w:rsid w:val="006F25CD"/>
    <w:rPr>
      <w:b/>
      <w:bCs/>
    </w:rPr>
  </w:style>
  <w:style w:type="character" w:customStyle="1" w:styleId="CommentSubjectChar">
    <w:name w:val="Comment Subject Char"/>
    <w:basedOn w:val="CommentTextChar"/>
    <w:link w:val="CommentSubject"/>
    <w:uiPriority w:val="99"/>
    <w:semiHidden/>
    <w:rsid w:val="006F25CD"/>
    <w:rPr>
      <w:b/>
      <w:bCs/>
      <w:sz w:val="20"/>
      <w:szCs w:val="20"/>
    </w:rPr>
  </w:style>
  <w:style w:type="character" w:styleId="FollowedHyperlink">
    <w:name w:val="FollowedHyperlink"/>
    <w:basedOn w:val="DefaultParagraphFont"/>
    <w:uiPriority w:val="99"/>
    <w:semiHidden/>
    <w:unhideWhenUsed/>
    <w:rsid w:val="000A45A8"/>
    <w:rPr>
      <w:color w:val="954F72" w:themeColor="followedHyperlink"/>
      <w:u w:val="single"/>
    </w:rPr>
  </w:style>
  <w:style w:type="paragraph" w:styleId="BalloonText">
    <w:name w:val="Balloon Text"/>
    <w:basedOn w:val="Normal"/>
    <w:link w:val="BalloonTextChar"/>
    <w:uiPriority w:val="99"/>
    <w:semiHidden/>
    <w:unhideWhenUsed/>
    <w:rsid w:val="000958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899"/>
    <w:rPr>
      <w:rFonts w:ascii="Tahoma" w:hAnsi="Tahoma" w:cs="Tahoma"/>
      <w:sz w:val="16"/>
      <w:szCs w:val="16"/>
    </w:rPr>
  </w:style>
  <w:style w:type="paragraph" w:styleId="NormalWeb">
    <w:name w:val="Normal (Web)"/>
    <w:basedOn w:val="Normal"/>
    <w:uiPriority w:val="99"/>
    <w:unhideWhenUsed/>
    <w:rsid w:val="00717CF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D00B34"/>
    <w:rPr>
      <w:color w:val="605E5C"/>
      <w:shd w:val="clear" w:color="auto" w:fill="E1DFDD"/>
    </w:rPr>
  </w:style>
  <w:style w:type="numbering" w:customStyle="1" w:styleId="PGDbullet2">
    <w:name w:val="PGD bullet 2"/>
    <w:basedOn w:val="NoList"/>
    <w:rsid w:val="00825B15"/>
    <w:pPr>
      <w:numPr>
        <w:numId w:val="13"/>
      </w:numPr>
    </w:pPr>
  </w:style>
  <w:style w:type="paragraph" w:customStyle="1" w:styleId="PGDHeading2">
    <w:name w:val="PGD Heading 2"/>
    <w:basedOn w:val="Heading2"/>
    <w:rsid w:val="00825B15"/>
    <w:rPr>
      <w:rFonts w:ascii="Arial" w:hAnsi="Arial" w:cs="Arial"/>
      <w:color w:val="auto"/>
      <w:sz w:val="28"/>
      <w:szCs w:val="28"/>
    </w:rPr>
  </w:style>
  <w:style w:type="character" w:customStyle="1" w:styleId="Heading2Char">
    <w:name w:val="Heading 2 Char"/>
    <w:basedOn w:val="DefaultParagraphFont"/>
    <w:link w:val="Heading2"/>
    <w:uiPriority w:val="9"/>
    <w:rsid w:val="00825B15"/>
    <w:rPr>
      <w:rFonts w:asciiTheme="majorHAnsi" w:eastAsiaTheme="majorEastAsia" w:hAnsiTheme="majorHAnsi" w:cstheme="majorBidi"/>
      <w:color w:val="2F5496" w:themeColor="accent1" w:themeShade="BF"/>
      <w:kern w:val="2"/>
      <w:sz w:val="32"/>
      <w:szCs w:val="32"/>
      <w14:ligatures w14:val="standardContextual"/>
    </w:rPr>
  </w:style>
  <w:style w:type="paragraph" w:customStyle="1" w:styleId="PGDlogo">
    <w:name w:val="PGD logo"/>
    <w:basedOn w:val="Normal"/>
    <w:rsid w:val="00825B15"/>
    <w:pPr>
      <w:spacing w:after="240" w:line="360" w:lineRule="auto"/>
      <w:jc w:val="right"/>
    </w:pPr>
    <w:rPr>
      <w:rFonts w:ascii="Arial" w:eastAsia="Times New Roman" w:hAnsi="Arial" w:cs="Times New Roman"/>
      <w:sz w:val="24"/>
      <w:szCs w:val="20"/>
      <w:lang w:val="en-US"/>
    </w:rPr>
  </w:style>
  <w:style w:type="paragraph" w:customStyle="1" w:styleId="PGDLogo0">
    <w:name w:val="PGD Logo"/>
    <w:basedOn w:val="Normal"/>
    <w:rsid w:val="00825B15"/>
    <w:pPr>
      <w:spacing w:after="240" w:line="240" w:lineRule="auto"/>
      <w:jc w:val="right"/>
    </w:pPr>
    <w:rPr>
      <w:rFonts w:ascii="Arial" w:eastAsia="Times New Roman" w:hAnsi="Arial" w:cs="Times New Roman"/>
      <w:szCs w:val="20"/>
      <w:lang w:val="en-US"/>
    </w:rPr>
  </w:style>
  <w:style w:type="paragraph" w:customStyle="1" w:styleId="PGDNormal">
    <w:name w:val="PGD Normal"/>
    <w:basedOn w:val="Normal"/>
    <w:rsid w:val="00825B15"/>
    <w:pPr>
      <w:spacing w:after="240" w:line="240" w:lineRule="auto"/>
    </w:pPr>
    <w:rPr>
      <w:rFonts w:ascii="Arial" w:eastAsia="Times New Roman" w:hAnsi="Arial" w:cs="Times New Roman"/>
      <w:szCs w:val="24"/>
      <w:lang w:val="en-US"/>
    </w:rPr>
  </w:style>
  <w:style w:type="character" w:customStyle="1" w:styleId="PGDNormalBold">
    <w:name w:val="PGD Normal Bold"/>
    <w:basedOn w:val="DefaultParagraphFont"/>
    <w:rsid w:val="00825B15"/>
    <w:rPr>
      <w:rFonts w:ascii="Arial" w:hAnsi="Arial"/>
      <w:b/>
      <w:bCs/>
    </w:rPr>
  </w:style>
  <w:style w:type="paragraph" w:customStyle="1" w:styleId="PGDtablebullet0">
    <w:name w:val="PGD table bullet"/>
    <w:basedOn w:val="Normal"/>
    <w:rsid w:val="00825B15"/>
    <w:pPr>
      <w:spacing w:after="0" w:line="240" w:lineRule="auto"/>
    </w:pPr>
    <w:rPr>
      <w:rFonts w:ascii="Arial" w:eastAsia="Times New Roman" w:hAnsi="Arial" w:cs="Times New Roman"/>
      <w:kern w:val="2"/>
      <w:sz w:val="24"/>
      <w:szCs w:val="20"/>
      <w14:ligatures w14:val="standardContextual"/>
    </w:rPr>
  </w:style>
  <w:style w:type="numbering" w:customStyle="1" w:styleId="PGDTableBullet">
    <w:name w:val="PGD Table Bullet"/>
    <w:basedOn w:val="NoList"/>
    <w:uiPriority w:val="99"/>
    <w:rsid w:val="00825B15"/>
    <w:pPr>
      <w:numPr>
        <w:numId w:val="14"/>
      </w:numPr>
    </w:pPr>
  </w:style>
  <w:style w:type="numbering" w:customStyle="1" w:styleId="PGDtablebullet1">
    <w:name w:val="PGD table bullet 1"/>
    <w:basedOn w:val="NoList"/>
    <w:rsid w:val="00825B15"/>
    <w:pPr>
      <w:numPr>
        <w:numId w:val="15"/>
      </w:numPr>
    </w:pPr>
  </w:style>
  <w:style w:type="numbering" w:customStyle="1" w:styleId="PGDtablebullet2">
    <w:name w:val="PGD table bullet 2"/>
    <w:basedOn w:val="NoList"/>
    <w:rsid w:val="00825B15"/>
    <w:pPr>
      <w:numPr>
        <w:numId w:val="16"/>
      </w:numPr>
    </w:pPr>
  </w:style>
  <w:style w:type="paragraph" w:customStyle="1" w:styleId="PGDTitle1">
    <w:name w:val="PGD Title 1"/>
    <w:basedOn w:val="Normal"/>
    <w:rsid w:val="00825B15"/>
    <w:pPr>
      <w:spacing w:line="278" w:lineRule="auto"/>
      <w:jc w:val="center"/>
    </w:pPr>
    <w:rPr>
      <w:rFonts w:ascii="Arial" w:hAnsi="Arial"/>
      <w:b/>
      <w:bCs/>
      <w:kern w:val="2"/>
      <w:sz w:val="44"/>
      <w:szCs w:val="20"/>
      <w14:ligatures w14:val="standardContextual"/>
    </w:rPr>
  </w:style>
  <w:style w:type="paragraph" w:customStyle="1" w:styleId="PGDTitle">
    <w:name w:val="PGD Title"/>
    <w:basedOn w:val="Normal"/>
    <w:rsid w:val="00825B15"/>
    <w:pPr>
      <w:spacing w:line="278" w:lineRule="auto"/>
      <w:jc w:val="center"/>
    </w:pPr>
    <w:rPr>
      <w:rFonts w:ascii="Arial" w:hAnsi="Arial"/>
      <w:b/>
      <w:kern w:val="2"/>
      <w:sz w:val="36"/>
      <w:szCs w:val="36"/>
      <w14:ligatures w14:val="standardContextual"/>
    </w:rPr>
  </w:style>
  <w:style w:type="paragraph" w:customStyle="1" w:styleId="PGDVersion">
    <w:name w:val="PGD Version"/>
    <w:basedOn w:val="Normal"/>
    <w:rsid w:val="00825B15"/>
    <w:pPr>
      <w:spacing w:line="278" w:lineRule="auto"/>
      <w:jc w:val="center"/>
    </w:pPr>
    <w:rPr>
      <w:rFonts w:ascii="Arial" w:eastAsia="Times New Roman" w:hAnsi="Arial" w:cs="Times New Roman"/>
      <w:kern w:val="2"/>
      <w:sz w:val="28"/>
      <w:szCs w:val="20"/>
      <w14:ligatures w14:val="standardContextual"/>
    </w:rPr>
  </w:style>
  <w:style w:type="character" w:customStyle="1" w:styleId="PGDVersionNumber">
    <w:name w:val="PGD Version Number"/>
    <w:basedOn w:val="DefaultParagraphFont"/>
    <w:qFormat/>
    <w:rsid w:val="00825B15"/>
    <w:rPr>
      <w:rFonts w:ascii="Arial" w:hAnsi="Arial"/>
      <w:sz w:val="28"/>
    </w:rPr>
  </w:style>
  <w:style w:type="character" w:customStyle="1" w:styleId="TableHeaderColumn">
    <w:name w:val="Table Header Column"/>
    <w:basedOn w:val="DefaultParagraphFont"/>
    <w:rsid w:val="00825B15"/>
    <w:rPr>
      <w:rFonts w:ascii="Arial" w:hAnsi="Arial"/>
      <w:b/>
      <w:bCs/>
      <w:sz w:val="20"/>
    </w:rPr>
  </w:style>
  <w:style w:type="paragraph" w:customStyle="1" w:styleId="TableHeaderRow">
    <w:name w:val="Table Header Row"/>
    <w:basedOn w:val="Normal"/>
    <w:rsid w:val="00825B15"/>
    <w:pPr>
      <w:spacing w:line="278" w:lineRule="auto"/>
    </w:pPr>
    <w:rPr>
      <w:rFonts w:ascii="Arial" w:hAnsi="Arial"/>
      <w:b/>
      <w:bCs/>
      <w:kern w:val="2"/>
      <w:sz w:val="20"/>
      <w:szCs w:val="20"/>
      <w14:ligatures w14:val="standardContextual"/>
    </w:rPr>
  </w:style>
  <w:style w:type="table" w:customStyle="1" w:styleId="Tableheading">
    <w:name w:val="Table heading"/>
    <w:basedOn w:val="TableNormal"/>
    <w:uiPriority w:val="99"/>
    <w:rsid w:val="00825B15"/>
    <w:pPr>
      <w:spacing w:after="0" w:line="240" w:lineRule="auto"/>
    </w:pPr>
    <w:rPr>
      <w:rFonts w:ascii="Arial" w:hAnsi="Arial"/>
      <w:b/>
      <w:color w:val="000000" w:themeColor="text1"/>
      <w:kern w:val="2"/>
      <w:sz w:val="24"/>
      <w14:ligatures w14:val="standardContextual"/>
    </w:rPr>
    <w:tblPr/>
    <w:tcPr>
      <w:shd w:val="clear" w:color="auto" w:fill="FFFFFF" w:themeFill="background1"/>
    </w:tcPr>
    <w:tblStylePr w:type="firstRow">
      <w:rPr>
        <w:rFonts w:ascii="Arial" w:hAnsi="Arial"/>
        <w:b/>
        <w:sz w:val="24"/>
      </w:rPr>
    </w:tblStylePr>
  </w:style>
  <w:style w:type="paragraph" w:customStyle="1" w:styleId="Tabletext">
    <w:name w:val="Table text"/>
    <w:basedOn w:val="PGDNormal"/>
    <w:rsid w:val="00825B15"/>
    <w:pPr>
      <w:keepNext/>
      <w:spacing w:after="60"/>
    </w:pPr>
  </w:style>
  <w:style w:type="paragraph" w:customStyle="1" w:styleId="Tabletitle">
    <w:name w:val="Table title"/>
    <w:basedOn w:val="Normal"/>
    <w:next w:val="Normal"/>
    <w:rsid w:val="00825B15"/>
    <w:pPr>
      <w:keepNext/>
      <w:spacing w:after="60" w:line="240" w:lineRule="auto"/>
    </w:pPr>
    <w:rPr>
      <w:rFonts w:ascii="Arial" w:eastAsia="Times New Roman" w:hAnsi="Arial" w:cs="Times New Roman"/>
      <w:b/>
      <w:sz w:val="24"/>
      <w:szCs w:val="24"/>
      <w:lang w:val="en-US"/>
    </w:rPr>
  </w:style>
  <w:style w:type="character" w:customStyle="1" w:styleId="Heading1Char">
    <w:name w:val="Heading 1 Char"/>
    <w:link w:val="Heading1"/>
    <w:uiPriority w:val="1"/>
    <w:rsid w:val="00825B15"/>
    <w:rPr>
      <w:rFonts w:ascii="Arial" w:hAnsi="Arial"/>
      <w:b/>
      <w:bCs/>
      <w:kern w:val="32"/>
      <w:sz w:val="28"/>
      <w:szCs w:val="32"/>
      <w14:ligatures w14:val="standardContextual"/>
    </w:rPr>
  </w:style>
  <w:style w:type="character" w:customStyle="1" w:styleId="Heading3Char">
    <w:name w:val="Heading 3 Char"/>
    <w:link w:val="Heading3"/>
    <w:uiPriority w:val="3"/>
    <w:rsid w:val="00825B15"/>
    <w:rPr>
      <w:rFonts w:ascii="Arial" w:hAnsi="Arial"/>
      <w:b/>
      <w:bCs/>
      <w:kern w:val="2"/>
      <w:sz w:val="24"/>
      <w:szCs w:val="26"/>
      <w14:ligatures w14:val="standardContextual"/>
    </w:rPr>
  </w:style>
  <w:style w:type="character" w:customStyle="1" w:styleId="Heading4Char">
    <w:name w:val="Heading 4 Char"/>
    <w:link w:val="Heading4"/>
    <w:uiPriority w:val="9"/>
    <w:rsid w:val="00825B15"/>
    <w:rPr>
      <w:rFonts w:ascii="Cambria" w:hAnsi="Cambria"/>
      <w:b/>
      <w:bCs/>
      <w:i/>
      <w:iCs/>
      <w:kern w:val="2"/>
      <w:sz w:val="24"/>
      <w:szCs w:val="24"/>
      <w14:ligatures w14:val="standardContextual"/>
    </w:rPr>
  </w:style>
  <w:style w:type="character" w:customStyle="1" w:styleId="Heading5Char">
    <w:name w:val="Heading 5 Char"/>
    <w:link w:val="Heading5"/>
    <w:uiPriority w:val="9"/>
    <w:rsid w:val="00825B15"/>
    <w:rPr>
      <w:rFonts w:ascii="Cambria" w:hAnsi="Cambria"/>
      <w:b/>
      <w:bCs/>
      <w:color w:val="7F7F7F"/>
      <w:kern w:val="2"/>
      <w:sz w:val="24"/>
      <w:szCs w:val="24"/>
      <w14:ligatures w14:val="standardContextual"/>
    </w:rPr>
  </w:style>
  <w:style w:type="character" w:customStyle="1" w:styleId="Heading6Char">
    <w:name w:val="Heading 6 Char"/>
    <w:link w:val="Heading6"/>
    <w:uiPriority w:val="9"/>
    <w:rsid w:val="00825B15"/>
    <w:rPr>
      <w:rFonts w:ascii="Cambria" w:hAnsi="Cambria"/>
      <w:b/>
      <w:bCs/>
      <w:i/>
      <w:iCs/>
      <w:color w:val="7F7F7F"/>
      <w:kern w:val="2"/>
      <w:sz w:val="24"/>
      <w:szCs w:val="24"/>
      <w14:ligatures w14:val="standardContextual"/>
    </w:rPr>
  </w:style>
  <w:style w:type="character" w:customStyle="1" w:styleId="Heading7Char">
    <w:name w:val="Heading 7 Char"/>
    <w:link w:val="Heading7"/>
    <w:uiPriority w:val="9"/>
    <w:rsid w:val="00825B15"/>
    <w:rPr>
      <w:rFonts w:ascii="Cambria" w:hAnsi="Cambria"/>
      <w:i/>
      <w:iCs/>
      <w:kern w:val="2"/>
      <w:sz w:val="24"/>
      <w:szCs w:val="24"/>
      <w14:ligatures w14:val="standardContextual"/>
    </w:rPr>
  </w:style>
  <w:style w:type="character" w:customStyle="1" w:styleId="Heading8Char">
    <w:name w:val="Heading 8 Char"/>
    <w:link w:val="Heading8"/>
    <w:uiPriority w:val="9"/>
    <w:rsid w:val="00825B15"/>
    <w:rPr>
      <w:rFonts w:ascii="Cambria" w:hAnsi="Cambria"/>
      <w:kern w:val="2"/>
      <w:sz w:val="20"/>
      <w:szCs w:val="20"/>
      <w14:ligatures w14:val="standardContextual"/>
    </w:rPr>
  </w:style>
  <w:style w:type="character" w:styleId="UnresolvedMention">
    <w:name w:val="Unresolved Mention"/>
    <w:basedOn w:val="DefaultParagraphFont"/>
    <w:uiPriority w:val="99"/>
    <w:semiHidden/>
    <w:unhideWhenUsed/>
    <w:rsid w:val="00417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076026">
      <w:bodyDiv w:val="1"/>
      <w:marLeft w:val="0"/>
      <w:marRight w:val="0"/>
      <w:marTop w:val="0"/>
      <w:marBottom w:val="0"/>
      <w:divBdr>
        <w:top w:val="none" w:sz="0" w:space="0" w:color="auto"/>
        <w:left w:val="none" w:sz="0" w:space="0" w:color="auto"/>
        <w:bottom w:val="none" w:sz="0" w:space="0" w:color="auto"/>
        <w:right w:val="none" w:sz="0" w:space="0" w:color="auto"/>
      </w:divBdr>
    </w:div>
    <w:div w:id="150897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ps.nhs.uk/articles/about-the-sps-medicines-governance-do-once-programm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sps.nhs.uk/articles/when-not-to-use-a-pgd/" TargetMode="External"/><Relationship Id="rId17" Type="http://schemas.openxmlformats.org/officeDocument/2006/relationships/hyperlink" Target="https://www.medicines.org.uk/emc" TargetMode="External"/><Relationship Id="rId2" Type="http://schemas.openxmlformats.org/officeDocument/2006/relationships/customXml" Target="../customXml/item2.xml"/><Relationship Id="rId16" Type="http://schemas.openxmlformats.org/officeDocument/2006/relationships/hyperlink" Target="https://yellowcard.mhra.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s.nhs.uk/home/guidance/patient-group-directions-and-legal-mechanisms/national-pgd-protocol-and-written-instructions-templates/" TargetMode="External"/><Relationship Id="rId5" Type="http://schemas.openxmlformats.org/officeDocument/2006/relationships/numbering" Target="numbering.xml"/><Relationship Id="rId15" Type="http://schemas.openxmlformats.org/officeDocument/2006/relationships/hyperlink" Target="https://www.medicines.org.uk/emc/product/882/rmm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dicines.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9" ma:contentTypeDescription="Create a new document." ma:contentTypeScope="" ma:versionID="2ff25c9ba4e0d8b4b22936a6d5f18b19">
  <xsd:schema xmlns:xsd="http://www.w3.org/2001/XMLSchema" xmlns:xs="http://www.w3.org/2001/XMLSchema" xmlns:p="http://schemas.microsoft.com/office/2006/metadata/properties" xmlns:ns2="f161132f-3af4-47f5-b28f-8075dccddbe8" targetNamespace="http://schemas.microsoft.com/office/2006/metadata/properties" ma:root="true" ma:fieldsID="238cc67e6f7b512ea7bb1b53bdd966ed"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element ref="ns2:Reviewcomplet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element name="Reviewcompleted" ma:index="22" nillable="true" ma:displayName="Review completed" ma:description="Review completed but version remains published until expiry date.  Select to remove from dashboard review due section" ma:format="Dropdown" ma:internalName="Reviewcompleted">
      <xsd:simpleType>
        <xsd:restriction base="dms:Choice">
          <xsd:enumeration value="Yes"/>
          <xsd:enumeration value="No"/>
          <xsd:enumeration value="Choice 3"/>
        </xsd:restrictio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rdcreated xmlns="f161132f-3af4-47f5-b28f-8075dccddbe8">
      <Url>https://digitalliverpool.sharepoint.com/sites/SPSDigital/Lists/Content%20Directory/DispForm.aspx?ID=2811&amp;e=eA6VbZ</Url>
      <Description>Lignocaine spray card</Description>
    </Cardcreated>
    <Templatecounting xmlns="f161132f-3af4-47f5-b28f-8075dccddbe8">Protocol for KPI</Templatecounting>
    <Accessibletemplate xmlns="f161132f-3af4-47f5-b28f-8075dccddbe8">true</Accessibletemplate>
    <Workstream xmlns="f161132f-3af4-47f5-b28f-8075dccddbe8">Reproductive Health</Workstream>
    <ReviewDate xmlns="f161132f-3af4-47f5-b28f-8075dccddbe8">2028-06-30T23:00:00+00:00</ReviewDate>
    <Versionnumber xmlns="f161132f-3af4-47f5-b28f-8075dccddbe8">2</Versionnumber>
    <ProgrammeBoardMeeting xmlns="f161132f-3af4-47f5-b28f-8075dccddbe8">2028-10-18T23:00:00+00:00</ProgrammeBoardMeeting>
    <PublishedDate xmlns="f161132f-3af4-47f5-b28f-8075dccddbe8">2025-10-22T23:00:00+00:00</PublishedDate>
    <Effectivefromdate xmlns="f161132f-3af4-47f5-b28f-8075dccddbe8">2026-01-01T00:00:00+00:00</Effectivefromdate>
    <RAGrating xmlns="f161132f-3af4-47f5-b28f-8075dccddbe8" xsi:nil="true"/>
    <ExpiryDate xmlns="f161132f-3af4-47f5-b28f-8075dccddbe8">2028-12-31T00:00:00+00:00</ExpiryDate>
    <Reviewcompleted xmlns="f161132f-3af4-47f5-b28f-8075dccddbe8" xsi:nil="true"/>
    <_ApprovalAssignedTo xmlns="f161132f-3af4-47f5-b28f-8075dccddbe8">
      <UserInfo>
        <DisplayName/>
        <AccountId xsi:nil="true"/>
        <AccountType/>
      </UserInfo>
    </_ApprovalAssignedTo>
    <_ApprovalSentBy xmlns="f161132f-3af4-47f5-b28f-8075dccddbe8">
      <UserInfo>
        <DisplayName/>
        <AccountId xsi:nil="true"/>
        <AccountType/>
      </UserInfo>
    </_ApprovalSentBy>
    <_ApprovalStatus xmlns="f161132f-3af4-47f5-b28f-8075dccddbe8">0</_ApprovalStatus>
    <_ApprovalRespondedBy xmlns="f161132f-3af4-47f5-b28f-8075dccddbe8">
      <UserInfo>
        <DisplayName/>
        <AccountId xsi:nil="true"/>
        <AccountType/>
      </UserInfo>
    </_ApprovalRespondedB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0FF4C-37F1-4D6B-9671-F9AEFFCF3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1132f-3af4-47f5-b28f-8075dccdd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960280-4BB7-4D8E-9726-EFD38878C665}">
  <ds:schemaRefs>
    <ds:schemaRef ds:uri="http://schemas.microsoft.com/sharepoint/v3/contenttype/forms"/>
  </ds:schemaRefs>
</ds:datastoreItem>
</file>

<file path=customXml/itemProps3.xml><?xml version="1.0" encoding="utf-8"?>
<ds:datastoreItem xmlns:ds="http://schemas.openxmlformats.org/officeDocument/2006/customXml" ds:itemID="{C3BAA455-06E7-4845-A7B9-021E4DF7DD55}">
  <ds:schemaRefs>
    <ds:schemaRef ds:uri="http://schemas.microsoft.com/office/infopath/2007/PartnerControls"/>
    <ds:schemaRef ds:uri="http://www.w3.org/XML/1998/namespace"/>
    <ds:schemaRef ds:uri="http://schemas.microsoft.com/office/2006/documentManagement/types"/>
    <ds:schemaRef ds:uri="http://purl.org/dc/elements/1.1/"/>
    <ds:schemaRef ds:uri="f161132f-3af4-47f5-b28f-8075dccddbe8"/>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122A9D14-1672-4E68-8A99-08325D2AF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1549</Words>
  <Characters>9605</Characters>
  <Application>Microsoft Office Word</Application>
  <DocSecurity>0</DocSecurity>
  <Lines>369</Lines>
  <Paragraphs>232</Paragraphs>
  <ScaleCrop>false</ScaleCrop>
  <Company/>
  <LinksUpToDate>false</LinksUpToDate>
  <CharactersWithSpaces>10922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Rosie Furner</dc:creator>
  <cp:lastModifiedBy>Rosie Furner</cp:lastModifiedBy>
  <cp:revision>13</cp:revision>
  <dcterms:created xsi:type="dcterms:W3CDTF">2026-02-12T14:19:00Z</dcterms:created>
  <dcterms:modified xsi:type="dcterms:W3CDTF">2026-03-20T19:32:00Z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