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1D3EFBCE" w:rsidR="007A1448" w:rsidRPr="00DF77C7" w:rsidRDefault="009C090F" w:rsidP="006529F3">
      <w:pPr>
        <w:pStyle w:val="PGDTitle2"/>
      </w:pPr>
      <w:r w:rsidRPr="009C090F">
        <w:rPr>
          <w:bCs/>
        </w:rPr>
        <w:t>Supply of erythromycin tablets/oral suspension/oral solution for the treatment of infected insect bite(s) and sting(s) in pregnant individuals</w:t>
      </w:r>
      <w:r w:rsidR="00C43C52" w:rsidRPr="00C43C52">
        <w:rPr>
          <w:bCs/>
        </w:rPr>
        <w:t xml:space="preserve">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41543B"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0B4A6E">
            <w:pPr>
              <w:pStyle w:val="Tabletext"/>
            </w:pPr>
            <w:r>
              <w:t>Version 1.1</w:t>
            </w:r>
          </w:p>
          <w:p w14:paraId="6A6235FE" w14:textId="78178A75" w:rsidR="0041543B" w:rsidRPr="00764857" w:rsidRDefault="000B4A6E" w:rsidP="000B4A6E">
            <w:pPr>
              <w:pStyle w:val="Tabletext"/>
            </w:pPr>
            <w:r>
              <w:t>January</w:t>
            </w:r>
            <w:r w:rsidR="0041543B">
              <w:t xml:space="preserve"> 2025</w:t>
            </w:r>
          </w:p>
        </w:tc>
        <w:tc>
          <w:tcPr>
            <w:tcW w:w="7020" w:type="dxa"/>
            <w:tcBorders>
              <w:top w:val="single" w:sz="4" w:space="0" w:color="auto"/>
              <w:left w:val="single" w:sz="4" w:space="0" w:color="auto"/>
              <w:bottom w:val="single" w:sz="4" w:space="0" w:color="auto"/>
              <w:right w:val="single" w:sz="4" w:space="0" w:color="auto"/>
            </w:tcBorders>
          </w:tcPr>
          <w:p w14:paraId="09E41996" w14:textId="77777777" w:rsidR="009C090F" w:rsidRDefault="009C090F" w:rsidP="009C090F">
            <w:pPr>
              <w:pStyle w:val="Bulletindent1"/>
            </w:pPr>
            <w:r w:rsidRPr="00710458">
              <w:t>Minor typo corrected: “12 hourly intervals corrected to “regular intervals” in Individual advice / follow up treatment section</w:t>
            </w:r>
          </w:p>
          <w:p w14:paraId="0EB64059" w14:textId="77777777" w:rsidR="009C090F" w:rsidRPr="0036749B" w:rsidRDefault="009C090F" w:rsidP="009C090F">
            <w:pPr>
              <w:pStyle w:val="Bulletindent1"/>
            </w:pPr>
            <w:r w:rsidRPr="0036749B">
              <w:t>Removal of:</w:t>
            </w:r>
          </w:p>
          <w:p w14:paraId="00CF5A4C" w14:textId="77777777" w:rsidR="009C090F" w:rsidRDefault="009C090F" w:rsidP="009C090F">
            <w:pPr>
              <w:pStyle w:val="Bulletindent1"/>
              <w:numPr>
                <w:ilvl w:val="1"/>
                <w:numId w:val="15"/>
              </w:numPr>
            </w:pPr>
            <w:r>
              <w:t xml:space="preserve">erythromycin 500mg/5mL sugar free oral suspension (or oral solution) x 100mL: no longer commercially available </w:t>
            </w:r>
          </w:p>
          <w:p w14:paraId="2DC7BF6C" w14:textId="77777777" w:rsidR="009C090F" w:rsidRDefault="009C090F" w:rsidP="009C090F">
            <w:pPr>
              <w:pStyle w:val="Bulletindent1"/>
              <w:numPr>
                <w:ilvl w:val="1"/>
                <w:numId w:val="15"/>
              </w:numPr>
            </w:pPr>
            <w:r>
              <w:t>erythromycin 500mg/5mL oral suspension (or oral solution) x 100mL: no longer commercially available</w:t>
            </w:r>
          </w:p>
          <w:p w14:paraId="63075359" w14:textId="77777777" w:rsidR="009C090F" w:rsidRDefault="009C090F" w:rsidP="009C090F">
            <w:pPr>
              <w:pStyle w:val="Bulletindent1"/>
            </w:pPr>
            <w:r>
              <w:lastRenderedPageBreak/>
              <w:t>Re</w:t>
            </w:r>
            <w:r w:rsidRPr="004438BD">
              <w:t>moval of ibuprofen from Individual advice / follow up treatment section</w:t>
            </w:r>
          </w:p>
          <w:p w14:paraId="311CF507" w14:textId="5D1CACF9" w:rsidR="00C43C52" w:rsidRPr="00C43C52" w:rsidRDefault="00C43C52" w:rsidP="009C090F">
            <w:pPr>
              <w:pStyle w:val="Bulletindent1"/>
            </w:pPr>
            <w:r w:rsidRPr="00C43C52">
              <w:t>Definition of insect included in Clinical condition or situation to which this PGD applies: “</w:t>
            </w:r>
            <w:r w:rsidRPr="00C43C52">
              <w:rPr>
                <w:vertAlign w:val="superscript"/>
              </w:rPr>
              <w:t xml:space="preserve">† </w:t>
            </w:r>
            <w:r w:rsidRPr="00C43C52">
              <w:t xml:space="preserve">As per </w:t>
            </w:r>
            <w:hyperlink r:id="rId9" w:history="1">
              <w:r w:rsidRPr="00C43C52">
                <w:rPr>
                  <w:rStyle w:val="Hyperlink"/>
                  <w:iCs/>
                </w:rPr>
                <w:t>NICE - NG182: Insect bites and stings antimicrobial prescribing</w:t>
              </w:r>
            </w:hyperlink>
            <w:r w:rsidRPr="00C43C52">
              <w:t xml:space="preserve"> and </w:t>
            </w:r>
            <w:hyperlink r:id="rId10" w:history="1">
              <w:r w:rsidRPr="00C43C52">
                <w:rPr>
                  <w:rStyle w:val="Hyperlink"/>
                  <w:iCs/>
                </w:rPr>
                <w:t>NICE CKS - Insect bites and stings</w:t>
              </w:r>
            </w:hyperlink>
            <w:r w:rsidRPr="00C43C52">
              <w:t xml:space="preserve"> guidance, the term “insect” includes those with six legs (e.g. mosquitoes, gnats and flies) and those with eight legs (e.g. spiders, mites and ticks).”</w:t>
            </w:r>
          </w:p>
          <w:p w14:paraId="3EF0C930" w14:textId="77777777" w:rsidR="00C43C52" w:rsidRPr="00C43C52" w:rsidRDefault="00C43C52" w:rsidP="009C090F">
            <w:pPr>
              <w:pStyle w:val="Bulletindent1"/>
            </w:pPr>
            <w:r w:rsidRPr="00C43C52">
              <w:t>Exclusion criterion amended from “Bite or sting occurred while travelling outside the UK” to “Bite or sting occurred while travelling outside the UK with concern of insect borne disease e.g. malaria, tick borne encephalitis”</w:t>
            </w:r>
          </w:p>
          <w:p w14:paraId="5757EB3B" w14:textId="77777777" w:rsidR="009C090F" w:rsidRPr="00B10A4C" w:rsidRDefault="009C090F" w:rsidP="009C090F">
            <w:pPr>
              <w:pStyle w:val="Bulletindent1"/>
            </w:pPr>
            <w:r w:rsidRPr="00B10A4C">
              <w:t>Addition of:</w:t>
            </w:r>
          </w:p>
          <w:p w14:paraId="62E8222E" w14:textId="77777777" w:rsidR="009C090F" w:rsidRPr="00B10A4C" w:rsidRDefault="009C090F" w:rsidP="009C090F">
            <w:pPr>
              <w:pStyle w:val="Bulletindent1"/>
              <w:numPr>
                <w:ilvl w:val="1"/>
                <w:numId w:val="15"/>
              </w:numPr>
            </w:pPr>
            <w:r w:rsidRPr="00B10A4C">
              <w:t>“</w:t>
            </w:r>
            <w:proofErr w:type="spellStart"/>
            <w:r w:rsidRPr="00B10A4C">
              <w:t>Lomitapide</w:t>
            </w:r>
            <w:proofErr w:type="spellEnd"/>
          </w:p>
          <w:p w14:paraId="7E742030" w14:textId="77777777" w:rsidR="009C090F" w:rsidRPr="00585D78" w:rsidRDefault="009C090F" w:rsidP="009C090F">
            <w:pPr>
              <w:pStyle w:val="Bulletindent1"/>
              <w:numPr>
                <w:ilvl w:val="1"/>
                <w:numId w:val="15"/>
              </w:numPr>
              <w:rPr>
                <w:color w:val="000000"/>
              </w:rPr>
            </w:pPr>
            <w:r w:rsidRPr="00585D78">
              <w:rPr>
                <w:color w:val="000000"/>
              </w:rPr>
              <w:t xml:space="preserve">Medicines where concomitant use with a moderate CYP 3A4 inhibitor (i.e. erythromycin) is contraindicated (e.g. </w:t>
            </w:r>
          </w:p>
          <w:p w14:paraId="4803DDB4" w14:textId="77777777" w:rsidR="009C090F" w:rsidRPr="00585D78" w:rsidRDefault="009C090F" w:rsidP="009C090F">
            <w:pPr>
              <w:pStyle w:val="Bulletindent1"/>
              <w:numPr>
                <w:ilvl w:val="2"/>
                <w:numId w:val="15"/>
              </w:numPr>
            </w:pPr>
            <w:r w:rsidRPr="00585D78">
              <w:t>Lercanidipine</w:t>
            </w:r>
          </w:p>
          <w:p w14:paraId="575D1D6D" w14:textId="77777777" w:rsidR="009C090F" w:rsidRPr="00585D78" w:rsidRDefault="009C090F" w:rsidP="009C090F">
            <w:pPr>
              <w:pStyle w:val="Bulletindent1"/>
              <w:numPr>
                <w:ilvl w:val="2"/>
                <w:numId w:val="15"/>
              </w:numPr>
            </w:pPr>
            <w:r w:rsidRPr="00585D78">
              <w:t xml:space="preserve">Ivabradine </w:t>
            </w:r>
          </w:p>
          <w:p w14:paraId="2A3ED30A" w14:textId="77777777" w:rsidR="009C090F" w:rsidRPr="00585D78" w:rsidRDefault="009C090F" w:rsidP="009C090F">
            <w:pPr>
              <w:pStyle w:val="Bulletindent1"/>
              <w:numPr>
                <w:ilvl w:val="2"/>
                <w:numId w:val="15"/>
              </w:numPr>
            </w:pPr>
            <w:r w:rsidRPr="00585D78">
              <w:t>Quetiapine</w:t>
            </w:r>
            <w:r w:rsidRPr="00585D78">
              <w:rPr>
                <w:iCs/>
                <w:lang w:eastAsia="en-GB"/>
              </w:rPr>
              <w:t>)</w:t>
            </w:r>
          </w:p>
          <w:p w14:paraId="54BE377A" w14:textId="4732E473" w:rsidR="0041543B" w:rsidRPr="00764857" w:rsidRDefault="009C090F" w:rsidP="009C090F">
            <w:pPr>
              <w:pStyle w:val="Bulletindent1"/>
              <w:numPr>
                <w:ilvl w:val="1"/>
                <w:numId w:val="15"/>
              </w:numPr>
            </w:pPr>
            <w:r w:rsidRPr="00585D78">
              <w:t>Any other medicine where concomitant use with erythromycin is contraindicated” to “Drug Interactions” section</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344D6E00" w14:textId="77777777" w:rsidR="00AF139E" w:rsidRPr="00AF139E" w:rsidRDefault="00AF139E" w:rsidP="00AF139E">
      <w:pPr>
        <w:pStyle w:val="PGDNormal"/>
      </w:pPr>
      <w:r w:rsidRPr="00AF139E">
        <w:t>This PGD template has been peer reviewed by the national skin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1"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405"/>
        <w:gridCol w:w="6804"/>
      </w:tblGrid>
      <w:tr w:rsidR="005E6963" w:rsidRPr="00DF77C7" w14:paraId="0CD61D6C" w14:textId="77777777" w:rsidTr="005D5947">
        <w:trPr>
          <w:trHeight w:val="565"/>
          <w:tblHeader/>
        </w:trPr>
        <w:tc>
          <w:tcPr>
            <w:tcW w:w="2405"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804"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5D5947">
        <w:trPr>
          <w:trHeight w:val="544"/>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5D5947">
        <w:trPr>
          <w:trHeight w:val="539"/>
        </w:trPr>
        <w:tc>
          <w:tcPr>
            <w:tcW w:w="2405"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804"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5D5947" w:rsidRPr="00DF77C7" w14:paraId="728823C8"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1F9C9F02" w14:textId="05BCFABE" w:rsidR="005D5947" w:rsidRPr="00105447" w:rsidRDefault="005D5947" w:rsidP="000B4A6E">
            <w:pPr>
              <w:pStyle w:val="Tabletext"/>
              <w:rPr>
                <w:rFonts w:cs="Arial"/>
                <w:bCs/>
                <w:szCs w:val="22"/>
              </w:rPr>
            </w:pPr>
            <w:r w:rsidRPr="005D5947">
              <w:rPr>
                <w:rFonts w:cs="Arial"/>
                <w:bCs/>
                <w:szCs w:val="22"/>
                <w:lang w:val="en-GB"/>
              </w:rPr>
              <w:t>Dr Naomi Fleming*</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68CCC58" w14:textId="387A2A3A" w:rsidR="005D5947" w:rsidRPr="00105447" w:rsidRDefault="005D5947" w:rsidP="000B4A6E">
            <w:pPr>
              <w:pStyle w:val="Tabletext"/>
              <w:rPr>
                <w:rFonts w:cs="Arial"/>
                <w:szCs w:val="22"/>
              </w:rPr>
            </w:pPr>
            <w:r w:rsidRPr="005D5947">
              <w:rPr>
                <w:rFonts w:cs="Arial"/>
                <w:szCs w:val="22"/>
                <w:lang w:val="en-GB"/>
              </w:rPr>
              <w:t>NHS England Regional Antimicrobial Stewardship lead for the East of England region</w:t>
            </w:r>
          </w:p>
        </w:tc>
      </w:tr>
      <w:tr w:rsidR="000B4A6E" w:rsidRPr="00DF77C7" w14:paraId="0F383BA1"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5D5947">
        <w:trPr>
          <w:trHeight w:val="382"/>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5D5947" w:rsidRPr="00DF77C7" w14:paraId="270CAF49"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25DDD6FC" w14:textId="3FBA86E3" w:rsidR="005D5947" w:rsidRPr="000B4A6E" w:rsidRDefault="005D5947" w:rsidP="000B4A6E">
            <w:pPr>
              <w:pStyle w:val="Tabletext"/>
            </w:pPr>
            <w:r w:rsidRPr="005D5947">
              <w:rPr>
                <w:lang w:val="en-GB"/>
              </w:rPr>
              <w:t>Dr Matthew Scorer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A8D3A91" w14:textId="78D4D69C" w:rsidR="005D5947" w:rsidRPr="000B4A6E" w:rsidRDefault="005D5947" w:rsidP="000B4A6E">
            <w:pPr>
              <w:pStyle w:val="Tabletext"/>
            </w:pPr>
            <w:r w:rsidRPr="005D5947">
              <w:rPr>
                <w:lang w:val="en-GB"/>
              </w:rPr>
              <w:t>Consultant Dermatologist</w:t>
            </w:r>
          </w:p>
        </w:tc>
      </w:tr>
      <w:tr w:rsidR="005D5947" w:rsidRPr="00DF77C7" w14:paraId="3ACB377F"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68DBA818" w14:textId="00007BC1" w:rsidR="005D5947" w:rsidRPr="000B4A6E" w:rsidRDefault="005D5947" w:rsidP="000B4A6E">
            <w:pPr>
              <w:pStyle w:val="Tabletext"/>
            </w:pPr>
            <w:r w:rsidRPr="005D5947">
              <w:rPr>
                <w:lang w:val="en-GB"/>
              </w:rPr>
              <w:t>Dr Michelle Toleman</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DCC89B1" w14:textId="54AFCC75" w:rsidR="005D5947" w:rsidRPr="000B4A6E" w:rsidRDefault="005D5947" w:rsidP="000B4A6E">
            <w:pPr>
              <w:pStyle w:val="Tabletext"/>
            </w:pPr>
            <w:r w:rsidRPr="005D5947">
              <w:rPr>
                <w:lang w:val="en-GB"/>
              </w:rPr>
              <w:t>Consultant Microbiologist</w:t>
            </w:r>
          </w:p>
        </w:tc>
      </w:tr>
      <w:tr w:rsidR="000B4A6E" w:rsidRPr="00DF77C7" w14:paraId="3803C8B9" w14:textId="77777777" w:rsidTr="005D5947">
        <w:trPr>
          <w:trHeight w:val="415"/>
        </w:trPr>
        <w:tc>
          <w:tcPr>
            <w:tcW w:w="2405"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804"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5D5947" w:rsidRPr="00DF77C7" w14:paraId="5A80AB5C" w14:textId="77777777" w:rsidTr="005D5947">
        <w:trPr>
          <w:trHeight w:val="265"/>
        </w:trPr>
        <w:tc>
          <w:tcPr>
            <w:tcW w:w="2405" w:type="dxa"/>
            <w:tcBorders>
              <w:top w:val="single" w:sz="4" w:space="0" w:color="auto"/>
              <w:left w:val="single" w:sz="4" w:space="0" w:color="auto"/>
              <w:bottom w:val="single" w:sz="4" w:space="0" w:color="auto"/>
              <w:right w:val="single" w:sz="4" w:space="0" w:color="auto"/>
            </w:tcBorders>
          </w:tcPr>
          <w:p w14:paraId="5EE1BE1A" w14:textId="2EE06F43" w:rsidR="005D5947" w:rsidRPr="0023356D" w:rsidRDefault="005D5947" w:rsidP="005D5947">
            <w:pPr>
              <w:pStyle w:val="Tabletext"/>
              <w:rPr>
                <w:rFonts w:cs="Arial"/>
                <w:bCs/>
                <w:szCs w:val="22"/>
              </w:rPr>
            </w:pPr>
            <w:r w:rsidRPr="00105447">
              <w:rPr>
                <w:rFonts w:cs="Arial"/>
                <w:szCs w:val="22"/>
              </w:rPr>
              <w:t xml:space="preserve">Kieran Reynolds (SLWG </w:t>
            </w:r>
            <w:proofErr w:type="spellStart"/>
            <w:r w:rsidRPr="00105447">
              <w:rPr>
                <w:rFonts w:cs="Arial"/>
                <w:szCs w:val="22"/>
              </w:rPr>
              <w:t>co-ordinator</w:t>
            </w:r>
            <w:proofErr w:type="spellEnd"/>
            <w:r w:rsidRPr="00105447">
              <w:rPr>
                <w:rFonts w:cs="Arial"/>
                <w:szCs w:val="22"/>
              </w:rPr>
              <w:t>)</w:t>
            </w:r>
            <w:r>
              <w:rPr>
                <w:rFonts w:cs="Arial"/>
                <w:szCs w:val="22"/>
              </w:rPr>
              <w:t>*</w:t>
            </w:r>
          </w:p>
        </w:tc>
        <w:tc>
          <w:tcPr>
            <w:tcW w:w="6804" w:type="dxa"/>
            <w:tcBorders>
              <w:top w:val="single" w:sz="4" w:space="0" w:color="auto"/>
              <w:left w:val="single" w:sz="4" w:space="0" w:color="auto"/>
              <w:bottom w:val="single" w:sz="4" w:space="0" w:color="auto"/>
              <w:right w:val="single" w:sz="4" w:space="0" w:color="auto"/>
            </w:tcBorders>
          </w:tcPr>
          <w:p w14:paraId="1546DC5D" w14:textId="15C33210" w:rsidR="005D5947" w:rsidRPr="0023356D" w:rsidRDefault="005D5947" w:rsidP="005D5947">
            <w:pPr>
              <w:pStyle w:val="Tabletext"/>
              <w:rPr>
                <w:rFonts w:cs="Arial"/>
                <w:bCs/>
                <w:szCs w:val="22"/>
              </w:rPr>
            </w:pPr>
            <w:r w:rsidRPr="00105447">
              <w:rPr>
                <w:rFonts w:cs="Arial"/>
                <w:szCs w:val="22"/>
              </w:rPr>
              <w:t>Specialist Pharmacist – Medicines Governance, Medicines Use and Safety Division, Specialist Pharmacy Service</w:t>
            </w:r>
          </w:p>
        </w:tc>
      </w:tr>
      <w:tr w:rsidR="005D5947" w:rsidRPr="00DF77C7" w14:paraId="2099D9F1" w14:textId="77777777" w:rsidTr="005D5947">
        <w:trPr>
          <w:trHeight w:val="265"/>
        </w:trPr>
        <w:tc>
          <w:tcPr>
            <w:tcW w:w="2405" w:type="dxa"/>
            <w:tcBorders>
              <w:top w:val="single" w:sz="4" w:space="0" w:color="auto"/>
              <w:left w:val="single" w:sz="4" w:space="0" w:color="auto"/>
              <w:bottom w:val="single" w:sz="4" w:space="0" w:color="auto"/>
              <w:right w:val="single" w:sz="4" w:space="0" w:color="auto"/>
            </w:tcBorders>
          </w:tcPr>
          <w:p w14:paraId="784A3A8D" w14:textId="24B86A30" w:rsidR="005D5947" w:rsidRPr="0023356D" w:rsidRDefault="005D5947" w:rsidP="005D5947">
            <w:pPr>
              <w:pStyle w:val="Tabletext"/>
              <w:rPr>
                <w:rFonts w:cs="Arial"/>
                <w:bCs/>
                <w:szCs w:val="22"/>
              </w:rPr>
            </w:pPr>
            <w:r w:rsidRPr="0023356D">
              <w:rPr>
                <w:rFonts w:cs="Arial"/>
                <w:bCs/>
                <w:szCs w:val="22"/>
              </w:rPr>
              <w:lastRenderedPageBreak/>
              <w:t>Nigel Gooding.</w:t>
            </w:r>
          </w:p>
        </w:tc>
        <w:tc>
          <w:tcPr>
            <w:tcW w:w="6804" w:type="dxa"/>
            <w:tcBorders>
              <w:top w:val="single" w:sz="4" w:space="0" w:color="auto"/>
              <w:left w:val="single" w:sz="4" w:space="0" w:color="auto"/>
              <w:bottom w:val="single" w:sz="4" w:space="0" w:color="auto"/>
              <w:right w:val="single" w:sz="4" w:space="0" w:color="auto"/>
            </w:tcBorders>
          </w:tcPr>
          <w:p w14:paraId="0B5D7B8A" w14:textId="09118FD3" w:rsidR="005D5947" w:rsidRPr="0023356D" w:rsidRDefault="005D5947" w:rsidP="005D5947">
            <w:pPr>
              <w:pStyle w:val="Tabletext"/>
              <w:rPr>
                <w:rFonts w:cs="Arial"/>
                <w:bCs/>
                <w:szCs w:val="22"/>
              </w:rPr>
            </w:pPr>
            <w:r w:rsidRPr="0023356D">
              <w:rPr>
                <w:rFonts w:cs="Arial"/>
                <w:bCs/>
                <w:szCs w:val="22"/>
              </w:rPr>
              <w:t xml:space="preserve">Consultant </w:t>
            </w:r>
            <w:proofErr w:type="spellStart"/>
            <w:r w:rsidRPr="0023356D">
              <w:rPr>
                <w:rFonts w:cs="Arial"/>
                <w:bCs/>
                <w:szCs w:val="22"/>
              </w:rPr>
              <w:t>Paediatric</w:t>
            </w:r>
            <w:proofErr w:type="spellEnd"/>
            <w:r w:rsidRPr="0023356D">
              <w:rPr>
                <w:rFonts w:cs="Arial"/>
                <w:bCs/>
                <w:szCs w:val="22"/>
              </w:rPr>
              <w:t xml:space="preserve"> Pharmacist. Neonatal and </w:t>
            </w:r>
            <w:proofErr w:type="spellStart"/>
            <w:r w:rsidRPr="0023356D">
              <w:rPr>
                <w:rFonts w:cs="Arial"/>
                <w:bCs/>
                <w:szCs w:val="22"/>
              </w:rPr>
              <w:t>Paediatric</w:t>
            </w:r>
            <w:proofErr w:type="spellEnd"/>
            <w:r w:rsidRPr="0023356D">
              <w:rPr>
                <w:rFonts w:cs="Arial"/>
                <w:bCs/>
                <w:szCs w:val="22"/>
              </w:rPr>
              <w:t xml:space="preserve"> Pharmacist Group (NPPG) representative.</w:t>
            </w:r>
          </w:p>
        </w:tc>
      </w:tr>
      <w:tr w:rsidR="005D5947" w:rsidRPr="00DF77C7" w14:paraId="4C01E258" w14:textId="77777777" w:rsidTr="005D5947">
        <w:trPr>
          <w:trHeight w:val="396"/>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94AA640" w14:textId="7E244B59" w:rsidR="005D5947" w:rsidRPr="005D5947" w:rsidRDefault="005D5947" w:rsidP="005D5947">
            <w:pPr>
              <w:pStyle w:val="Tabletext"/>
              <w:rPr>
                <w:rFonts w:cs="Arial"/>
                <w:bCs/>
                <w:szCs w:val="22"/>
              </w:rPr>
            </w:pPr>
            <w:r w:rsidRPr="005D5947">
              <w:rPr>
                <w:rFonts w:cs="Arial"/>
                <w:bCs/>
                <w:szCs w:val="22"/>
              </w:rPr>
              <w:t>Dr Stephanie Gallard</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FD8CBD4" w14:textId="5B91BA91" w:rsidR="005D5947" w:rsidRPr="005D5947" w:rsidRDefault="005D5947" w:rsidP="005D5947">
            <w:pPr>
              <w:pStyle w:val="Tabletext"/>
              <w:rPr>
                <w:rFonts w:cs="Arial"/>
                <w:bCs/>
                <w:szCs w:val="22"/>
              </w:rPr>
            </w:pPr>
            <w:r w:rsidRPr="005D5947">
              <w:rPr>
                <w:rFonts w:cs="Arial"/>
                <w:bCs/>
                <w:szCs w:val="22"/>
              </w:rPr>
              <w:t>GP (Dermatology Special Interest)</w:t>
            </w:r>
          </w:p>
        </w:tc>
      </w:tr>
      <w:tr w:rsidR="005D5947" w:rsidRPr="0023356D" w14:paraId="69FDDB9F" w14:textId="77777777" w:rsidTr="005D5947">
        <w:trPr>
          <w:trHeight w:val="275"/>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F553184" w14:textId="708CB289" w:rsidR="005D5947" w:rsidRPr="0023356D" w:rsidRDefault="005D5947" w:rsidP="005D5947">
            <w:pPr>
              <w:pStyle w:val="Tabletext"/>
              <w:rPr>
                <w:rFonts w:eastAsia="Calibri"/>
              </w:rPr>
            </w:pPr>
            <w:r w:rsidRPr="005D5947">
              <w:rPr>
                <w:lang w:val="en-GB"/>
              </w:rPr>
              <w:t>Rob Hebdon</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2599635" w14:textId="54160371" w:rsidR="005D5947" w:rsidRPr="0023356D" w:rsidRDefault="005D5947" w:rsidP="005D5947">
            <w:pPr>
              <w:pStyle w:val="Tabletext"/>
              <w:rPr>
                <w:rFonts w:eastAsia="Calibri"/>
              </w:rPr>
            </w:pPr>
            <w:r w:rsidRPr="005D5947">
              <w:rPr>
                <w:lang w:val="en-GB"/>
              </w:rPr>
              <w:t>National Pharmacy Integration Lead Primary Care, Community Services and Strategy Directorate, NHS England</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isation, signature and the date signed. It also contains a link to the NICE PGD guidance which lists the authorising bodies included in the legislation.  Because the PGD template is for an antibiotic it also contains space for  signature of a clinical specialist in microbiology.&#10;"/>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06211C" w:rsidRPr="00E7585B" w14:paraId="7B9D9144" w14:textId="77777777" w:rsidTr="00A32FA7">
        <w:tc>
          <w:tcPr>
            <w:tcW w:w="3133" w:type="dxa"/>
            <w:tcBorders>
              <w:top w:val="single" w:sz="4" w:space="0" w:color="auto"/>
              <w:left w:val="single" w:sz="4" w:space="0" w:color="auto"/>
              <w:bottom w:val="single" w:sz="4" w:space="0" w:color="auto"/>
              <w:right w:val="single" w:sz="4" w:space="0" w:color="auto"/>
            </w:tcBorders>
          </w:tcPr>
          <w:p w14:paraId="57BA5AF5" w14:textId="43547627" w:rsidR="0006211C" w:rsidRPr="00E7585B" w:rsidRDefault="0006211C" w:rsidP="00B65003">
            <w:pPr>
              <w:rPr>
                <w:rStyle w:val="TableHeaderColumn"/>
                <w:sz w:val="22"/>
                <w:szCs w:val="22"/>
              </w:rPr>
            </w:pPr>
            <w:r>
              <w:rPr>
                <w:rStyle w:val="TableHeaderColumn"/>
                <w:sz w:val="22"/>
                <w:szCs w:val="22"/>
              </w:rPr>
              <w:t>Clinical specialist in microbiology</w:t>
            </w:r>
          </w:p>
        </w:tc>
        <w:tc>
          <w:tcPr>
            <w:tcW w:w="2753" w:type="dxa"/>
            <w:tcBorders>
              <w:top w:val="single" w:sz="4" w:space="0" w:color="auto"/>
              <w:left w:val="single" w:sz="4" w:space="0" w:color="auto"/>
              <w:bottom w:val="single" w:sz="4" w:space="0" w:color="auto"/>
              <w:right w:val="single" w:sz="4" w:space="0" w:color="auto"/>
            </w:tcBorders>
          </w:tcPr>
          <w:p w14:paraId="23405D38" w14:textId="77777777" w:rsidR="0006211C" w:rsidRPr="00E7585B" w:rsidRDefault="0006211C"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7744FC9D" w14:textId="77777777" w:rsidR="0006211C" w:rsidRPr="00E7585B" w:rsidRDefault="0006211C"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2C9C19FC" w14:textId="77777777" w:rsidR="0006211C" w:rsidRPr="00E7585B" w:rsidRDefault="0006211C"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3"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lastRenderedPageBreak/>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4"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1D40D5" w:rsidRDefault="00E015AA" w:rsidP="00E015AA">
            <w:pPr>
              <w:pStyle w:val="Bulletindent1"/>
            </w:pPr>
            <w:r w:rsidRPr="001D40D5">
              <w:t>R</w:t>
            </w:r>
            <w:r w:rsidRPr="001D40D5">
              <w:rPr>
                <w:bCs/>
              </w:rPr>
              <w:t>ecommended</w:t>
            </w:r>
            <w:r w:rsidRPr="001D40D5">
              <w:rPr>
                <w:b/>
                <w:bCs/>
              </w:rPr>
              <w:t xml:space="preserve"> </w:t>
            </w:r>
            <w:r w:rsidRPr="001D40D5">
              <w:t>training includes completion of:</w:t>
            </w:r>
          </w:p>
          <w:p w14:paraId="4F640E16" w14:textId="77777777" w:rsidR="00C43C52" w:rsidRPr="001D40D5" w:rsidRDefault="00C43C52" w:rsidP="00C43C52">
            <w:pPr>
              <w:pStyle w:val="Bulletindent1"/>
              <w:numPr>
                <w:ilvl w:val="1"/>
                <w:numId w:val="15"/>
              </w:numPr>
              <w:rPr>
                <w:szCs w:val="23"/>
              </w:rPr>
            </w:pPr>
            <w:hyperlink r:id="rId15" w:history="1">
              <w:r w:rsidRPr="001D40D5">
                <w:rPr>
                  <w:rStyle w:val="Hyperlink"/>
                  <w:lang w:eastAsia="en-GB"/>
                </w:rPr>
                <w:t>CPPE Dermatology: An introduction to managing common skin conditions</w:t>
              </w:r>
            </w:hyperlink>
            <w:r>
              <w:rPr>
                <w:rFonts w:cs="Arial"/>
                <w:szCs w:val="22"/>
                <w:lang w:eastAsia="en-GB"/>
              </w:rPr>
              <w:t xml:space="preserve"> </w:t>
            </w:r>
            <w:r w:rsidRPr="001D40D5">
              <w:t>resources (registration required; free for registered pharmacy professionals</w:t>
            </w:r>
          </w:p>
          <w:p w14:paraId="4C7D3AC8" w14:textId="77777777" w:rsidR="00C43C52" w:rsidRPr="008A1C1F" w:rsidRDefault="00C43C52" w:rsidP="00C43C52">
            <w:pPr>
              <w:pStyle w:val="Bulletindent1"/>
              <w:numPr>
                <w:ilvl w:val="1"/>
                <w:numId w:val="15"/>
              </w:numPr>
              <w:rPr>
                <w:rStyle w:val="Hyperlink"/>
              </w:rPr>
            </w:pPr>
            <w:r w:rsidRPr="008A1C1F">
              <w:rPr>
                <w:rStyle w:val="Hyperlink"/>
              </w:rPr>
              <w:t xml:space="preserve">NICE </w:t>
            </w:r>
            <w:hyperlink r:id="rId16" w:history="1">
              <w:r w:rsidRPr="008A1C1F">
                <w:rPr>
                  <w:rStyle w:val="Hyperlink"/>
                </w:rPr>
                <w:t>CKS</w:t>
              </w:r>
            </w:hyperlink>
            <w:r w:rsidRPr="008A1C1F">
              <w:rPr>
                <w:rStyle w:val="Hyperlink"/>
              </w:rPr>
              <w:t xml:space="preserve"> Insect bites and stings resources </w:t>
            </w:r>
          </w:p>
          <w:p w14:paraId="7B44EDDC" w14:textId="77777777" w:rsidR="00C43C52" w:rsidRPr="00E015AA" w:rsidRDefault="00C43C52" w:rsidP="00C43C52">
            <w:pPr>
              <w:pStyle w:val="Bulletindent1"/>
              <w:numPr>
                <w:ilvl w:val="1"/>
                <w:numId w:val="15"/>
              </w:numPr>
              <w:rPr>
                <w:szCs w:val="23"/>
              </w:rPr>
            </w:pPr>
            <w:hyperlink r:id="rId17" w:history="1">
              <w:r w:rsidRPr="001D40D5">
                <w:rPr>
                  <w:rStyle w:val="Hyperlink"/>
                </w:rPr>
                <w:t>Clinical examination skills training for community pharmacists</w:t>
              </w:r>
            </w:hyperlink>
            <w:r w:rsidRPr="001D40D5">
              <w:rPr>
                <w:rStyle w:val="Hyperlink"/>
              </w:rPr>
              <w:t xml:space="preserve"> (</w:t>
            </w:r>
            <w:hyperlink r:id="rId18" w:history="1">
              <w:r w:rsidRPr="001D40D5">
                <w:rPr>
                  <w:rStyle w:val="Hyperlink"/>
                </w:rPr>
                <w:t>registration required</w:t>
              </w:r>
            </w:hyperlink>
            <w:r w:rsidRPr="001D40D5">
              <w:rPr>
                <w:rStyle w:val="Hyperlink"/>
              </w:rPr>
              <w:t>;</w:t>
            </w:r>
            <w:r w:rsidRPr="00E015AA">
              <w:rPr>
                <w:szCs w:val="23"/>
              </w:rPr>
              <w:t xml:space="preserve">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9"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20"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(registration required;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21"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2"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Recommended training</w:t>
            </w:r>
            <w:r>
              <w:t xml:space="preserve"> </w:t>
            </w:r>
            <w:r w:rsidR="00FE6E1E" w:rsidRPr="00E015AA">
              <w:t xml:space="preserve"> - </w:t>
            </w:r>
            <w:hyperlink r:id="rId23"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PGD </w:t>
            </w:r>
            <w:r>
              <w:t>[</w:t>
            </w:r>
            <w:r w:rsidRPr="00E015AA">
              <w:t>(</w:t>
            </w:r>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4"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09ABFD52" w14:textId="77777777" w:rsidR="00993F06" w:rsidRDefault="00993F06" w:rsidP="00E015AA">
            <w:pPr>
              <w:pStyle w:val="Tabletext"/>
              <w:rPr>
                <w:rStyle w:val="Hyperlink"/>
              </w:rPr>
            </w:pPr>
          </w:p>
          <w:p w14:paraId="37098C9F" w14:textId="77777777" w:rsidR="00993F06" w:rsidRPr="00993F06" w:rsidRDefault="00993F06" w:rsidP="00993F06">
            <w:pPr>
              <w:pStyle w:val="Tabletext"/>
            </w:pPr>
            <w:r w:rsidRPr="00993F06">
              <w:t>Individuals operating under this PGD should follow:</w:t>
            </w:r>
          </w:p>
          <w:p w14:paraId="046487CE" w14:textId="77777777" w:rsidR="00993F06" w:rsidRPr="00993F06" w:rsidRDefault="00993F06" w:rsidP="00993F06">
            <w:pPr>
              <w:pStyle w:val="Tabletext"/>
            </w:pPr>
            <w:hyperlink r:id="rId25" w:history="1">
              <w:r w:rsidRPr="00993F06">
                <w:rPr>
                  <w:rStyle w:val="Hyperlink"/>
                </w:rPr>
                <w:t>National guidance for the diagnosis of infected insect bites and stings – NICE CKS – insect bites and stings</w:t>
              </w:r>
            </w:hyperlink>
            <w:r w:rsidRPr="00993F06">
              <w:t xml:space="preserve"> </w:t>
            </w:r>
          </w:p>
          <w:p w14:paraId="5719D930" w14:textId="1FBAADB9" w:rsidR="00B81529" w:rsidRPr="00DF77C7" w:rsidRDefault="00993F06" w:rsidP="00993F06">
            <w:pPr>
              <w:pStyle w:val="Tabletext"/>
              <w:rPr>
                <w:lang w:val="en-GB"/>
              </w:rPr>
            </w:pPr>
            <w:hyperlink r:id="rId26" w:history="1">
              <w:r w:rsidRPr="00993F06">
                <w:rPr>
                  <w:rStyle w:val="Hyperlink"/>
                  <w:lang w:val="en-GB"/>
                </w:rPr>
                <w:t>NICE guideline NG182 – Insect bites and stings: antimicrobial prescribing.</w:t>
              </w:r>
            </w:hyperlink>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0E5B4822" w14:textId="77777777" w:rsidR="009C090F" w:rsidRPr="009C090F" w:rsidRDefault="009C090F" w:rsidP="009C090F">
            <w:pPr>
              <w:pStyle w:val="Tabletext"/>
              <w:rPr>
                <w:iCs/>
                <w:lang w:val="en-GB"/>
              </w:rPr>
            </w:pPr>
            <w:r w:rsidRPr="009C090F">
              <w:rPr>
                <w:iCs/>
                <w:lang w:val="en-GB"/>
              </w:rPr>
              <w:t>Infected insect</w:t>
            </w:r>
            <w:r w:rsidRPr="009C090F">
              <w:rPr>
                <w:iCs/>
                <w:vertAlign w:val="superscript"/>
                <w:lang w:val="en-GB"/>
              </w:rPr>
              <w:t>†</w:t>
            </w:r>
            <w:r w:rsidRPr="009C090F">
              <w:rPr>
                <w:iCs/>
                <w:lang w:val="en-GB"/>
              </w:rPr>
              <w:t xml:space="preserve"> bite(s) and sting(s) in young people and adults aged 16 years and over who are pregnant, or where pregnancy is suspected and</w:t>
            </w:r>
            <w:r w:rsidRPr="009C090F">
              <w:rPr>
                <w:b/>
                <w:bCs/>
                <w:iCs/>
                <w:lang w:val="en-GB"/>
              </w:rPr>
              <w:t xml:space="preserve"> </w:t>
            </w:r>
            <w:r w:rsidRPr="009C090F">
              <w:rPr>
                <w:iCs/>
                <w:lang w:val="en-GB"/>
              </w:rPr>
              <w:t xml:space="preserve">where flucloxacillin is not appropriate due to hypersensitivity. </w:t>
            </w:r>
          </w:p>
          <w:p w14:paraId="3EEBA715" w14:textId="77777777" w:rsidR="00993F06" w:rsidRPr="00993F06" w:rsidRDefault="00993F06" w:rsidP="00993F06">
            <w:pPr>
              <w:pStyle w:val="Tabletext"/>
              <w:rPr>
                <w:iCs/>
              </w:rPr>
            </w:pPr>
          </w:p>
          <w:p w14:paraId="622A2C8E" w14:textId="7175A213" w:rsidR="00D36D23" w:rsidRDefault="00993F06" w:rsidP="00993F06">
            <w:pPr>
              <w:pStyle w:val="Tabletext"/>
            </w:pPr>
            <w:r w:rsidRPr="00993F06">
              <w:rPr>
                <w:iCs/>
                <w:vertAlign w:val="superscript"/>
                <w:lang w:val="en-GB"/>
              </w:rPr>
              <w:t xml:space="preserve">† </w:t>
            </w:r>
            <w:r w:rsidRPr="00993F06">
              <w:rPr>
                <w:iCs/>
                <w:lang w:val="en-GB"/>
              </w:rPr>
              <w:t xml:space="preserve">As per </w:t>
            </w:r>
            <w:hyperlink r:id="rId27" w:history="1">
              <w:r w:rsidRPr="00993F06">
                <w:rPr>
                  <w:rStyle w:val="Hyperlink"/>
                  <w:iCs/>
                  <w:lang w:val="en-GB"/>
                </w:rPr>
                <w:t>National guidance for the diagnosis of infected insect bites and stings – NICE CKS – insect bites and stings</w:t>
              </w:r>
            </w:hyperlink>
            <w:r w:rsidRPr="00993F06">
              <w:rPr>
                <w:iCs/>
                <w:lang w:val="en-GB"/>
              </w:rPr>
              <w:t xml:space="preserve"> and </w:t>
            </w:r>
            <w:hyperlink r:id="rId28" w:history="1">
              <w:r w:rsidRPr="00993F06">
                <w:rPr>
                  <w:rStyle w:val="Hyperlink"/>
                  <w:iCs/>
                  <w:lang w:val="en-GB"/>
                </w:rPr>
                <w:t>NICE guideline NG182 – Insect bites and stings: antimicrobial prescribing.</w:t>
              </w:r>
            </w:hyperlink>
            <w:r w:rsidRPr="00993F06">
              <w:rPr>
                <w:iCs/>
                <w:lang w:val="en-GB"/>
              </w:rPr>
              <w:t>, the term “insect” includes those with six legs (e.g. mosquitoes, gnats and flies) and those with eight legs (e.g. spiders, mites and ticks).</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9C090F">
            <w:pPr>
              <w:pStyle w:val="Bulletindent1"/>
            </w:pPr>
            <w:r w:rsidRPr="002561E8">
              <w:t>Informed consent</w:t>
            </w:r>
          </w:p>
          <w:p w14:paraId="4A978E89" w14:textId="2E8F84FD" w:rsidR="006E1B84" w:rsidRDefault="006E1B84" w:rsidP="009C090F">
            <w:pPr>
              <w:pStyle w:val="Bulletindent1"/>
            </w:pPr>
            <w:r w:rsidRPr="006E1B84">
              <w:t>Individuals aged 1</w:t>
            </w:r>
            <w:r w:rsidR="009C090F">
              <w:t>6</w:t>
            </w:r>
            <w:r w:rsidR="00941F77">
              <w:t xml:space="preserve"> </w:t>
            </w:r>
            <w:r w:rsidRPr="006E1B84">
              <w:t>year</w:t>
            </w:r>
            <w:r w:rsidR="009C090F">
              <w:t>s</w:t>
            </w:r>
            <w:r w:rsidRPr="006E1B84">
              <w:t xml:space="preserve"> and over</w:t>
            </w:r>
          </w:p>
          <w:p w14:paraId="07E46A1A" w14:textId="77777777" w:rsidR="00993F06" w:rsidRPr="0062712F" w:rsidRDefault="00993F06" w:rsidP="009C090F">
            <w:pPr>
              <w:pStyle w:val="Bulletindent1"/>
            </w:pPr>
            <w:r w:rsidRPr="00EA2FFE">
              <w:t>Diagnosis of infected insect bite or sting</w:t>
            </w:r>
            <w:r>
              <w:t xml:space="preserve"> using</w:t>
            </w:r>
            <w:r w:rsidRPr="00EA2FFE">
              <w:t xml:space="preserve"> </w:t>
            </w:r>
            <w:hyperlink r:id="rId29" w:history="1">
              <w:r w:rsidRPr="0062712F">
                <w:rPr>
                  <w:rStyle w:val="Hyperlink"/>
                </w:rPr>
                <w:t>National guidance for the diagnosis of infected insect bites and stings – NICE CKS – insect bites and stings</w:t>
              </w:r>
            </w:hyperlink>
            <w:r w:rsidRPr="0062712F">
              <w:t xml:space="preserve"> </w:t>
            </w:r>
          </w:p>
          <w:p w14:paraId="60C713E1" w14:textId="77777777" w:rsidR="00993F06" w:rsidRPr="00406E39" w:rsidRDefault="00993F06" w:rsidP="009C090F">
            <w:pPr>
              <w:pStyle w:val="Bulletindent1"/>
            </w:pPr>
            <w:r>
              <w:t>Clear evidence of infection</w:t>
            </w:r>
            <w:r w:rsidRPr="007866E9">
              <w:t xml:space="preserve"> </w:t>
            </w:r>
            <w:r>
              <w:t>that is present or worsening at least 48 hours after the initial bite(s) or sting(s) with 3 or more of the following s</w:t>
            </w:r>
            <w:r w:rsidRPr="003D0412">
              <w:t>ymptoms</w:t>
            </w:r>
            <w:r>
              <w:t>:</w:t>
            </w:r>
          </w:p>
          <w:p w14:paraId="50527910" w14:textId="77777777" w:rsidR="00993F06" w:rsidRPr="00406E39" w:rsidRDefault="00993F06" w:rsidP="009C090F">
            <w:pPr>
              <w:pStyle w:val="Bulletindent1"/>
              <w:numPr>
                <w:ilvl w:val="1"/>
                <w:numId w:val="15"/>
              </w:numPr>
            </w:pPr>
            <w:r>
              <w:t>Redness of the skin (erythema may be more difficult to distinguish on darker skin tones)</w:t>
            </w:r>
          </w:p>
          <w:p w14:paraId="06FB4690" w14:textId="77777777" w:rsidR="00993F06" w:rsidRPr="00406E39" w:rsidRDefault="00993F06" w:rsidP="009C090F">
            <w:pPr>
              <w:pStyle w:val="Bulletindent1"/>
              <w:numPr>
                <w:ilvl w:val="1"/>
                <w:numId w:val="15"/>
              </w:numPr>
            </w:pPr>
            <w:r>
              <w:t>Pain or tenderness to the area</w:t>
            </w:r>
          </w:p>
          <w:p w14:paraId="70CEBD6E" w14:textId="77777777" w:rsidR="00993F06" w:rsidRDefault="00993F06" w:rsidP="009C090F">
            <w:pPr>
              <w:pStyle w:val="Bulletindent1"/>
              <w:numPr>
                <w:ilvl w:val="1"/>
                <w:numId w:val="15"/>
              </w:numPr>
            </w:pPr>
            <w:r>
              <w:t>Swelling of the skin</w:t>
            </w:r>
          </w:p>
          <w:p w14:paraId="46460ADD" w14:textId="77777777" w:rsidR="00993F06" w:rsidRPr="00127711" w:rsidRDefault="00993F06" w:rsidP="009C090F">
            <w:pPr>
              <w:pStyle w:val="Bulletindent1"/>
              <w:numPr>
                <w:ilvl w:val="1"/>
                <w:numId w:val="15"/>
              </w:numPr>
            </w:pPr>
            <w:r w:rsidRPr="00A24A21">
              <w:t>Skin surrounding the bite(s)</w:t>
            </w:r>
            <w:r>
              <w:t xml:space="preserve"> or sting(s) feels hot to touch</w:t>
            </w:r>
          </w:p>
          <w:p w14:paraId="081B9B54" w14:textId="77777777" w:rsidR="00993F06" w:rsidRPr="00A231FC" w:rsidRDefault="00993F06" w:rsidP="00993F06">
            <w:pPr>
              <w:pStyle w:val="Tabletext"/>
              <w:rPr>
                <w:lang w:val="en-GB"/>
              </w:rPr>
            </w:pPr>
            <w:r w:rsidRPr="00A231FC">
              <w:rPr>
                <w:b/>
              </w:rPr>
              <w:t>AND</w:t>
            </w:r>
            <w:r>
              <w:t xml:space="preserve"> any of the following:</w:t>
            </w:r>
          </w:p>
          <w:p w14:paraId="26228D3B" w14:textId="77777777" w:rsidR="00993F06" w:rsidRDefault="00993F06" w:rsidP="009C090F">
            <w:pPr>
              <w:pStyle w:val="Bulletindent1"/>
              <w:numPr>
                <w:ilvl w:val="1"/>
                <w:numId w:val="15"/>
              </w:numPr>
            </w:pPr>
            <w:r>
              <w:t>Redness or swelling of the skin surrounding the bite(s) or sting(s) is spreading</w:t>
            </w:r>
          </w:p>
          <w:p w14:paraId="2163544E" w14:textId="77777777" w:rsidR="00AE4F4B" w:rsidRDefault="00993F06" w:rsidP="009C090F">
            <w:pPr>
              <w:pStyle w:val="Bulletindent1"/>
              <w:numPr>
                <w:ilvl w:val="1"/>
                <w:numId w:val="15"/>
              </w:numPr>
            </w:pPr>
            <w:r>
              <w:t>Evidence of pustular discharge at site of bite(s) or sting(s)</w:t>
            </w:r>
          </w:p>
          <w:p w14:paraId="2A210D08" w14:textId="77777777" w:rsidR="009C090F" w:rsidRPr="00351A12" w:rsidRDefault="009C090F" w:rsidP="009C090F">
            <w:pPr>
              <w:pStyle w:val="Bulletindent1"/>
            </w:pPr>
            <w:r>
              <w:t>Pregnancy or suspected p</w:t>
            </w:r>
            <w:r w:rsidRPr="005636A7">
              <w:t xml:space="preserve">regnancy </w:t>
            </w:r>
          </w:p>
          <w:p w14:paraId="6CBDA29B" w14:textId="77777777" w:rsidR="009C090F" w:rsidRPr="00351DC5" w:rsidRDefault="009C090F" w:rsidP="009C090F">
            <w:pPr>
              <w:pStyle w:val="Bulletindent1"/>
            </w:pPr>
            <w:r w:rsidRPr="00DA23D4">
              <w:t>Known hypersensitivity to flucloxacillin</w:t>
            </w:r>
            <w:r>
              <w:t>, any</w:t>
            </w:r>
            <w:r w:rsidRPr="00870315">
              <w:t xml:space="preserve"> penicillin or any of the components within the formulation </w:t>
            </w:r>
            <w:r>
              <w:t xml:space="preserve">of flucloxacillin </w:t>
            </w:r>
            <w:r>
              <w:rPr>
                <w:lang w:eastAsia="en-GB"/>
              </w:rPr>
              <w:t>–</w:t>
            </w:r>
            <w:r w:rsidRPr="00870315">
              <w:rPr>
                <w:lang w:eastAsia="en-GB"/>
              </w:rPr>
              <w:t xml:space="preserve"> </w:t>
            </w:r>
            <w:r>
              <w:rPr>
                <w:lang w:eastAsia="en-GB"/>
              </w:rPr>
              <w:t xml:space="preserve">see </w:t>
            </w:r>
            <w:hyperlink r:id="rId30" w:history="1">
              <w:r>
                <w:rPr>
                  <w:rStyle w:val="Hyperlink"/>
                  <w:rFonts w:cs="Arial"/>
                  <w:lang w:eastAsia="en-GB"/>
                </w:rPr>
                <w:t>Summary of Product Characteristics which can be accessed on the EMC website</w:t>
              </w:r>
            </w:hyperlink>
            <w:r>
              <w:rPr>
                <w:lang w:eastAsia="en-GB"/>
              </w:rPr>
              <w:t xml:space="preserve">. </w:t>
            </w:r>
            <w:r w:rsidRPr="009924F9">
              <w:rPr>
                <w:b/>
                <w:bCs/>
                <w:iCs/>
                <w:lang w:eastAsia="en-GB"/>
              </w:rPr>
              <w:t>Acceptable sources of allergy</w:t>
            </w:r>
            <w:r>
              <w:rPr>
                <w:b/>
                <w:bCs/>
                <w:iCs/>
                <w:lang w:eastAsia="en-GB"/>
              </w:rPr>
              <w:t xml:space="preserve"> information include </w:t>
            </w:r>
            <w:r>
              <w:rPr>
                <w:b/>
                <w:bCs/>
                <w:iCs/>
                <w:lang w:eastAsia="en-GB"/>
              </w:rPr>
              <w:lastRenderedPageBreak/>
              <w:t>individual/carer/parent/guardian or National Care Record</w:t>
            </w:r>
            <w:r>
              <w:rPr>
                <w:iCs/>
              </w:rPr>
              <w:t>.</w:t>
            </w:r>
          </w:p>
          <w:p w14:paraId="421418A2" w14:textId="77777777" w:rsidR="009C090F" w:rsidRPr="009D0E67" w:rsidRDefault="009C090F" w:rsidP="009C090F">
            <w:pPr>
              <w:pStyle w:val="TableParagraph"/>
              <w:ind w:left="360"/>
              <w:rPr>
                <w:rFonts w:ascii="Arial" w:hAnsi="Arial" w:cs="Arial"/>
                <w:lang w:val="en-GB"/>
              </w:rPr>
            </w:pPr>
            <w:r>
              <w:rPr>
                <w:rFonts w:ascii="Arial" w:eastAsia="Times New Roman" w:hAnsi="Arial" w:cs="Arial"/>
                <w:b/>
                <w:bCs/>
                <w:iCs/>
                <w:lang w:val="en-GB" w:eastAsia="en-GB"/>
              </w:rPr>
              <w:t>OR</w:t>
            </w:r>
          </w:p>
          <w:p w14:paraId="02A2FFD7" w14:textId="1801D04D" w:rsidR="009C090F" w:rsidRDefault="009C090F" w:rsidP="009C090F">
            <w:pPr>
              <w:pStyle w:val="Bulletindent1"/>
            </w:pPr>
            <w:r w:rsidRPr="00870315">
              <w:rPr>
                <w:lang w:eastAsia="en-GB"/>
              </w:rPr>
              <w:t xml:space="preserve">History of severe immediate hypersensitivity reaction (e.g. anaphylaxis) to another beta-lactam antibiotic (e.g. cephalosporin, carbapenem or monobactam). </w:t>
            </w:r>
            <w:r w:rsidRPr="009924F9">
              <w:rPr>
                <w:b/>
                <w:bCs/>
                <w:iCs/>
                <w:lang w:eastAsia="en-GB"/>
              </w:rPr>
              <w:t>Acceptable sources of allergy</w:t>
            </w:r>
            <w:r>
              <w:rPr>
                <w:b/>
                <w:bCs/>
                <w:iCs/>
                <w:lang w:eastAsia="en-GB"/>
              </w:rPr>
              <w:t xml:space="preserve"> information include individual/carer/parent/guardian or National Care Record</w:t>
            </w:r>
            <w:r>
              <w:rPr>
                <w:iCs/>
              </w:rPr>
              <w:t>.</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lastRenderedPageBreak/>
              <w:t>Criteria for exclusion</w:t>
            </w:r>
          </w:p>
        </w:tc>
        <w:tc>
          <w:tcPr>
            <w:tcW w:w="5953" w:type="dxa"/>
          </w:tcPr>
          <w:p w14:paraId="1068B14C" w14:textId="77777777" w:rsidR="00801F6A" w:rsidRPr="00801F6A" w:rsidRDefault="00801F6A" w:rsidP="00B52073">
            <w:pPr>
              <w:pStyle w:val="Bulletindent1"/>
            </w:pPr>
            <w:r w:rsidRPr="00801F6A">
              <w:t xml:space="preserve">Consent refused and documented in the individual’s clinical notes </w:t>
            </w:r>
          </w:p>
          <w:p w14:paraId="1B665F4B" w14:textId="19D710F6" w:rsidR="00801F6A" w:rsidRPr="00801F6A" w:rsidRDefault="00801F6A" w:rsidP="00B52073">
            <w:pPr>
              <w:pStyle w:val="Bulletindent1"/>
            </w:pPr>
            <w:r w:rsidRPr="00801F6A">
              <w:t>Individuals under 1</w:t>
            </w:r>
            <w:r w:rsidR="009C090F">
              <w:t>6</w:t>
            </w:r>
            <w:r w:rsidRPr="00801F6A">
              <w:t xml:space="preserve"> year</w:t>
            </w:r>
            <w:r w:rsidR="009C090F">
              <w:t>s</w:t>
            </w:r>
            <w:r w:rsidRPr="00801F6A">
              <w:t xml:space="preserve"> of age</w:t>
            </w:r>
          </w:p>
          <w:p w14:paraId="1B6F58C0" w14:textId="77777777" w:rsidR="00801F6A" w:rsidRPr="00903730" w:rsidRDefault="00801F6A" w:rsidP="00B52073">
            <w:pPr>
              <w:pStyle w:val="Bulletindent1"/>
              <w:rPr>
                <w:b/>
                <w:sz w:val="20"/>
              </w:rPr>
            </w:pPr>
            <w:bookmarkStart w:id="5" w:name="Severe"/>
            <w:bookmarkEnd w:id="5"/>
            <w:r w:rsidRPr="00903730">
              <w:t>Severely immunosuppressed individual</w:t>
            </w:r>
            <w:r>
              <w:t>s as defined i</w:t>
            </w:r>
            <w:r w:rsidRPr="00903730">
              <w:t xml:space="preserve">n </w:t>
            </w:r>
            <w:hyperlink r:id="rId31" w:history="1">
              <w:r w:rsidRPr="00903730">
                <w:rPr>
                  <w:rStyle w:val="Hyperlink"/>
                  <w:rFonts w:cs="Arial"/>
                </w:rPr>
                <w:t>Chapter 28a Green book</w:t>
              </w:r>
            </w:hyperlink>
            <w:r w:rsidRPr="00903730">
              <w:t>:</w:t>
            </w:r>
          </w:p>
          <w:p w14:paraId="56725395" w14:textId="77777777" w:rsidR="009A5C7D" w:rsidRPr="00993F06" w:rsidRDefault="009A5C7D" w:rsidP="00993F06">
            <w:pPr>
              <w:pStyle w:val="Tabletext"/>
              <w:rPr>
                <w:b/>
                <w:bCs/>
              </w:rPr>
            </w:pPr>
            <w:r w:rsidRPr="00993F06">
              <w:rPr>
                <w:b/>
                <w:bCs/>
              </w:rPr>
              <w:t xml:space="preserve">Individuals with primary or acquired immunodeficiency states due to conditions including: </w:t>
            </w:r>
          </w:p>
          <w:p w14:paraId="5C321222" w14:textId="68DD8D4A" w:rsidR="009A5C7D" w:rsidRPr="00903730" w:rsidRDefault="00AF139E" w:rsidP="00B52073">
            <w:pPr>
              <w:pStyle w:val="Bulletindent1"/>
            </w:pPr>
            <w:r w:rsidRPr="00903730">
              <w:t xml:space="preserve">Acute </w:t>
            </w:r>
            <w:r w:rsidR="009A5C7D" w:rsidRPr="00903730">
              <w:t xml:space="preserve">and chronic leukaemias, and clinically aggressive lymphomas (including Hodgkin’s lymphoma) who are less than 12 months since achieving cure </w:t>
            </w:r>
          </w:p>
          <w:p w14:paraId="07EE8B7B" w14:textId="2063EC5F" w:rsidR="009A5C7D" w:rsidRPr="00903730" w:rsidRDefault="00AF139E" w:rsidP="00B52073">
            <w:pPr>
              <w:pStyle w:val="Bulletindent1"/>
            </w:pPr>
            <w:r w:rsidRPr="00903730">
              <w:t xml:space="preserve">Individuals </w:t>
            </w:r>
            <w:r w:rsidR="009A5C7D" w:rsidRPr="00903730">
              <w:t xml:space="preserve">under follow up for a chronic lymphoproliferative disorders including haematological malignancies such as indolent lymphoma, chronic lymphoid leukaemia, myeloma, Waldenstrom’s macroglobulinemia and other plasma cell dyscrasias (N.B: this list not exhaustive) </w:t>
            </w:r>
          </w:p>
          <w:p w14:paraId="65699B17" w14:textId="40671E0F" w:rsidR="009A5C7D" w:rsidRPr="00903730" w:rsidRDefault="00AF139E" w:rsidP="00B52073">
            <w:pPr>
              <w:pStyle w:val="Bulletindent1"/>
            </w:pPr>
            <w:r w:rsidRPr="00903730">
              <w:t>Immu</w:t>
            </w:r>
            <w:r w:rsidR="009A5C7D" w:rsidRPr="00903730">
              <w:t>nosuppression due to HIV/AIDS with a current CD4 count of below 200 cells/</w:t>
            </w:r>
            <w:proofErr w:type="spellStart"/>
            <w:r w:rsidR="009A5C7D" w:rsidRPr="00903730">
              <w:t>μl</w:t>
            </w:r>
            <w:proofErr w:type="spellEnd"/>
            <w:r w:rsidR="009A5C7D" w:rsidRPr="00903730">
              <w:t xml:space="preserve">. </w:t>
            </w:r>
          </w:p>
          <w:p w14:paraId="1F6F9E0B" w14:textId="3FC2DE70" w:rsidR="009A5C7D" w:rsidRPr="00903730" w:rsidRDefault="00AF139E" w:rsidP="00B52073">
            <w:pPr>
              <w:pStyle w:val="Bulletindent1"/>
            </w:pPr>
            <w:r w:rsidRPr="00903730">
              <w:t>Primar</w:t>
            </w:r>
            <w:r w:rsidR="009A5C7D" w:rsidRPr="00903730">
              <w:t xml:space="preserve">y or acquired cellular and combined immune deficiencies – those with </w:t>
            </w:r>
            <w:proofErr w:type="spellStart"/>
            <w:r w:rsidR="009A5C7D" w:rsidRPr="00903730">
              <w:t>lymphopaenia</w:t>
            </w:r>
            <w:proofErr w:type="spellEnd"/>
            <w:r w:rsidR="009A5C7D" w:rsidRPr="00903730">
              <w:t xml:space="preserve"> (&lt;1,000 lymphocytes/ul) or with a functional lymphocyte disorder</w:t>
            </w:r>
          </w:p>
          <w:p w14:paraId="180ED9ED" w14:textId="68F44A70" w:rsidR="009A5C7D" w:rsidRPr="00903730" w:rsidRDefault="00AF139E" w:rsidP="00B52073">
            <w:pPr>
              <w:pStyle w:val="Bulletindent1"/>
            </w:pPr>
            <w:r w:rsidRPr="00903730">
              <w:t xml:space="preserve">Those who have received an allogeneic (cells from a donor) or an autologous (using their own cells) stem cell transplant in the previous 24 months </w:t>
            </w:r>
          </w:p>
          <w:p w14:paraId="0CCB08FB" w14:textId="59547C2C" w:rsidR="009A5C7D" w:rsidRPr="00903730" w:rsidRDefault="00AF139E" w:rsidP="00B52073">
            <w:pPr>
              <w:pStyle w:val="Bulletindent1"/>
            </w:pPr>
            <w:r w:rsidRPr="00903730">
              <w:t xml:space="preserve">Those </w:t>
            </w:r>
            <w:r w:rsidR="009A5C7D" w:rsidRPr="00903730">
              <w:t>who have received a stem cell transplant more than 24 months ago but have ongoing immunosuppression or graft versus host disease (GVHD)</w:t>
            </w:r>
          </w:p>
          <w:p w14:paraId="64243B48" w14:textId="77777777" w:rsidR="009A5C7D" w:rsidRPr="00993F06" w:rsidRDefault="009A5C7D" w:rsidP="00993F06">
            <w:pPr>
              <w:pStyle w:val="Tabletext"/>
              <w:rPr>
                <w:b/>
                <w:bCs/>
              </w:rPr>
            </w:pPr>
            <w:r w:rsidRPr="00993F06">
              <w:rPr>
                <w:b/>
                <w:bCs/>
              </w:rPr>
              <w:lastRenderedPageBreak/>
              <w:t xml:space="preserve">Individuals on immunosuppressive or immunomodulating therapy including: </w:t>
            </w:r>
          </w:p>
          <w:p w14:paraId="5D03188A" w14:textId="5B3455B4" w:rsidR="009A5C7D" w:rsidRPr="00903730" w:rsidRDefault="00AF139E" w:rsidP="00B52073">
            <w:pPr>
              <w:pStyle w:val="Bulletindent1"/>
            </w:pPr>
            <w:r w:rsidRPr="00903730">
              <w:t xml:space="preserve">Those who are receiving or have received in the past 6 months immunosuppressive chemotherapy or radiotherapy for any indication </w:t>
            </w:r>
          </w:p>
          <w:p w14:paraId="5AD148BD" w14:textId="0B9A4E67" w:rsidR="009A5C7D" w:rsidRPr="00903730" w:rsidRDefault="00AF139E" w:rsidP="00B52073">
            <w:pPr>
              <w:pStyle w:val="Bulletindent1"/>
            </w:pPr>
            <w:r w:rsidRPr="00903730">
              <w:t xml:space="preserve">Those who are receiving or have received in the previous 6 months immunosuppressive therapy for a solid organ transplant </w:t>
            </w:r>
          </w:p>
          <w:p w14:paraId="29E05600" w14:textId="5B8CCDB8" w:rsidR="009A5C7D" w:rsidRPr="00903730" w:rsidRDefault="00AF139E" w:rsidP="00B52073">
            <w:pPr>
              <w:pStyle w:val="Bulletindent1"/>
            </w:pPr>
            <w:r w:rsidRPr="00903730">
              <w:t xml:space="preserve">Those who are receiving or have received in the previous </w:t>
            </w:r>
            <w:r w:rsidR="009A5C7D" w:rsidRPr="00903730">
              <w:t xml:space="preserve">3 months targeted therapy for autoimmune disease, such as JAK inhibitors or biologic immune modulators including B-cell targeted therapies (including rituximab but for which a 6 month period should be considered immunosuppressive), monoclonal </w:t>
            </w:r>
            <w:proofErr w:type="spellStart"/>
            <w:r w:rsidR="009A5C7D" w:rsidRPr="00903730">
              <w:t>tumor</w:t>
            </w:r>
            <w:proofErr w:type="spellEnd"/>
            <w:r w:rsidR="009A5C7D" w:rsidRPr="00903730">
              <w:t xml:space="preserve"> necrosis factor inhibitors (</w:t>
            </w:r>
            <w:proofErr w:type="spellStart"/>
            <w:r w:rsidR="009A5C7D" w:rsidRPr="00903730">
              <w:t>TNFi</w:t>
            </w:r>
            <w:proofErr w:type="spellEnd"/>
            <w:r w:rsidR="009A5C7D" w:rsidRPr="00903730">
              <w:t>), T-cell co-stimulation modulators, soluble TNF receptors, interleukin (IL)-6 receptor inhibitors., IL-17 inhibitors, IL 12/23 inhibitors, IL 23 inhibitors (N.B: this list is not exhaustive)</w:t>
            </w:r>
          </w:p>
          <w:p w14:paraId="1E500196" w14:textId="4D121911" w:rsidR="009A5C7D" w:rsidRPr="00993F06" w:rsidRDefault="009A5C7D" w:rsidP="00993F06">
            <w:pPr>
              <w:pStyle w:val="Tabletext"/>
              <w:rPr>
                <w:b/>
                <w:bCs/>
              </w:rPr>
            </w:pPr>
            <w:r w:rsidRPr="00993F06">
              <w:rPr>
                <w:b/>
                <w:bCs/>
              </w:rPr>
              <w:t>Individuals with chronic immune mediated inflammatory disease who are receiving or have received immunosuppressive therapy:</w:t>
            </w:r>
          </w:p>
          <w:p w14:paraId="7E59AB2F" w14:textId="4048A1CF" w:rsidR="009A5C7D" w:rsidRPr="00903730" w:rsidRDefault="00AF139E" w:rsidP="00B52073">
            <w:pPr>
              <w:pStyle w:val="Bulletindent1"/>
            </w:pPr>
            <w:r w:rsidRPr="00903730">
              <w:t xml:space="preserve">Moderate to high dose corticosteroids (equivalent ≥20mg prednisolone per day) for more than 10 days in the previous month </w:t>
            </w:r>
          </w:p>
          <w:p w14:paraId="51092628" w14:textId="31B9F74D" w:rsidR="009A5C7D" w:rsidRPr="00903730" w:rsidRDefault="00AF139E" w:rsidP="00B52073">
            <w:pPr>
              <w:pStyle w:val="Bulletindent1"/>
            </w:pPr>
            <w:r w:rsidRPr="00903730">
              <w:t xml:space="preserve">Long term moderate dose corticosteroids (equivalent to ≥10mg prednisolone per day for more than 4 weeks) in the previous 3 months </w:t>
            </w:r>
          </w:p>
          <w:p w14:paraId="67099E93" w14:textId="2EADDF0A" w:rsidR="009A5C7D" w:rsidRPr="00903730" w:rsidRDefault="00AF139E" w:rsidP="00B52073">
            <w:pPr>
              <w:pStyle w:val="Bulletindent1"/>
            </w:pPr>
            <w:r w:rsidRPr="00903730">
              <w:t xml:space="preserve">Any </w:t>
            </w:r>
            <w:r w:rsidR="009A5C7D" w:rsidRPr="00903730">
              <w:t xml:space="preserve">non-biological oral immune modulating drugs e.g. methotrexate &gt;20mg per week (oral and subcutaneous), azathioprine &gt;3.0mg/kg/day; 6-mercaptopurine &gt;1.5mg/kg/day, mycophenolate &gt;1g/day) in the previous 3 months </w:t>
            </w:r>
          </w:p>
          <w:p w14:paraId="7892FFE6" w14:textId="762DFA11" w:rsidR="009A5C7D" w:rsidRPr="00903730" w:rsidRDefault="00AF139E" w:rsidP="00B52073">
            <w:pPr>
              <w:pStyle w:val="Bulletindent1"/>
            </w:pPr>
            <w:r w:rsidRPr="00903730">
              <w:t>Certain combination therapies at individual doses lowe</w:t>
            </w:r>
            <w:r w:rsidR="009A5C7D" w:rsidRPr="00903730">
              <w:t>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993F06" w:rsidRDefault="009A5C7D" w:rsidP="00993F06">
            <w:pPr>
              <w:pStyle w:val="Tabletext"/>
              <w:rPr>
                <w:b/>
                <w:bCs/>
              </w:rPr>
            </w:pPr>
            <w:r w:rsidRPr="00993F06">
              <w:rPr>
                <w:b/>
                <w:bCs/>
              </w:rPr>
              <w:t>Individuals who have received a short course of high dose steroids (equivalent &gt;40mg prednisolone per day for more than a week) for any reason in the previous month.</w:t>
            </w:r>
          </w:p>
          <w:p w14:paraId="7B5D0722" w14:textId="7DFF4F13" w:rsidR="009A5C7D" w:rsidRPr="00AD6167" w:rsidRDefault="009C090F" w:rsidP="00B52073">
            <w:pPr>
              <w:pStyle w:val="Bulletindent1"/>
            </w:pPr>
            <w:r w:rsidRPr="009C090F">
              <w:rPr>
                <w:rFonts w:cs="Arial"/>
              </w:rPr>
              <w:lastRenderedPageBreak/>
              <w:t xml:space="preserve">Known hypersensitivity to erythromycin, any macrolide or any of the components within the formulation </w:t>
            </w:r>
            <w:r w:rsidR="009A5C7D" w:rsidRPr="009A5C7D">
              <w:t xml:space="preserve">- see </w:t>
            </w:r>
            <w:hyperlink r:id="rId32" w:anchor="gref" w:history="1">
              <w:hyperlink r:id="rId33"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05BC99EF" w14:textId="77777777" w:rsidR="009C090F" w:rsidRPr="004A6FF0" w:rsidRDefault="009C090F" w:rsidP="00B52073">
            <w:pPr>
              <w:pStyle w:val="Bulletindent1"/>
            </w:pPr>
            <w:r w:rsidRPr="002B1C6B">
              <w:t>Known comorbidity which may complicate or delay resolution of infection (for example peripheral arterial disease, chronic venous insufficiency,</w:t>
            </w:r>
            <w:r>
              <w:t xml:space="preserve"> lymphoedema</w:t>
            </w:r>
            <w:r w:rsidRPr="002B1C6B">
              <w:t xml:space="preserve"> or morbid obesity).</w:t>
            </w:r>
          </w:p>
          <w:p w14:paraId="698F6821" w14:textId="08951485" w:rsidR="007210CD" w:rsidRPr="009C090F" w:rsidRDefault="007210CD" w:rsidP="00B52073">
            <w:pPr>
              <w:pStyle w:val="Bulletindent1"/>
              <w:rPr>
                <w:iCs/>
              </w:rPr>
            </w:pPr>
            <w:r w:rsidRPr="007210CD">
              <w:t xml:space="preserve">Inability to absorb oral medications and/or inability to swallow oral dosage formulations (i.e. </w:t>
            </w:r>
            <w:r w:rsidR="00AD6167">
              <w:t xml:space="preserve">capsules </w:t>
            </w:r>
            <w:r w:rsidRPr="007210CD">
              <w:t>or oral s</w:t>
            </w:r>
            <w:r w:rsidR="00AD6167">
              <w:t>olution</w:t>
            </w:r>
            <w:r w:rsidRPr="007210CD">
              <w:t xml:space="preserve"> (or oral s</w:t>
            </w:r>
            <w:r w:rsidR="00AD6167">
              <w:t>uspension</w:t>
            </w:r>
            <w:r w:rsidRPr="007210CD">
              <w:t>))</w:t>
            </w:r>
          </w:p>
          <w:p w14:paraId="3711D96E" w14:textId="77777777" w:rsidR="009C090F" w:rsidRPr="003D486B" w:rsidRDefault="009C090F" w:rsidP="00B52073">
            <w:pPr>
              <w:pStyle w:val="Bulletindent1"/>
              <w:rPr>
                <w:iCs/>
              </w:rPr>
            </w:pPr>
            <w:r>
              <w:t xml:space="preserve">Current long-term use of erythromycin or another macrolide antibiotic (e.g. erythromycin for prophylaxis in asplenia, azithromycin for prophylaxis in individuals with COPD or bronchiectasis etc.) </w:t>
            </w:r>
          </w:p>
          <w:p w14:paraId="7A6E849F" w14:textId="4E16F9D5" w:rsidR="00B45C68" w:rsidRDefault="00B45C68" w:rsidP="00B52073">
            <w:pPr>
              <w:pStyle w:val="Bulletindent1"/>
            </w:pPr>
            <w:r>
              <w:t xml:space="preserve">Individuals following a </w:t>
            </w:r>
            <w:hyperlink r:id="rId34" w:history="1">
              <w:r w:rsidRPr="00451EB4">
                <w:rPr>
                  <w:rStyle w:val="Hyperlink"/>
                </w:rPr>
                <w:t>ketogenic diet</w:t>
              </w:r>
              <w:r w:rsidR="00451EB4" w:rsidRPr="00451EB4">
                <w:rPr>
                  <w:rStyle w:val="Hyperlink"/>
                </w:rPr>
                <w:t xml:space="preserve"> as described in this patient information leaflet from Cambridge University Hospitals</w:t>
              </w:r>
            </w:hyperlink>
          </w:p>
          <w:p w14:paraId="50531DCF" w14:textId="77777777" w:rsidR="00D174BC" w:rsidRPr="00BC2092" w:rsidRDefault="00D174BC" w:rsidP="00B52073">
            <w:pPr>
              <w:pStyle w:val="Bulletindent1"/>
            </w:pPr>
            <w:r w:rsidRPr="004340BB">
              <w:t xml:space="preserve">Failed previous antibiotic for this episode of </w:t>
            </w:r>
            <w:r w:rsidRPr="003E173D">
              <w:t>infected insect</w:t>
            </w:r>
            <w:r w:rsidRPr="003C4112">
              <w:t xml:space="preserve"> bite or sting</w:t>
            </w:r>
          </w:p>
          <w:p w14:paraId="1FAB69D7" w14:textId="77777777" w:rsidR="00D174BC" w:rsidRPr="00D87487" w:rsidRDefault="00D174BC" w:rsidP="00B52073">
            <w:pPr>
              <w:pStyle w:val="Bulletindent1"/>
            </w:pPr>
            <w:r>
              <w:t>Any individual suspected of having a systemic reaction to an insect bite or sting i.e. angio-oedema or anaphylaxis</w:t>
            </w:r>
          </w:p>
          <w:p w14:paraId="0E081634" w14:textId="77777777" w:rsidR="00D174BC" w:rsidRPr="000E57D6" w:rsidRDefault="00D174BC" w:rsidP="00B52073">
            <w:pPr>
              <w:pStyle w:val="Bulletindent1"/>
            </w:pPr>
            <w:r>
              <w:t xml:space="preserve">Previous systemic allergic reaction to the same type of bite or sting </w:t>
            </w:r>
          </w:p>
          <w:p w14:paraId="67488C19" w14:textId="77777777" w:rsidR="00D174BC" w:rsidRDefault="00D174BC" w:rsidP="00B52073">
            <w:pPr>
              <w:pStyle w:val="Bulletindent1"/>
            </w:pPr>
            <w:r w:rsidRPr="002B1C6B">
              <w:t>Known comorbidity which may complicate or delay resolution of infection (for example peripheral arterial disease, chronic venous insufficiency,</w:t>
            </w:r>
            <w:r>
              <w:t xml:space="preserve"> lymphoedema</w:t>
            </w:r>
            <w:r w:rsidRPr="002B1C6B">
              <w:t xml:space="preserve"> or morbid obesity).</w:t>
            </w:r>
          </w:p>
          <w:p w14:paraId="653398A9" w14:textId="77777777" w:rsidR="00D174BC" w:rsidRPr="007866E9" w:rsidRDefault="00D174BC" w:rsidP="00B52073">
            <w:pPr>
              <w:pStyle w:val="Bulletindent1"/>
            </w:pPr>
            <w:r>
              <w:rPr>
                <w:rFonts w:eastAsia="Arial"/>
                <w:lang w:bidi="en-GB"/>
              </w:rPr>
              <w:t>Severe pain out of proportion to the wound (may indicate presence of toxin-producing bacteria)</w:t>
            </w:r>
          </w:p>
          <w:p w14:paraId="077475B9" w14:textId="77777777" w:rsidR="00D174BC" w:rsidRPr="00160D85" w:rsidRDefault="00D174BC" w:rsidP="00B52073">
            <w:pPr>
              <w:pStyle w:val="Bulletindent1"/>
            </w:pPr>
            <w:r>
              <w:rPr>
                <w:rFonts w:eastAsia="Arial"/>
                <w:lang w:bidi="en-GB"/>
              </w:rPr>
              <w:t>Significant collection of fluid or pus at site of infection (for incision and drainage, where appropriate)</w:t>
            </w:r>
          </w:p>
          <w:p w14:paraId="19D4E405" w14:textId="77777777" w:rsidR="00D174BC" w:rsidRPr="007866E9" w:rsidRDefault="00D174BC" w:rsidP="00B52073">
            <w:pPr>
              <w:pStyle w:val="Bulletindent1"/>
            </w:pPr>
            <w:r>
              <w:t>Numbness or tingling of the affected area</w:t>
            </w:r>
          </w:p>
          <w:p w14:paraId="173C54EF" w14:textId="77777777" w:rsidR="00D174BC" w:rsidRDefault="00D174BC" w:rsidP="00B52073">
            <w:pPr>
              <w:pStyle w:val="Bulletindent1"/>
            </w:pPr>
            <w:r>
              <w:t xml:space="preserve">No clear evidence of infection (Initial inflammation around the site of the bite should be managed in accordance with </w:t>
            </w:r>
            <w:hyperlink r:id="rId35" w:history="1">
              <w:r>
                <w:rPr>
                  <w:rStyle w:val="Hyperlink"/>
                  <w:rFonts w:cs="Arial"/>
                  <w:szCs w:val="22"/>
                </w:rPr>
                <w:t>NHS insect bites and stings - self-care advice</w:t>
              </w:r>
            </w:hyperlink>
            <w:r>
              <w:t xml:space="preserve">; including </w:t>
            </w:r>
            <w:hyperlink r:id="rId36" w:history="1">
              <w:r>
                <w:rPr>
                  <w:rStyle w:val="Hyperlink"/>
                  <w:rFonts w:cs="Arial"/>
                  <w:szCs w:val="22"/>
                </w:rPr>
                <w:t xml:space="preserve">analgesia as per NICE CKS </w:t>
              </w:r>
              <w:r>
                <w:rPr>
                  <w:rStyle w:val="Hyperlink"/>
                  <w:rFonts w:cs="Arial"/>
                  <w:szCs w:val="22"/>
                </w:rPr>
                <w:lastRenderedPageBreak/>
                <w:t>- analgesia - mild to moderate pain</w:t>
              </w:r>
            </w:hyperlink>
            <w:r>
              <w:t xml:space="preserve">, </w:t>
            </w:r>
            <w:hyperlink r:id="rId37" w:history="1">
              <w:r>
                <w:rPr>
                  <w:rStyle w:val="Hyperlink"/>
                  <w:rFonts w:cs="Arial"/>
                  <w:szCs w:val="22"/>
                </w:rPr>
                <w:t>oral antihistamines as per NICE CKS - urticaria</w:t>
              </w:r>
            </w:hyperlink>
            <w:r>
              <w:t xml:space="preserve"> and </w:t>
            </w:r>
            <w:hyperlink r:id="rId38" w:history="1">
              <w:r>
                <w:rPr>
                  <w:rStyle w:val="Hyperlink"/>
                  <w:rFonts w:cs="Arial"/>
                  <w:szCs w:val="22"/>
                </w:rPr>
                <w:t>topical steroids as per NICE CKS - Corticosteroids - topical (skin), nose and eyes</w:t>
              </w:r>
            </w:hyperlink>
            <w:r>
              <w:t xml:space="preserve"> (over the counter))</w:t>
            </w:r>
          </w:p>
          <w:p w14:paraId="00930263" w14:textId="77777777" w:rsidR="00D174BC" w:rsidRPr="0053297E" w:rsidRDefault="00D174BC" w:rsidP="00B52073">
            <w:pPr>
              <w:pStyle w:val="Bulletindent1"/>
            </w:pPr>
            <w:r w:rsidRPr="003F2B45">
              <w:t xml:space="preserve">Human bite or animal bite or scratch </w:t>
            </w:r>
          </w:p>
          <w:p w14:paraId="22CF2DDD" w14:textId="77777777" w:rsidR="00D174BC" w:rsidRPr="00EA2FFE" w:rsidRDefault="00D174BC" w:rsidP="00B52073">
            <w:pPr>
              <w:pStyle w:val="Bulletindent1"/>
            </w:pPr>
            <w:r>
              <w:t>Insect sting/bite in the mouth or throat, or around the eyes</w:t>
            </w:r>
          </w:p>
          <w:p w14:paraId="011F3CF9" w14:textId="77777777" w:rsidR="00D174BC" w:rsidRPr="002B1C6B" w:rsidRDefault="00D174BC" w:rsidP="00B52073">
            <w:pPr>
              <w:pStyle w:val="Bulletindent1"/>
            </w:pPr>
            <w:r w:rsidRPr="002B1C6B">
              <w:t>Puncture wound contaminated with freshwater or sea water, soil or manure.  May require alternative antibiotics or further management such as tetanus prophylaxis.</w:t>
            </w:r>
          </w:p>
          <w:p w14:paraId="2672D897" w14:textId="77777777" w:rsidR="00D174BC" w:rsidRDefault="00D174BC" w:rsidP="00B52073">
            <w:pPr>
              <w:pStyle w:val="Bulletindent1"/>
            </w:pPr>
            <w:r w:rsidRPr="002B1C6B">
              <w:t xml:space="preserve">Bite or sting </w:t>
            </w:r>
            <w:r>
              <w:t xml:space="preserve">occurred while </w:t>
            </w:r>
            <w:r w:rsidRPr="0071054F">
              <w:t>travelling outside the UK with concern of insect borne disease e.g. malaria, tick borne encephalitis</w:t>
            </w:r>
          </w:p>
          <w:p w14:paraId="1EEBD690" w14:textId="77777777" w:rsidR="00D174BC" w:rsidRPr="00CF3504" w:rsidRDefault="00D174BC" w:rsidP="00B52073">
            <w:pPr>
              <w:pStyle w:val="Bulletindent1"/>
            </w:pPr>
            <w:r>
              <w:t xml:space="preserve">Bite or sting caused by an unusual or exotic insect </w:t>
            </w:r>
          </w:p>
          <w:p w14:paraId="58931466" w14:textId="77777777" w:rsidR="00D174BC" w:rsidRDefault="00D174BC" w:rsidP="00B52073">
            <w:pPr>
              <w:pStyle w:val="Bulletindent1"/>
            </w:pPr>
            <w:r w:rsidRPr="002B1C6B">
              <w:t>Insect bites caused by ticks</w:t>
            </w:r>
            <w:r>
              <w:t xml:space="preserve"> (where tick present or presentation indicative of tick bite): due to risk of </w:t>
            </w:r>
            <w:hyperlink r:id="rId39" w:history="1">
              <w:r>
                <w:rPr>
                  <w:rStyle w:val="Hyperlink"/>
                  <w:rFonts w:cs="Arial"/>
                  <w:szCs w:val="22"/>
                </w:rPr>
                <w:t>Lyme disease as detailed on  the NHS website</w:t>
              </w:r>
            </w:hyperlink>
          </w:p>
          <w:p w14:paraId="1D826ED7" w14:textId="77777777" w:rsidR="00D174BC" w:rsidRDefault="00D174BC" w:rsidP="00B52073">
            <w:pPr>
              <w:pStyle w:val="Bulletindent1"/>
            </w:pPr>
            <w:r>
              <w:t xml:space="preserve">Evidence of </w:t>
            </w:r>
            <w:hyperlink r:id="rId40" w:history="1">
              <w:r>
                <w:rPr>
                  <w:rStyle w:val="Hyperlink"/>
                  <w:rFonts w:cs="Arial"/>
                  <w:szCs w:val="22"/>
                </w:rPr>
                <w:t>erythema migrans as described on the NHS website</w:t>
              </w:r>
            </w:hyperlink>
            <w:r>
              <w:t xml:space="preserve"> (bullseye rash, which may appear as a bruise on brown or black skin) on examination: due to risk of </w:t>
            </w:r>
            <w:r w:rsidRPr="00B4621A">
              <w:rPr>
                <w:rFonts w:cs="Arial"/>
                <w:szCs w:val="22"/>
              </w:rPr>
              <w:t>Lyme disease</w:t>
            </w:r>
          </w:p>
          <w:p w14:paraId="2FE2E328" w14:textId="77777777" w:rsidR="00D174BC" w:rsidRPr="00BC6E78" w:rsidRDefault="00D174BC" w:rsidP="00B52073">
            <w:pPr>
              <w:pStyle w:val="Bulletindent1"/>
              <w:rPr>
                <w:rFonts w:eastAsia="Calibri"/>
              </w:rPr>
            </w:pPr>
            <w:r w:rsidRPr="00BC6E78">
              <w:rPr>
                <w:rFonts w:eastAsia="Arial"/>
                <w:lang w:eastAsia="en-GB" w:bidi="en-GB"/>
              </w:rPr>
              <w:t>Systemically unwell</w:t>
            </w:r>
          </w:p>
          <w:p w14:paraId="2E314016" w14:textId="77777777" w:rsidR="00D174BC" w:rsidRDefault="00D174BC" w:rsidP="00B52073">
            <w:pPr>
              <w:pStyle w:val="Bulletindent1"/>
            </w:pPr>
            <w:r>
              <w:rPr>
                <w:iCs/>
              </w:rPr>
              <w:t>A</w:t>
            </w:r>
            <w:r w:rsidRPr="00793D7D">
              <w:rPr>
                <w:iCs/>
              </w:rPr>
              <w:t xml:space="preserve">ny individual identified with symptoms of </w:t>
            </w:r>
            <w:hyperlink r:id="rId41" w:history="1">
              <w:r>
                <w:rPr>
                  <w:rStyle w:val="Hyperlink"/>
                </w:rPr>
                <w:t>severe/life-threatening infection or systemic sepsis as detailed on the NHS website</w:t>
              </w:r>
            </w:hyperlink>
            <w:r>
              <w:t xml:space="preserve"> - </w:t>
            </w:r>
            <w:r w:rsidRPr="00793D7D">
              <w:t>refer urgently via ambulance.</w:t>
            </w:r>
          </w:p>
          <w:p w14:paraId="32745B91" w14:textId="77777777" w:rsidR="00D174BC" w:rsidRPr="00B52073" w:rsidRDefault="00D174BC" w:rsidP="00B52073">
            <w:pPr>
              <w:pStyle w:val="Bulletindent1"/>
            </w:pPr>
            <w:r>
              <w:rPr>
                <w:rFonts w:eastAsia="Arial"/>
                <w:lang w:bidi="en-GB"/>
              </w:rPr>
              <w:t xml:space="preserve">Previous or current </w:t>
            </w:r>
            <w:r w:rsidRPr="006812B8">
              <w:rPr>
                <w:rFonts w:eastAsia="Arial"/>
                <w:lang w:bidi="en-GB"/>
              </w:rPr>
              <w:t xml:space="preserve">known </w:t>
            </w:r>
            <w:r w:rsidRPr="006A7EE3">
              <w:rPr>
                <w:iCs/>
              </w:rPr>
              <w:t>met</w:t>
            </w:r>
            <w:r>
              <w:rPr>
                <w:iCs/>
              </w:rPr>
              <w:t>(</w:t>
            </w:r>
            <w:r w:rsidRPr="006A7EE3">
              <w:rPr>
                <w:iCs/>
              </w:rPr>
              <w:t>h</w:t>
            </w:r>
            <w:r>
              <w:rPr>
                <w:iCs/>
              </w:rPr>
              <w:t>)</w:t>
            </w:r>
            <w:proofErr w:type="spellStart"/>
            <w:r w:rsidRPr="006A7EE3">
              <w:rPr>
                <w:iCs/>
              </w:rPr>
              <w:t>icillin</w:t>
            </w:r>
            <w:proofErr w:type="spellEnd"/>
            <w:r w:rsidRPr="006A7EE3">
              <w:rPr>
                <w:iCs/>
              </w:rPr>
              <w:t xml:space="preserve">-resistant </w:t>
            </w:r>
            <w:r w:rsidRPr="0018046C">
              <w:rPr>
                <w:i/>
                <w:iCs/>
              </w:rPr>
              <w:t>Staphylococcus aureus</w:t>
            </w:r>
            <w:r w:rsidRPr="006812B8">
              <w:rPr>
                <w:rFonts w:eastAsia="Arial"/>
                <w:lang w:bidi="en-GB"/>
              </w:rPr>
              <w:t xml:space="preserve"> </w:t>
            </w:r>
            <w:r w:rsidRPr="00D7710D">
              <w:rPr>
                <w:rFonts w:eastAsia="Arial"/>
                <w:lang w:bidi="en-GB"/>
              </w:rPr>
              <w:t>(</w:t>
            </w:r>
            <w:r w:rsidRPr="006A7EE3">
              <w:rPr>
                <w:rFonts w:eastAsia="Arial"/>
                <w:lang w:bidi="en-GB"/>
              </w:rPr>
              <w:t>MRSA) colonisation</w:t>
            </w:r>
            <w:r>
              <w:rPr>
                <w:rFonts w:eastAsia="Arial"/>
                <w:lang w:bidi="en-GB"/>
              </w:rPr>
              <w:t xml:space="preserve"> or infection</w:t>
            </w:r>
          </w:p>
          <w:p w14:paraId="3EBDEA2E" w14:textId="77777777" w:rsidR="00B52073" w:rsidRDefault="00B52073" w:rsidP="00B52073">
            <w:pPr>
              <w:pStyle w:val="Bulletindent1"/>
            </w:pPr>
            <w:r w:rsidRPr="007210CD">
              <w:t>Known myasthenia gravis</w:t>
            </w:r>
          </w:p>
          <w:p w14:paraId="16CDBDDB" w14:textId="77777777" w:rsidR="00B52073" w:rsidRDefault="00B52073" w:rsidP="00B52073">
            <w:pPr>
              <w:pStyle w:val="Bulletindent1"/>
            </w:pPr>
            <w:r w:rsidRPr="007210CD">
              <w:t>Known history of QT prolongation (congenital or acquired), or ventricular cardiac arrhythmia, including torsades de pointe</w:t>
            </w:r>
          </w:p>
          <w:p w14:paraId="6DF9378C" w14:textId="7626A6FC" w:rsidR="00B52073" w:rsidRDefault="00B52073" w:rsidP="00B52073">
            <w:pPr>
              <w:pStyle w:val="Bulletindent1"/>
            </w:pPr>
            <w:r w:rsidRPr="00B4621A">
              <w:t xml:space="preserve">Concomitant use of another medication known to cause QT prolongation (e.g. </w:t>
            </w:r>
            <w:r>
              <w:t xml:space="preserve">see </w:t>
            </w:r>
            <w:hyperlink w:anchor="Interactions" w:history="1">
              <w:r w:rsidRPr="00B52073">
                <w:rPr>
                  <w:rStyle w:val="Hyperlink"/>
                </w:rPr>
                <w:t>Drug interactions section</w:t>
              </w:r>
            </w:hyperlink>
            <w:r w:rsidRPr="00B4621A">
              <w:t>. For further information recommended resources include</w:t>
            </w:r>
            <w:r w:rsidRPr="007210CD">
              <w:t xml:space="preserve">: </w:t>
            </w:r>
            <w:hyperlink r:id="rId42" w:history="1">
              <w:proofErr w:type="spellStart"/>
              <w:r>
                <w:rPr>
                  <w:rStyle w:val="Hyperlink"/>
                </w:rPr>
                <w:t>CredibleMeds</w:t>
              </w:r>
              <w:proofErr w:type="spellEnd"/>
              <w:r>
                <w:rPr>
                  <w:rStyle w:val="Hyperlink"/>
                </w:rPr>
                <w:t xml:space="preserve"> (registration required)</w:t>
              </w:r>
            </w:hyperlink>
            <w:r w:rsidRPr="007210CD">
              <w:t xml:space="preserve">, or </w:t>
            </w:r>
            <w:hyperlink r:id="rId43" w:history="1">
              <w:r w:rsidRPr="007210CD">
                <w:rPr>
                  <w:rStyle w:val="Hyperlink"/>
                </w:rPr>
                <w:t>Sudden arrhythmic death syndrome (SADS) - Drugs to avoid)</w:t>
              </w:r>
            </w:hyperlink>
          </w:p>
          <w:p w14:paraId="0CD4F085" w14:textId="77777777" w:rsidR="00B52073" w:rsidRPr="00793D7D" w:rsidRDefault="00B52073" w:rsidP="00B52073">
            <w:pPr>
              <w:pStyle w:val="Bulletindent1"/>
            </w:pPr>
            <w:r w:rsidRPr="007210CD">
              <w:t>Known electrolyte disturbances (hypokalaemia or hypomagnesaemia)</w:t>
            </w:r>
          </w:p>
          <w:p w14:paraId="4DAFD9B6" w14:textId="77777777" w:rsidR="00D174BC" w:rsidRDefault="00D174BC" w:rsidP="00B52073">
            <w:pPr>
              <w:pStyle w:val="Bulletindent1"/>
            </w:pPr>
            <w:r w:rsidRPr="006A6A42">
              <w:lastRenderedPageBreak/>
              <w:t>Known Chronic Kidney Disease (CKD) stage 5 (eGFR &lt;15ml/min/1.73m²)</w:t>
            </w:r>
          </w:p>
          <w:p w14:paraId="727B768B" w14:textId="77777777" w:rsidR="00B52073" w:rsidRPr="002B1C6B" w:rsidRDefault="00B52073" w:rsidP="00B52073">
            <w:pPr>
              <w:pStyle w:val="Bulletindent1"/>
              <w:rPr>
                <w:iCs/>
              </w:rPr>
            </w:pPr>
            <w:r w:rsidRPr="002B1C6B">
              <w:t>Previous history of macrolide-associated jaundice/hepatic dysfunction</w:t>
            </w:r>
          </w:p>
          <w:p w14:paraId="057FB9D2" w14:textId="77777777" w:rsidR="00B52073" w:rsidRDefault="00B52073" w:rsidP="00B52073">
            <w:pPr>
              <w:pStyle w:val="Bulletindent1"/>
            </w:pPr>
            <w:r w:rsidRPr="007210CD">
              <w:t xml:space="preserve">Known or suspected severe liver disease </w:t>
            </w:r>
          </w:p>
          <w:p w14:paraId="750C54EC" w14:textId="1C7C573B" w:rsidR="00B52073" w:rsidRPr="00E752ED" w:rsidRDefault="00B52073" w:rsidP="00B52073">
            <w:pPr>
              <w:pStyle w:val="Bulletindent1"/>
            </w:pPr>
            <w:r w:rsidRPr="00E752ED">
              <w:rPr>
                <w:lang w:eastAsia="en-GB"/>
              </w:rPr>
              <w:t xml:space="preserve">Concomitant use with a potentially hepatotoxic medicine (use information from the </w:t>
            </w:r>
            <w:hyperlink r:id="rId44" w:history="1">
              <w:r>
                <w:rPr>
                  <w:rStyle w:val="Hyperlink"/>
                  <w:rFonts w:cs="Arial"/>
                  <w:lang w:eastAsia="en-GB"/>
                </w:rPr>
                <w:t>SmPC which can be accessed on the EMC website</w:t>
              </w:r>
            </w:hyperlink>
            <w:r w:rsidRPr="00E752ED">
              <w:rPr>
                <w:lang w:eastAsia="en-GB"/>
              </w:rPr>
              <w:t xml:space="preserve"> or individual monograph on </w:t>
            </w:r>
            <w:hyperlink r:id="rId45" w:history="1">
              <w:proofErr w:type="spellStart"/>
              <w:r w:rsidRPr="00E752ED">
                <w:rPr>
                  <w:rStyle w:val="Hyperlink"/>
                  <w:rFonts w:cs="Arial"/>
                  <w:lang w:eastAsia="en-GB"/>
                </w:rPr>
                <w:t>LiverTox</w:t>
              </w:r>
              <w:proofErr w:type="spellEnd"/>
            </w:hyperlink>
            <w:r w:rsidRPr="00E752ED">
              <w:rPr>
                <w:lang w:eastAsia="en-GB"/>
              </w:rPr>
              <w:t xml:space="preserve"> to determine if concomitant medicines(s) are hepatotoxic)</w:t>
            </w:r>
          </w:p>
          <w:p w14:paraId="7522D472" w14:textId="77777777" w:rsidR="00B52073" w:rsidRDefault="00B52073" w:rsidP="00B52073">
            <w:pPr>
              <w:pStyle w:val="Bulletindent1"/>
            </w:pPr>
            <w:r>
              <w:t xml:space="preserve">Known heart disease (e.g. coronary artery disease, severe cardiac insufficiency, conduction disturbances, bradycardia &lt; 50 beats per minute) </w:t>
            </w:r>
          </w:p>
          <w:p w14:paraId="291FEAC7" w14:textId="543D1D36" w:rsidR="00B52073" w:rsidRPr="001748D5" w:rsidRDefault="00B52073" w:rsidP="00B52073">
            <w:pPr>
              <w:pStyle w:val="Bulletindent1"/>
            </w:pPr>
            <w:r>
              <w:t>Known porphyria</w:t>
            </w:r>
          </w:p>
          <w:p w14:paraId="28409FF0" w14:textId="3139D728" w:rsidR="007210CD" w:rsidRPr="005273D0" w:rsidRDefault="007210CD" w:rsidP="00B52073">
            <w:pPr>
              <w:pStyle w:val="Bulletindent1"/>
            </w:pPr>
            <w:r w:rsidRPr="007210CD">
              <w:t>Less than 3 days before receiving, or within 3 days after receiving, oral typhoid vaccine</w:t>
            </w:r>
          </w:p>
          <w:p w14:paraId="242D0FB3" w14:textId="761EC4C2" w:rsidR="00CB4A2B" w:rsidRDefault="00793D7D" w:rsidP="00B52073">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66725EFB" w14:textId="77777777" w:rsidR="00B52073" w:rsidRPr="00B52073" w:rsidRDefault="00E12123" w:rsidP="00B52073">
            <w:pPr>
              <w:pStyle w:val="Tabletext"/>
              <w:rPr>
                <w:iCs/>
                <w:lang w:val="en-GB"/>
              </w:rPr>
            </w:pPr>
            <w:r w:rsidRPr="00267C96">
              <w:rPr>
                <w:b/>
              </w:rPr>
              <w:t>Breastfeeding individuals</w:t>
            </w:r>
            <w:r w:rsidR="00862A98" w:rsidRPr="00AF139E">
              <w:t xml:space="preserve">. </w:t>
            </w:r>
            <w:r w:rsidR="00B52073" w:rsidRPr="00B52073">
              <w:rPr>
                <w:iCs/>
                <w:lang w:val="en-GB"/>
              </w:rPr>
              <w:t xml:space="preserve">Erythromycin can be used in breastfeeding individuals: monitor nursing infant for gastro-intestinal disturbances, oral candida infection, rashes, drowsiness, irritability, sweating and loss of appetite. </w:t>
            </w:r>
          </w:p>
          <w:p w14:paraId="09700D30" w14:textId="4CB2C136" w:rsidR="00E12123" w:rsidRDefault="00E12123" w:rsidP="00E12123">
            <w:pPr>
              <w:pStyle w:val="Tabletext"/>
            </w:pPr>
          </w:p>
          <w:p w14:paraId="2AB6A8A1" w14:textId="77777777" w:rsidR="00E12123" w:rsidRPr="00C16E72" w:rsidRDefault="00E12123" w:rsidP="00E12123">
            <w:pPr>
              <w:pStyle w:val="Tabletext"/>
            </w:pPr>
            <w:r>
              <w:t>*******************************************************************</w:t>
            </w:r>
          </w:p>
          <w:p w14:paraId="0DC9C849" w14:textId="77777777" w:rsidR="00B52073" w:rsidRPr="00B52073" w:rsidRDefault="00B52073" w:rsidP="00B52073">
            <w:pPr>
              <w:pStyle w:val="Tabletext"/>
              <w:rPr>
                <w:rFonts w:eastAsia="Calibri"/>
                <w:lang w:val="en-GB"/>
              </w:rPr>
            </w:pPr>
            <w:r w:rsidRPr="00B52073">
              <w:rPr>
                <w:rFonts w:eastAsia="Calibri"/>
                <w:lang w:val="en-GB"/>
              </w:rPr>
              <w:t>Caution should be exercised when supplying erythromycin tablets or oral suspension (or oral suspension) to individuals who should avoid the following excipients:</w:t>
            </w:r>
          </w:p>
          <w:p w14:paraId="41EC8196" w14:textId="77777777" w:rsidR="00AF139E" w:rsidRPr="00862A98" w:rsidRDefault="00AF139E" w:rsidP="00AF139E">
            <w:pPr>
              <w:pStyle w:val="Tabletext"/>
              <w:rPr>
                <w:rFonts w:eastAsia="Calibri"/>
              </w:rPr>
            </w:pPr>
          </w:p>
          <w:p w14:paraId="516477CA" w14:textId="4A76E6CF" w:rsidR="00E12123" w:rsidRPr="00862A98" w:rsidRDefault="00E12123" w:rsidP="00862A98">
            <w:pPr>
              <w:pStyle w:val="Tabletext"/>
              <w:rPr>
                <w:b/>
                <w:bCs/>
              </w:rPr>
            </w:pPr>
            <w:r w:rsidRPr="00862A98">
              <w:rPr>
                <w:b/>
                <w:bCs/>
              </w:rPr>
              <w:t>Lactose, sucrose, fructose and sorbitol:</w:t>
            </w:r>
          </w:p>
          <w:p w14:paraId="16544F96" w14:textId="497ABEBC" w:rsidR="00E12123" w:rsidRPr="000B32D0" w:rsidRDefault="00E12123" w:rsidP="00AF139E">
            <w:pPr>
              <w:pStyle w:val="Tabletext"/>
            </w:pPr>
            <w:r w:rsidRPr="000B32D0">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 available in the </w:t>
            </w:r>
            <w:hyperlink r:id="rId46" w:history="1">
              <w:r w:rsidR="00A16080">
                <w:rPr>
                  <w:rStyle w:val="Hyperlink"/>
                  <w:rFonts w:cs="Arial"/>
                </w:rPr>
                <w:t>SmPC which can be accessed on the EMC website</w:t>
              </w:r>
            </w:hyperlink>
            <w:r w:rsidRPr="000B32D0">
              <w:t xml:space="preserve"> before supplying.</w:t>
            </w:r>
          </w:p>
          <w:p w14:paraId="729A0EE6" w14:textId="77777777" w:rsidR="00862A98" w:rsidRPr="00862A98" w:rsidRDefault="00E12123" w:rsidP="00862A98">
            <w:pPr>
              <w:pStyle w:val="Tabletext"/>
              <w:rPr>
                <w:b/>
                <w:bCs/>
              </w:rPr>
            </w:pPr>
            <w:r w:rsidRPr="00862A98">
              <w:rPr>
                <w:b/>
                <w:bCs/>
              </w:rPr>
              <w:t xml:space="preserve">Aspartame: </w:t>
            </w:r>
          </w:p>
          <w:p w14:paraId="64FEDD91" w14:textId="5430E3A5" w:rsidR="00E12123" w:rsidRDefault="00E12123" w:rsidP="00862A98">
            <w:pPr>
              <w:pStyle w:val="Tabletext"/>
            </w:pPr>
            <w:r w:rsidRPr="00186EC7">
              <w:rPr>
                <w:rFonts w:cs="Arial"/>
              </w:rPr>
              <w:t xml:space="preserve">Individuals with </w:t>
            </w:r>
            <w:hyperlink r:id="rId47" w:anchor=":~:text=People%20with%20PKU%20must%20also,used%20in%20tea%20and%20coffee" w:history="1">
              <w:r w:rsidR="00A16080">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in the </w:t>
            </w:r>
            <w:hyperlink r:id="rId48" w:history="1">
              <w:r w:rsidR="00A16080" w:rsidRPr="00A16080">
                <w:rPr>
                  <w:rStyle w:val="Hyperlink"/>
                  <w:rFonts w:cs="Arial"/>
                </w:rPr>
                <w:t>SmPC which can be accessed on the EMC website</w:t>
              </w:r>
            </w:hyperlink>
            <w:r w:rsidR="00A16080">
              <w:rPr>
                <w:rFonts w:cs="Arial"/>
              </w:rPr>
              <w:t xml:space="preserve"> </w:t>
            </w:r>
            <w:r w:rsidRPr="00186EC7">
              <w:rPr>
                <w:rFonts w:cs="Arial"/>
              </w:rPr>
              <w:t>before supplying.</w:t>
            </w:r>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lastRenderedPageBreak/>
              <w:t>Specific information for suspected infection to be provided</w:t>
            </w:r>
          </w:p>
        </w:tc>
        <w:tc>
          <w:tcPr>
            <w:tcW w:w="5953" w:type="dxa"/>
          </w:tcPr>
          <w:p w14:paraId="1FEC53E0" w14:textId="77777777" w:rsidR="00D174BC" w:rsidRPr="00B4621A" w:rsidRDefault="00D174BC" w:rsidP="00D174BC">
            <w:pPr>
              <w:pStyle w:val="Tabletext"/>
              <w:rPr>
                <w:bCs/>
                <w:lang w:val="en-GB"/>
              </w:rPr>
            </w:pPr>
            <w:r w:rsidRPr="00B4621A">
              <w:rPr>
                <w:lang w:val="en-GB"/>
              </w:rPr>
              <w:t xml:space="preserve">Provide </w:t>
            </w:r>
            <w:hyperlink r:id="rId49" w:history="1">
              <w:r w:rsidRPr="00B4621A">
                <w:rPr>
                  <w:rStyle w:val="Hyperlink"/>
                  <w:bCs/>
                  <w:lang w:val="en-GB"/>
                </w:rPr>
                <w:t>TARGET self-care leaflet</w:t>
              </w:r>
            </w:hyperlink>
            <w:r w:rsidRPr="00B4621A">
              <w:rPr>
                <w:bCs/>
                <w:lang w:val="en-GB"/>
              </w:rPr>
              <w:t xml:space="preserve"> </w:t>
            </w:r>
          </w:p>
          <w:p w14:paraId="485A68A1" w14:textId="77777777" w:rsidR="00D174BC" w:rsidRPr="00B4621A" w:rsidRDefault="00D174BC" w:rsidP="00D174BC">
            <w:pPr>
              <w:pStyle w:val="Tabletext"/>
              <w:rPr>
                <w:bCs/>
                <w:lang w:val="en-GB"/>
              </w:rPr>
            </w:pPr>
          </w:p>
          <w:p w14:paraId="4F6CCF11" w14:textId="77777777" w:rsidR="00D174BC" w:rsidRPr="00B4621A" w:rsidRDefault="00D174BC" w:rsidP="00D174BC">
            <w:pPr>
              <w:pStyle w:val="Tabletext"/>
              <w:rPr>
                <w:bCs/>
                <w:lang w:val="en-GB"/>
              </w:rPr>
            </w:pPr>
            <w:r w:rsidRPr="00B4621A">
              <w:rPr>
                <w:bCs/>
                <w:lang w:val="en-GB"/>
              </w:rPr>
              <w:t xml:space="preserve">Provide </w:t>
            </w:r>
            <w:hyperlink r:id="rId50" w:history="1">
              <w:r w:rsidRPr="00B4621A">
                <w:rPr>
                  <w:rStyle w:val="Hyperlink"/>
                  <w:bCs/>
                  <w:lang w:val="en-GB"/>
                </w:rPr>
                <w:t>information on insect bites and stings from the NHS website:</w:t>
              </w:r>
            </w:hyperlink>
            <w:r w:rsidRPr="00B4621A">
              <w:rPr>
                <w:bCs/>
                <w:lang w:val="en-GB"/>
              </w:rPr>
              <w:t xml:space="preserve"> </w:t>
            </w:r>
          </w:p>
          <w:p w14:paraId="1C508C34" w14:textId="77777777" w:rsidR="00D174BC" w:rsidRPr="00B4621A" w:rsidRDefault="00D174BC" w:rsidP="00D174BC">
            <w:pPr>
              <w:pStyle w:val="Tabletext"/>
              <w:rPr>
                <w:lang w:val="en-GB"/>
              </w:rPr>
            </w:pPr>
          </w:p>
          <w:p w14:paraId="591F763D" w14:textId="77777777" w:rsidR="00D174BC" w:rsidRPr="00B4621A" w:rsidRDefault="00D174BC" w:rsidP="00D174BC">
            <w:pPr>
              <w:pStyle w:val="Tabletext"/>
              <w:rPr>
                <w:lang w:val="en-GB"/>
              </w:rPr>
            </w:pPr>
            <w:r w:rsidRPr="00B4621A">
              <w:rPr>
                <w:lang w:val="en-GB"/>
              </w:rPr>
              <w:t xml:space="preserve">And, where relevant, provide the following information: </w:t>
            </w:r>
          </w:p>
          <w:p w14:paraId="2707E9B7" w14:textId="77777777" w:rsidR="00D174BC" w:rsidRPr="00B4621A" w:rsidRDefault="00D174BC" w:rsidP="00D174BC">
            <w:pPr>
              <w:pStyle w:val="Bulletindent1"/>
            </w:pPr>
            <w:hyperlink r:id="rId51" w:history="1">
              <w:r>
                <w:rPr>
                  <w:rStyle w:val="Hyperlink"/>
                </w:rPr>
                <w:t>UKHSA Tick Awareness leaflet</w:t>
              </w:r>
            </w:hyperlink>
            <w:r w:rsidRPr="00B4621A" w:rsidDel="001A1969">
              <w:t xml:space="preserve"> </w:t>
            </w:r>
          </w:p>
          <w:p w14:paraId="51254FAC" w14:textId="759DC601" w:rsidR="00A16080" w:rsidRDefault="00D174BC" w:rsidP="00D174BC">
            <w:pPr>
              <w:pStyle w:val="Bulletindent1"/>
            </w:pPr>
            <w:hyperlink r:id="rId52" w:tgtFrame="_blank" w:history="1">
              <w:r>
                <w:rPr>
                  <w:rStyle w:val="Hyperlink"/>
                </w:rPr>
                <w:t>The Anaphylaxis Campaign - Insect sting allergy – the facts.</w:t>
              </w:r>
            </w:hyperlink>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D76227">
            <w:pPr>
              <w:pStyle w:val="Bulletindent1"/>
            </w:pPr>
            <w:r w:rsidRPr="00A16080">
              <w:t>Record reasons for exclusion in the appropriate clinical record</w:t>
            </w:r>
            <w:r w:rsidR="00E12123">
              <w:t>.</w:t>
            </w:r>
          </w:p>
          <w:p w14:paraId="06AC292F" w14:textId="77777777" w:rsidR="00A16080" w:rsidRDefault="00A16080" w:rsidP="00A16080">
            <w:pPr>
              <w:pStyle w:val="Bulletindent1"/>
              <w:numPr>
                <w:ilvl w:val="0"/>
                <w:numId w:val="0"/>
              </w:numPr>
              <w:ind w:left="360"/>
            </w:pPr>
            <w:r w:rsidRPr="00A16080">
              <w:rPr>
                <w:b/>
                <w:bCs/>
              </w:rPr>
              <w:t>Individuals where treatment is not indicated:</w:t>
            </w:r>
            <w:r w:rsidRPr="00A16080">
              <w:t xml:space="preserve"> </w:t>
            </w:r>
          </w:p>
          <w:p w14:paraId="122A31EF" w14:textId="77777777" w:rsidR="00D174BC" w:rsidRPr="00D174BC" w:rsidRDefault="00D174BC" w:rsidP="00D174BC">
            <w:pPr>
              <w:pStyle w:val="Bulletindent1"/>
              <w:rPr>
                <w:rFonts w:eastAsia="Calibri"/>
              </w:rPr>
            </w:pPr>
            <w:r w:rsidRPr="00D174BC">
              <w:rPr>
                <w:rFonts w:eastAsia="Calibri"/>
              </w:rPr>
              <w:t>Advise individual/carer/parent/guardian of alternative non antibiotic treatment if antibiotic not indicated and provide</w:t>
            </w:r>
            <w:r w:rsidRPr="00D174BC">
              <w:rPr>
                <w:rFonts w:eastAsia="Calibri"/>
                <w:b/>
              </w:rPr>
              <w:t xml:space="preserve"> </w:t>
            </w:r>
            <w:hyperlink r:id="rId53" w:history="1">
              <w:r w:rsidRPr="00D174BC">
                <w:rPr>
                  <w:rStyle w:val="Hyperlink"/>
                  <w:rFonts w:eastAsia="Calibri"/>
                  <w:bCs/>
                </w:rPr>
                <w:t>TARGET self-care leaflet</w:t>
              </w:r>
            </w:hyperlink>
            <w:r w:rsidRPr="00D174BC">
              <w:rPr>
                <w:rFonts w:eastAsia="Calibri"/>
                <w:lang w:val="en-US"/>
              </w:rPr>
              <w:t xml:space="preserve"> and safety netting advice. </w:t>
            </w:r>
          </w:p>
          <w:p w14:paraId="77CA6527" w14:textId="77777777" w:rsidR="00D174BC" w:rsidRPr="00D174BC" w:rsidRDefault="00D174BC" w:rsidP="00D174BC">
            <w:pPr>
              <w:pStyle w:val="Bulletindent1"/>
              <w:rPr>
                <w:rFonts w:eastAsia="Calibri"/>
              </w:rPr>
            </w:pPr>
            <w:r w:rsidRPr="00D174BC">
              <w:rPr>
                <w:rFonts w:eastAsia="Calibri"/>
              </w:rPr>
              <w:t>Some individuals may wish to consider oral antihistamines to help relieve itching, even though there is uncertainty about their effectiveness.</w:t>
            </w:r>
          </w:p>
          <w:p w14:paraId="2A978660" w14:textId="77777777" w:rsidR="00D174BC" w:rsidRPr="00D174BC" w:rsidRDefault="00D174BC" w:rsidP="00D174BC">
            <w:pPr>
              <w:pStyle w:val="Bulletindent1"/>
              <w:rPr>
                <w:rFonts w:eastAsia="Calibri"/>
              </w:rPr>
            </w:pPr>
            <w:r w:rsidRPr="00D174BC">
              <w:rPr>
                <w:rFonts w:eastAsia="Calibri"/>
              </w:rPr>
              <w:t>Ask the individual to draw a line around the border of erythema (or take clear photos of the area) [</w:t>
            </w:r>
            <w:r w:rsidRPr="00D174BC">
              <w:rPr>
                <w:rFonts w:eastAsia="Calibri"/>
                <w:highlight w:val="cyan"/>
              </w:rPr>
              <w:t>and to return for reassessment, as per local service specification if</w:t>
            </w:r>
            <w:r w:rsidRPr="00D174BC">
              <w:rPr>
                <w:rFonts w:eastAsia="Calibri"/>
              </w:rPr>
              <w:t>:]</w:t>
            </w:r>
          </w:p>
          <w:p w14:paraId="120AD86F" w14:textId="77777777" w:rsidR="00D174BC" w:rsidRPr="00D174BC" w:rsidRDefault="00D174BC" w:rsidP="00D174BC">
            <w:pPr>
              <w:pStyle w:val="Bulletindent1"/>
              <w:numPr>
                <w:ilvl w:val="1"/>
                <w:numId w:val="15"/>
              </w:numPr>
              <w:rPr>
                <w:rFonts w:eastAsia="Calibri"/>
              </w:rPr>
            </w:pPr>
            <w:r w:rsidRPr="00D174BC">
              <w:rPr>
                <w:rFonts w:eastAsia="Calibri"/>
                <w:bCs/>
                <w:lang w:val="en-US"/>
              </w:rPr>
              <w:t xml:space="preserve">Symptoms worsen at any time </w:t>
            </w:r>
            <w:r w:rsidRPr="00D174BC">
              <w:rPr>
                <w:rFonts w:eastAsia="Calibri"/>
                <w:b/>
                <w:bCs/>
                <w:lang w:val="en-US"/>
              </w:rPr>
              <w:t>OR</w:t>
            </w:r>
            <w:r w:rsidRPr="00D174BC">
              <w:rPr>
                <w:rFonts w:eastAsia="Calibri"/>
                <w:bCs/>
                <w:lang w:val="en-US"/>
              </w:rPr>
              <w:t xml:space="preserve"> </w:t>
            </w:r>
          </w:p>
          <w:p w14:paraId="451DDFB5" w14:textId="77777777" w:rsidR="00D174BC" w:rsidRPr="00D174BC" w:rsidRDefault="00D174BC" w:rsidP="00D174BC">
            <w:pPr>
              <w:pStyle w:val="Bulletindent1"/>
              <w:numPr>
                <w:ilvl w:val="1"/>
                <w:numId w:val="15"/>
              </w:numPr>
              <w:rPr>
                <w:rFonts w:eastAsia="Calibri"/>
              </w:rPr>
            </w:pPr>
            <w:r w:rsidRPr="00D174BC">
              <w:rPr>
                <w:rFonts w:eastAsia="Calibri"/>
                <w:bCs/>
                <w:lang w:val="en-US"/>
              </w:rPr>
              <w:t xml:space="preserve">Do not improve after self-care as per </w:t>
            </w:r>
            <w:r w:rsidRPr="00D174BC">
              <w:rPr>
                <w:rFonts w:eastAsia="Calibri"/>
              </w:rPr>
              <w:t xml:space="preserve"> </w:t>
            </w:r>
            <w:hyperlink r:id="rId54" w:history="1">
              <w:r w:rsidR="006D319C" w:rsidRPr="00D174BC">
                <w:rPr>
                  <w:rStyle w:val="Hyperlink"/>
                  <w:rFonts w:eastAsia="Calibri"/>
                </w:rPr>
                <w:t>NHS insect bites and stings - self-care advice</w:t>
              </w:r>
            </w:hyperlink>
          </w:p>
          <w:p w14:paraId="516D1E8C" w14:textId="77777777" w:rsidR="00D76227" w:rsidRDefault="00D76227" w:rsidP="007F1BF9">
            <w:pPr>
              <w:pStyle w:val="Tabletext"/>
              <w:rPr>
                <w:b/>
                <w:bCs/>
              </w:rPr>
            </w:pPr>
          </w:p>
          <w:p w14:paraId="2FEA3152" w14:textId="562B2D13" w:rsidR="00A16080" w:rsidRPr="007F1BF9" w:rsidRDefault="00A16080" w:rsidP="007F1BF9">
            <w:pPr>
              <w:pStyle w:val="Tabletext"/>
              <w:rPr>
                <w:b/>
                <w:bCs/>
              </w:rPr>
            </w:pPr>
            <w:r w:rsidRPr="007F1BF9">
              <w:rPr>
                <w:b/>
                <w:bCs/>
              </w:rPr>
              <w:t xml:space="preserve">Refer urgently to a prescriber for further assessment if:  </w:t>
            </w:r>
          </w:p>
          <w:p w14:paraId="0C9F8016" w14:textId="77777777" w:rsidR="00D174BC" w:rsidRPr="00D174BC" w:rsidRDefault="00D174BC" w:rsidP="00D174BC">
            <w:pPr>
              <w:pStyle w:val="Bulletindent1"/>
            </w:pPr>
            <w:r w:rsidRPr="00D174BC">
              <w:t>Systemically unwell, but not showing signs or symptoms of sepsis</w:t>
            </w:r>
          </w:p>
          <w:p w14:paraId="5E0188D5" w14:textId="77777777" w:rsidR="00D174BC" w:rsidRPr="00D174BC" w:rsidRDefault="00D174BC" w:rsidP="00D174BC">
            <w:pPr>
              <w:pStyle w:val="Bulletindent1"/>
            </w:pPr>
            <w:r w:rsidRPr="00D174BC">
              <w:t>Individual is systemically well but with a comorbidity (for example peripheral arterial disease, chronic venous insufficiency, or morbid obesity) which may complicate or delay resolution of infection</w:t>
            </w:r>
          </w:p>
          <w:p w14:paraId="7BEB4019" w14:textId="77777777" w:rsidR="00D174BC" w:rsidRPr="00D174BC" w:rsidRDefault="00D174BC" w:rsidP="00D174BC">
            <w:pPr>
              <w:pStyle w:val="Bulletindent1"/>
            </w:pPr>
            <w:r w:rsidRPr="00D174BC">
              <w:rPr>
                <w:rFonts w:eastAsia="Arial"/>
              </w:rPr>
              <w:t>Severe pain out of proportion to the wound</w:t>
            </w:r>
          </w:p>
          <w:p w14:paraId="0B06EE6E" w14:textId="77777777" w:rsidR="00D174BC" w:rsidRPr="00D174BC" w:rsidRDefault="00D174BC" w:rsidP="00D174BC">
            <w:pPr>
              <w:pStyle w:val="Bulletindent1"/>
            </w:pPr>
            <w:r w:rsidRPr="00D174BC">
              <w:rPr>
                <w:rFonts w:eastAsia="Arial"/>
              </w:rPr>
              <w:t xml:space="preserve">Individual has significant collection of fluid or pus at site of infection </w:t>
            </w:r>
          </w:p>
          <w:p w14:paraId="23F5A271" w14:textId="77777777" w:rsidR="00D174BC" w:rsidRPr="00D174BC" w:rsidRDefault="00D174BC" w:rsidP="00D174BC">
            <w:pPr>
              <w:pStyle w:val="Bulletindent1"/>
            </w:pPr>
            <w:r w:rsidRPr="00D174BC">
              <w:t xml:space="preserve">Animal bite or scratch </w:t>
            </w:r>
          </w:p>
          <w:p w14:paraId="21659089" w14:textId="77777777" w:rsidR="00D174BC" w:rsidRPr="00D174BC" w:rsidRDefault="00D174BC" w:rsidP="00D174BC">
            <w:pPr>
              <w:pStyle w:val="Bulletindent1"/>
            </w:pPr>
            <w:r w:rsidRPr="00D174BC">
              <w:lastRenderedPageBreak/>
              <w:t>Human bite</w:t>
            </w:r>
          </w:p>
          <w:p w14:paraId="5066962F" w14:textId="478A0AF5" w:rsidR="00D174BC" w:rsidRPr="00D174BC" w:rsidRDefault="00D174BC" w:rsidP="00D174BC">
            <w:pPr>
              <w:pStyle w:val="Bulletindent1"/>
            </w:pPr>
            <w:r w:rsidRPr="00D174BC">
              <w:t xml:space="preserve">Evidence of </w:t>
            </w:r>
            <w:hyperlink r:id="rId55" w:history="1">
              <w:r w:rsidRPr="00D174BC">
                <w:rPr>
                  <w:rStyle w:val="Hyperlink"/>
                </w:rPr>
                <w:t>erythema migrans as described on the NHS website</w:t>
              </w:r>
            </w:hyperlink>
            <w:r w:rsidRPr="00D174BC">
              <w:rPr>
                <w:rStyle w:val="Hyperlink"/>
              </w:rPr>
              <w:t xml:space="preserve"> </w:t>
            </w:r>
            <w:r w:rsidRPr="00D174BC">
              <w:t>(bullseye rash, which may appear as a bruise on brown or black skin)</w:t>
            </w:r>
          </w:p>
          <w:p w14:paraId="0A9C6EAE" w14:textId="77777777" w:rsidR="00D174BC" w:rsidRPr="00D174BC" w:rsidRDefault="00D174BC" w:rsidP="00D174BC">
            <w:pPr>
              <w:pStyle w:val="Bulletindent1"/>
            </w:pPr>
            <w:r w:rsidRPr="00D174BC">
              <w:t xml:space="preserve">Bite or sting occurred while travelling outside of the UK with concern of insect borne disease e.g. malaria, tick borne encephalitis  </w:t>
            </w:r>
          </w:p>
          <w:p w14:paraId="2E4EC860" w14:textId="77777777" w:rsidR="00D174BC" w:rsidRPr="00D174BC" w:rsidRDefault="00D174BC" w:rsidP="00D174BC">
            <w:pPr>
              <w:pStyle w:val="Bulletindent1"/>
            </w:pPr>
            <w:r w:rsidRPr="00D174BC">
              <w:t>Bite or sting caused by an unusual or exotic insect</w:t>
            </w:r>
          </w:p>
          <w:p w14:paraId="1F69E970" w14:textId="77777777" w:rsidR="00D174BC" w:rsidRPr="00D174BC" w:rsidRDefault="00D174BC" w:rsidP="00D174BC">
            <w:pPr>
              <w:pStyle w:val="Bulletindent1"/>
            </w:pPr>
            <w:r w:rsidRPr="00D174BC">
              <w:t>Individuals where treatment under this PGD is not indicated/permitted but dermatological symptoms are present and require further assessment</w:t>
            </w:r>
          </w:p>
          <w:p w14:paraId="1B8E9ABF" w14:textId="77777777" w:rsidR="00D76227" w:rsidRPr="00D76227" w:rsidRDefault="00D76227" w:rsidP="00D76227">
            <w:pPr>
              <w:pStyle w:val="Bulletindent1"/>
              <w:numPr>
                <w:ilvl w:val="0"/>
                <w:numId w:val="0"/>
              </w:numPr>
              <w:ind w:left="360"/>
              <w:rPr>
                <w:rFonts w:ascii="Times New Roman" w:hAnsi="Times New Roman"/>
                <w:color w:val="000000"/>
                <w:sz w:val="27"/>
                <w:szCs w:val="27"/>
                <w:lang w:eastAsia="en-GB"/>
              </w:rPr>
            </w:pPr>
          </w:p>
          <w:p w14:paraId="504A3808" w14:textId="77777777" w:rsidR="007F1BF9" w:rsidRDefault="00A16080" w:rsidP="00A16080">
            <w:pPr>
              <w:pStyle w:val="Bulletindent1"/>
              <w:numPr>
                <w:ilvl w:val="0"/>
                <w:numId w:val="0"/>
              </w:numPr>
              <w:ind w:left="360"/>
              <w:rPr>
                <w:b/>
                <w:bCs/>
              </w:rPr>
            </w:pPr>
            <w:r w:rsidRPr="00A16080">
              <w:rPr>
                <w:b/>
                <w:bCs/>
              </w:rPr>
              <w:t>Refer urgently to A&amp;E for further assessment if:</w:t>
            </w:r>
          </w:p>
          <w:p w14:paraId="00C84EB1" w14:textId="77777777" w:rsidR="00D174BC" w:rsidRPr="00035415" w:rsidRDefault="00D174BC" w:rsidP="00D174BC">
            <w:pPr>
              <w:pStyle w:val="Bulletindent1"/>
              <w:rPr>
                <w:iCs/>
              </w:rPr>
            </w:pPr>
            <w:r w:rsidRPr="00035415">
              <w:rPr>
                <w:lang w:val="en-US"/>
              </w:rPr>
              <w:t xml:space="preserve">Any individual suspected of having a </w:t>
            </w:r>
            <w:hyperlink r:id="rId56" w:history="1">
              <w:r>
                <w:rPr>
                  <w:rStyle w:val="Hyperlink"/>
                  <w:lang w:val="en-US"/>
                </w:rPr>
                <w:t>systemic reaction as per NICE CG134 - Anaphylaxis: assessment and referral after emergency treatment</w:t>
              </w:r>
            </w:hyperlink>
            <w:r w:rsidRPr="00035415">
              <w:rPr>
                <w:lang w:val="en-US"/>
              </w:rPr>
              <w:t xml:space="preserve"> to an insect bite or sting i.e. angio-oedema or anaphylaxis</w:t>
            </w:r>
          </w:p>
          <w:p w14:paraId="1F7F8DD5" w14:textId="77777777" w:rsidR="00D174BC" w:rsidRPr="00035415" w:rsidRDefault="00D174BC" w:rsidP="00D174BC">
            <w:pPr>
              <w:pStyle w:val="Bulletindent1"/>
              <w:rPr>
                <w:iCs/>
              </w:rPr>
            </w:pPr>
            <w:r w:rsidRPr="00035415">
              <w:t xml:space="preserve">Previous </w:t>
            </w:r>
            <w:hyperlink r:id="rId57" w:history="1">
              <w:r>
                <w:rPr>
                  <w:rStyle w:val="Hyperlink"/>
                  <w:lang w:val="en-US"/>
                </w:rPr>
                <w:t>systemic allergic reaction as per NICE CG134 - Anaphylaxis: assessment and referral after emergency treatment</w:t>
              </w:r>
            </w:hyperlink>
            <w:r w:rsidRPr="00035415">
              <w:t xml:space="preserve"> (e.g. angio-oedema or anaphylaxis) to the same type of bite or sting</w:t>
            </w:r>
          </w:p>
          <w:p w14:paraId="7B70DA53" w14:textId="77777777" w:rsidR="00D174BC" w:rsidRPr="00035415" w:rsidRDefault="00D174BC" w:rsidP="00D174BC">
            <w:pPr>
              <w:pStyle w:val="Bulletindent1"/>
              <w:rPr>
                <w:iCs/>
              </w:rPr>
            </w:pPr>
            <w:r w:rsidRPr="00035415">
              <w:t>Individual is severely immunosuppressed and has signs or symptoms of infection</w:t>
            </w:r>
          </w:p>
          <w:p w14:paraId="3374A577" w14:textId="77777777" w:rsidR="00D174BC" w:rsidRPr="00035415" w:rsidRDefault="00D174BC" w:rsidP="00D174BC">
            <w:pPr>
              <w:pStyle w:val="Bulletindent1"/>
            </w:pPr>
            <w:r w:rsidRPr="00035415">
              <w:t>Has been stung on the mouth, throat or tongue and is at risk of airway obstruction</w:t>
            </w:r>
          </w:p>
          <w:p w14:paraId="1CFC997A" w14:textId="77777777" w:rsidR="00D174BC" w:rsidRPr="00035415" w:rsidRDefault="00D174BC" w:rsidP="00D174BC">
            <w:pPr>
              <w:pStyle w:val="Bulletindent1"/>
            </w:pPr>
            <w:r w:rsidRPr="00035415">
              <w:t>Has been stung around the eyes and is at risk of compromised vision</w:t>
            </w:r>
          </w:p>
          <w:p w14:paraId="12B8FD48" w14:textId="77777777" w:rsidR="00D174BC" w:rsidRDefault="00D174BC" w:rsidP="00D174BC">
            <w:pPr>
              <w:pStyle w:val="Bulletindent1"/>
            </w:pPr>
          </w:p>
          <w:p w14:paraId="1ACA62F4" w14:textId="6CDA4890" w:rsidR="00C3283F" w:rsidRPr="00A16080" w:rsidRDefault="00A16080" w:rsidP="00D76227">
            <w:pPr>
              <w:pStyle w:val="Tabletext"/>
              <w:rPr>
                <w:b/>
                <w:bCs/>
              </w:rPr>
            </w:pPr>
            <w:r w:rsidRPr="00A16080">
              <w:rPr>
                <w:b/>
                <w:bCs/>
                <w:lang w:val="en-GB"/>
              </w:rPr>
              <w:t>If sepsis or serious complications are suspected refer the individual urgently to A&amp;E</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258E85BF" w14:textId="77777777" w:rsidR="00D174BC" w:rsidRDefault="00D174BC" w:rsidP="00D174BC">
            <w:pPr>
              <w:pStyle w:val="Bulletindent1"/>
            </w:pPr>
            <w:r w:rsidRPr="00A16080">
              <w:t xml:space="preserve">Provide safety netting advice and advise individual/carer/parent/guardian of alternative treatment available using </w:t>
            </w:r>
            <w:hyperlink r:id="rId58" w:history="1">
              <w:r w:rsidRPr="00035415">
                <w:rPr>
                  <w:rStyle w:val="Hyperlink"/>
                  <w:bCs/>
                </w:rPr>
                <w:t>TARGET self-care leaflet</w:t>
              </w:r>
            </w:hyperlink>
          </w:p>
          <w:p w14:paraId="67ADB59F" w14:textId="77777777" w:rsidR="00D174BC" w:rsidRDefault="00D174BC" w:rsidP="00D174BC">
            <w:pPr>
              <w:widowControl w:val="0"/>
              <w:rPr>
                <w:rFonts w:ascii="Arial" w:hAnsi="Arial" w:cs="Arial"/>
                <w:bCs/>
                <w:sz w:val="22"/>
                <w:szCs w:val="22"/>
              </w:rPr>
            </w:pPr>
            <w:r w:rsidRPr="003763A0">
              <w:rPr>
                <w:rFonts w:ascii="Arial" w:hAnsi="Arial" w:cs="Arial"/>
                <w:bCs/>
                <w:sz w:val="22"/>
                <w:szCs w:val="22"/>
              </w:rPr>
              <w:t xml:space="preserve">Provide </w:t>
            </w:r>
            <w:r>
              <w:rPr>
                <w:rFonts w:ascii="Arial" w:hAnsi="Arial" w:cs="Arial"/>
                <w:bCs/>
                <w:sz w:val="22"/>
                <w:szCs w:val="22"/>
              </w:rPr>
              <w:t xml:space="preserve">information on insect bites and stings: </w:t>
            </w:r>
          </w:p>
          <w:p w14:paraId="1C094694" w14:textId="77777777" w:rsidR="00A16080" w:rsidRDefault="00D174BC" w:rsidP="00D174BC">
            <w:pPr>
              <w:pStyle w:val="Bulletindent1"/>
            </w:pPr>
            <w:hyperlink r:id="rId59" w:history="1">
              <w:r>
                <w:rPr>
                  <w:rStyle w:val="Hyperlink"/>
                </w:rPr>
                <w:t>NHS website - Insect bites and stings</w:t>
              </w:r>
            </w:hyperlink>
          </w:p>
          <w:p w14:paraId="36308C79" w14:textId="77777777" w:rsidR="00D174BC" w:rsidRPr="00035415" w:rsidRDefault="00D174BC" w:rsidP="00D174BC">
            <w:pPr>
              <w:pStyle w:val="Tabletext"/>
            </w:pPr>
            <w:r w:rsidRPr="00035415">
              <w:t xml:space="preserve">And, where relevant, provide the following information: </w:t>
            </w:r>
          </w:p>
          <w:p w14:paraId="7F89D5EB" w14:textId="77777777" w:rsidR="006D319C" w:rsidRPr="00035415" w:rsidRDefault="006D319C" w:rsidP="00D174BC">
            <w:pPr>
              <w:pStyle w:val="Bulletindent1"/>
            </w:pPr>
            <w:hyperlink r:id="rId60" w:history="1">
              <w:r w:rsidRPr="00035415">
                <w:rPr>
                  <w:rStyle w:val="Hyperlink"/>
                </w:rPr>
                <w:t>UKHSA Tick Awareness leaflet</w:t>
              </w:r>
            </w:hyperlink>
            <w:r w:rsidRPr="00035415" w:rsidDel="001A1969">
              <w:t xml:space="preserve"> </w:t>
            </w:r>
          </w:p>
          <w:p w14:paraId="0CAB4B03" w14:textId="65E0A203" w:rsidR="00D174BC" w:rsidRPr="00A16080" w:rsidRDefault="006D319C" w:rsidP="00D174BC">
            <w:pPr>
              <w:pStyle w:val="Bulletindent1"/>
            </w:pPr>
            <w:hyperlink r:id="rId61" w:tgtFrame="_blank" w:history="1">
              <w:r w:rsidRPr="00035415">
                <w:rPr>
                  <w:rStyle w:val="Hyperlink"/>
                </w:rPr>
                <w:t>The Anaphylaxis Campaign - Insect sting allergy – the facts.</w:t>
              </w:r>
            </w:hyperlink>
          </w:p>
        </w:tc>
      </w:tr>
      <w:tr w:rsidR="00A16080" w14:paraId="776F5521" w14:textId="77777777" w:rsidTr="00A16080">
        <w:tc>
          <w:tcPr>
            <w:tcW w:w="2542" w:type="dxa"/>
          </w:tcPr>
          <w:p w14:paraId="56C04ED7" w14:textId="3609CBCE" w:rsidR="00A16080" w:rsidRPr="00A16080" w:rsidRDefault="00A16080" w:rsidP="00A01A43">
            <w:pPr>
              <w:rPr>
                <w:rFonts w:ascii="Arial" w:hAnsi="Arial"/>
                <w:b/>
                <w:bCs/>
              </w:rPr>
            </w:pPr>
            <w:r w:rsidRPr="00A16080">
              <w:rPr>
                <w:rStyle w:val="TableHeaderColumn"/>
                <w:sz w:val="22"/>
                <w:szCs w:val="22"/>
              </w:rPr>
              <w:lastRenderedPageBreak/>
              <w:t>Arrangements for referral for</w:t>
            </w:r>
            <w:r w:rsidR="00787625">
              <w:rPr>
                <w:rStyle w:val="TableHeaderColumn"/>
                <w:sz w:val="22"/>
                <w:szCs w:val="22"/>
              </w:rPr>
              <w:t xml:space="preserve"> </w:t>
            </w:r>
            <w:r w:rsidRPr="00A16080">
              <w:rPr>
                <w:rStyle w:val="TableHeaderColumn"/>
                <w:sz w:val="22"/>
                <w:szCs w:val="22"/>
              </w:rPr>
              <w:t>medical advice</w:t>
            </w:r>
          </w:p>
        </w:tc>
        <w:tc>
          <w:tcPr>
            <w:tcW w:w="5953" w:type="dxa"/>
          </w:tcPr>
          <w:p w14:paraId="2A9D811F" w14:textId="06E64522" w:rsidR="00A16080" w:rsidRPr="00A16080" w:rsidRDefault="00B52073" w:rsidP="00A16080">
            <w:pPr>
              <w:pStyle w:val="Tabletext"/>
            </w:pPr>
            <w:r w:rsidRPr="00B52073">
              <w:rPr>
                <w:rFonts w:cs="Arial"/>
                <w:szCs w:val="22"/>
                <w:lang w:val="en-GB" w:eastAsia="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pPr w:leftFromText="180" w:rightFromText="180" w:vertAnchor="text" w:tblpY="1"/>
        <w:tblOverlap w:val="never"/>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103"/>
      </w:tblGrid>
      <w:tr w:rsidR="00165DD9" w14:paraId="2B351AEC" w14:textId="77777777" w:rsidTr="00C01DA0">
        <w:tc>
          <w:tcPr>
            <w:tcW w:w="3397" w:type="dxa"/>
          </w:tcPr>
          <w:p w14:paraId="6EB1838B" w14:textId="461B0EDD" w:rsidR="00165DD9" w:rsidRPr="00A16080" w:rsidRDefault="00165DD9" w:rsidP="00C01DA0">
            <w:pPr>
              <w:rPr>
                <w:rStyle w:val="TableHeaderColumn"/>
                <w:sz w:val="22"/>
                <w:szCs w:val="22"/>
              </w:rPr>
            </w:pPr>
            <w:r w:rsidRPr="00A16080">
              <w:rPr>
                <w:rStyle w:val="TableHeaderColumn"/>
                <w:sz w:val="22"/>
                <w:szCs w:val="22"/>
              </w:rPr>
              <w:t xml:space="preserve">Name, form and strength of </w:t>
            </w:r>
            <w:r w:rsidR="004A295D" w:rsidRPr="00A16080">
              <w:rPr>
                <w:rStyle w:val="TableHeaderColumn"/>
                <w:sz w:val="22"/>
                <w:szCs w:val="22"/>
              </w:rPr>
              <w:t>medicine</w:t>
            </w:r>
          </w:p>
        </w:tc>
        <w:tc>
          <w:tcPr>
            <w:tcW w:w="5103" w:type="dxa"/>
          </w:tcPr>
          <w:p w14:paraId="4E97DCF8" w14:textId="77777777" w:rsidR="00C01DA0" w:rsidRPr="00C01DA0" w:rsidRDefault="00C01DA0" w:rsidP="00C01DA0">
            <w:pPr>
              <w:pStyle w:val="Tabletext"/>
              <w:rPr>
                <w:lang w:val="en-GB"/>
              </w:rPr>
            </w:pPr>
            <w:r w:rsidRPr="00C01DA0">
              <w:rPr>
                <w:lang w:val="en-GB"/>
              </w:rPr>
              <w:t>Erythromycin 250mg tablets</w:t>
            </w:r>
          </w:p>
          <w:p w14:paraId="3304F0C2" w14:textId="77777777" w:rsidR="00C01DA0" w:rsidRPr="00C01DA0" w:rsidRDefault="00C01DA0" w:rsidP="00C01DA0">
            <w:pPr>
              <w:pStyle w:val="Tabletext"/>
              <w:rPr>
                <w:lang w:val="en-GB"/>
              </w:rPr>
            </w:pPr>
            <w:r w:rsidRPr="00C01DA0">
              <w:rPr>
                <w:lang w:val="en-GB"/>
              </w:rPr>
              <w:t>Erythromycin 250mg gastro-resistant tablets</w:t>
            </w:r>
          </w:p>
          <w:p w14:paraId="5F951412" w14:textId="77777777" w:rsidR="00C01DA0" w:rsidRPr="00C01DA0" w:rsidRDefault="00C01DA0" w:rsidP="00C01DA0">
            <w:pPr>
              <w:pStyle w:val="Tabletext"/>
              <w:rPr>
                <w:lang w:val="en-GB"/>
              </w:rPr>
            </w:pPr>
            <w:r w:rsidRPr="00C01DA0">
              <w:rPr>
                <w:lang w:val="en-GB"/>
              </w:rPr>
              <w:t xml:space="preserve">Erythromycin 500mg tablets </w:t>
            </w:r>
          </w:p>
          <w:p w14:paraId="752FEF52" w14:textId="77777777" w:rsidR="00C01DA0" w:rsidRPr="00C01DA0" w:rsidRDefault="00C01DA0" w:rsidP="00C01DA0">
            <w:pPr>
              <w:pStyle w:val="Tabletext"/>
              <w:rPr>
                <w:lang w:val="en-GB"/>
              </w:rPr>
            </w:pPr>
            <w:r w:rsidRPr="00C01DA0">
              <w:rPr>
                <w:lang w:val="en-GB"/>
              </w:rPr>
              <w:t xml:space="preserve">Erythromycin 125mg/5mL oral suspension (or oral solution) x 100mL </w:t>
            </w:r>
          </w:p>
          <w:p w14:paraId="4AFD1580" w14:textId="77777777" w:rsidR="00C01DA0" w:rsidRPr="00C01DA0" w:rsidRDefault="00C01DA0" w:rsidP="00C01DA0">
            <w:pPr>
              <w:pStyle w:val="Tabletext"/>
              <w:rPr>
                <w:lang w:val="en-GB"/>
              </w:rPr>
            </w:pPr>
            <w:r w:rsidRPr="00C01DA0">
              <w:rPr>
                <w:lang w:val="en-GB"/>
              </w:rPr>
              <w:t xml:space="preserve">Erythromycin 125mg/5mL sugar free oral suspension (or oral solution) x 100mL </w:t>
            </w:r>
          </w:p>
          <w:p w14:paraId="6A2E9AF3" w14:textId="77777777" w:rsidR="00C01DA0" w:rsidRPr="00C01DA0" w:rsidRDefault="00C01DA0" w:rsidP="00C01DA0">
            <w:pPr>
              <w:pStyle w:val="Tabletext"/>
              <w:rPr>
                <w:lang w:val="en-GB"/>
              </w:rPr>
            </w:pPr>
            <w:r w:rsidRPr="00C01DA0">
              <w:rPr>
                <w:lang w:val="en-GB"/>
              </w:rPr>
              <w:t>Erythromycin 250mg/5mL oral suspension (or oral solution) x 100mL</w:t>
            </w:r>
          </w:p>
          <w:p w14:paraId="2B104BB5" w14:textId="18FB591C" w:rsidR="00BA5AC3" w:rsidRPr="0012506B" w:rsidRDefault="00C01DA0" w:rsidP="00C01DA0">
            <w:pPr>
              <w:pStyle w:val="Tabletext"/>
            </w:pPr>
            <w:r w:rsidRPr="00C01DA0">
              <w:rPr>
                <w:lang w:val="en-GB"/>
              </w:rPr>
              <w:t>Erythromycin 250mg/5mL sugar free oral suspension (or oral solution) x 100mL</w:t>
            </w:r>
          </w:p>
        </w:tc>
      </w:tr>
      <w:tr w:rsidR="00165DD9" w14:paraId="6DAA0645" w14:textId="77777777" w:rsidTr="00C01DA0">
        <w:tc>
          <w:tcPr>
            <w:tcW w:w="3397" w:type="dxa"/>
          </w:tcPr>
          <w:p w14:paraId="2F56A41B" w14:textId="05091A78" w:rsidR="00165DD9" w:rsidRPr="00A16080" w:rsidRDefault="00165DD9" w:rsidP="00C01DA0">
            <w:pPr>
              <w:rPr>
                <w:rStyle w:val="TableHeaderColumn"/>
                <w:sz w:val="22"/>
                <w:szCs w:val="22"/>
              </w:rPr>
            </w:pPr>
            <w:r w:rsidRPr="00A16080">
              <w:rPr>
                <w:rStyle w:val="TableHeaderColumn"/>
                <w:sz w:val="22"/>
                <w:szCs w:val="22"/>
              </w:rPr>
              <w:t>Legal category</w:t>
            </w:r>
          </w:p>
        </w:tc>
        <w:tc>
          <w:tcPr>
            <w:tcW w:w="5103" w:type="dxa"/>
          </w:tcPr>
          <w:p w14:paraId="29E26784" w14:textId="47EC3E0A" w:rsidR="00165DD9" w:rsidRDefault="00590856" w:rsidP="00C01DA0">
            <w:pPr>
              <w:pStyle w:val="Tabletext"/>
            </w:pPr>
            <w:r>
              <w:t>POM</w:t>
            </w:r>
          </w:p>
        </w:tc>
      </w:tr>
      <w:tr w:rsidR="00165DD9" w14:paraId="44E2B1CC" w14:textId="77777777" w:rsidTr="00C01DA0">
        <w:tc>
          <w:tcPr>
            <w:tcW w:w="3397" w:type="dxa"/>
          </w:tcPr>
          <w:p w14:paraId="2EBF84AC" w14:textId="3E061F77" w:rsidR="004A295D" w:rsidRPr="00A16080" w:rsidRDefault="00165DD9" w:rsidP="00C01DA0">
            <w:pPr>
              <w:rPr>
                <w:rStyle w:val="TableHeaderColumn"/>
                <w:sz w:val="22"/>
                <w:szCs w:val="22"/>
              </w:rPr>
            </w:pPr>
            <w:r w:rsidRPr="00A16080">
              <w:rPr>
                <w:rStyle w:val="TableHeaderColumn"/>
                <w:sz w:val="22"/>
                <w:szCs w:val="22"/>
              </w:rPr>
              <w:t>Route</w:t>
            </w:r>
            <w:r w:rsidR="009604EE" w:rsidRPr="00A16080">
              <w:rPr>
                <w:rStyle w:val="TableHeaderColumn"/>
                <w:sz w:val="22"/>
                <w:szCs w:val="22"/>
              </w:rPr>
              <w:t xml:space="preserve"> or </w:t>
            </w:r>
            <w:r w:rsidRPr="00A16080">
              <w:rPr>
                <w:rStyle w:val="TableHeaderColumn"/>
                <w:sz w:val="22"/>
                <w:szCs w:val="22"/>
              </w:rPr>
              <w:t>method of administration</w:t>
            </w:r>
          </w:p>
        </w:tc>
        <w:tc>
          <w:tcPr>
            <w:tcW w:w="5103" w:type="dxa"/>
          </w:tcPr>
          <w:p w14:paraId="5DC64911" w14:textId="77777777" w:rsidR="00C01DA0" w:rsidRPr="00C01DA0" w:rsidRDefault="00C01DA0" w:rsidP="00C01DA0">
            <w:pPr>
              <w:pStyle w:val="Tabletext"/>
              <w:rPr>
                <w:iCs/>
                <w:lang w:val="en-GB"/>
              </w:rPr>
            </w:pPr>
            <w:r w:rsidRPr="00C01DA0">
              <w:rPr>
                <w:iCs/>
                <w:lang w:val="en-GB"/>
              </w:rPr>
              <w:t>Orally, with water (just before or with food).</w:t>
            </w:r>
          </w:p>
          <w:p w14:paraId="1AEE02EB" w14:textId="77777777" w:rsidR="00C01DA0" w:rsidRPr="00C01DA0" w:rsidRDefault="00C01DA0" w:rsidP="00C01DA0">
            <w:pPr>
              <w:pStyle w:val="Tabletext"/>
              <w:rPr>
                <w:iCs/>
                <w:lang w:val="en-GB"/>
              </w:rPr>
            </w:pPr>
          </w:p>
          <w:p w14:paraId="04517ADA" w14:textId="346C6908" w:rsidR="004A295D" w:rsidRPr="00A01A43" w:rsidRDefault="00C01DA0" w:rsidP="00C01DA0">
            <w:pPr>
              <w:pStyle w:val="Tabletext"/>
            </w:pPr>
            <w:r w:rsidRPr="00C01DA0">
              <w:rPr>
                <w:iCs/>
                <w:lang w:val="en-GB"/>
              </w:rPr>
              <w:t xml:space="preserve">Tablets should be swallowed whole. </w:t>
            </w:r>
            <w:r w:rsidRPr="00C01DA0">
              <w:rPr>
                <w:i/>
                <w:iCs/>
                <w:lang w:val="en-GB"/>
              </w:rPr>
              <w:t xml:space="preserve"> </w:t>
            </w:r>
          </w:p>
        </w:tc>
      </w:tr>
      <w:tr w:rsidR="003E69CD" w14:paraId="264CA183" w14:textId="77777777" w:rsidTr="00C01DA0">
        <w:tc>
          <w:tcPr>
            <w:tcW w:w="3397" w:type="dxa"/>
          </w:tcPr>
          <w:p w14:paraId="011DED45" w14:textId="0D334062" w:rsidR="003E69CD" w:rsidRPr="00A16080" w:rsidRDefault="003E69CD" w:rsidP="00C01DA0">
            <w:pPr>
              <w:rPr>
                <w:rStyle w:val="TableHeaderColumn"/>
                <w:sz w:val="22"/>
                <w:szCs w:val="22"/>
              </w:rPr>
            </w:pPr>
            <w:r w:rsidRPr="00A16080">
              <w:rPr>
                <w:rStyle w:val="TableHeaderColumn"/>
                <w:sz w:val="22"/>
                <w:szCs w:val="22"/>
              </w:rPr>
              <w:t>Off label use</w:t>
            </w:r>
          </w:p>
        </w:tc>
        <w:tc>
          <w:tcPr>
            <w:tcW w:w="5103" w:type="dxa"/>
          </w:tcPr>
          <w:p w14:paraId="0689A4D0" w14:textId="7C76FECC" w:rsidR="0012506B" w:rsidRPr="00A16080" w:rsidRDefault="00A16080" w:rsidP="00C01DA0">
            <w:pPr>
              <w:pStyle w:val="Tabletext"/>
              <w:rPr>
                <w:b/>
                <w:bCs/>
              </w:rPr>
            </w:pPr>
            <w:r w:rsidRPr="00A16080">
              <w:rPr>
                <w:b/>
                <w:bCs/>
                <w:lang w:val="en-GB"/>
              </w:rPr>
              <w:t>Temperature variations</w:t>
            </w:r>
          </w:p>
          <w:p w14:paraId="0CAECCF3" w14:textId="21B185E4" w:rsidR="00BD3700" w:rsidRPr="00BD3700" w:rsidRDefault="005F17C5" w:rsidP="00C01DA0">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00BD3700" w:rsidRPr="00BD3700">
              <w:rPr>
                <w:lang w:val="en-GB"/>
              </w:rPr>
              <w:t xml:space="preserve">the </w:t>
            </w:r>
            <w:r w:rsidR="00BD3700" w:rsidRPr="00BD3700">
              <w:t>pharmacist must ensure the medicine remains</w:t>
            </w:r>
            <w:r w:rsidR="00BD3700">
              <w:t xml:space="preserve"> </w:t>
            </w:r>
            <w:r w:rsidR="00BD3700" w:rsidRPr="00BD3700">
              <w:t>pharmaceutically stable and appropriate for use if it is to be issued.</w:t>
            </w:r>
          </w:p>
          <w:p w14:paraId="0737E772" w14:textId="28F92C45" w:rsidR="00A16080" w:rsidRDefault="00A16080" w:rsidP="00C01DA0">
            <w:pPr>
              <w:pStyle w:val="Tabletext"/>
            </w:pPr>
          </w:p>
          <w:p w14:paraId="7F039749" w14:textId="1DF521A6" w:rsidR="00A16080" w:rsidRDefault="00BD3700" w:rsidP="00C01DA0">
            <w:pPr>
              <w:pStyle w:val="Tabletext"/>
              <w:rPr>
                <w:lang w:val="en-GB"/>
              </w:rPr>
            </w:pPr>
            <w:r w:rsidRPr="00BD3700">
              <w:rPr>
                <w:lang w:val="en-GB"/>
              </w:rPr>
              <w:t>Where medicines have been assessed by a pharmacist in accordance with national or specific product recommendations/manufacturer advice as appropriate for continued use this would constitute off-label administration under this PGD.</w:t>
            </w:r>
          </w:p>
          <w:p w14:paraId="795122DC" w14:textId="77777777" w:rsidR="00BD3700" w:rsidRDefault="00BD3700" w:rsidP="00C01DA0">
            <w:pPr>
              <w:pStyle w:val="Tabletext"/>
            </w:pPr>
          </w:p>
          <w:p w14:paraId="46196D32" w14:textId="718F1A7D" w:rsidR="005F17C5" w:rsidRDefault="00A16080" w:rsidP="00C01DA0">
            <w:pPr>
              <w:pStyle w:val="Tabletext"/>
              <w:rPr>
                <w:lang w:val="en-GB"/>
              </w:rPr>
            </w:pPr>
            <w:r w:rsidRPr="00A16080">
              <w:rPr>
                <w:lang w:val="en-GB"/>
              </w:rPr>
              <w:t>The responsibility for the decision to release the affected medicines for use lies with the pharmacist.</w:t>
            </w:r>
          </w:p>
          <w:p w14:paraId="51B30F56" w14:textId="77777777" w:rsidR="00BD3700" w:rsidRDefault="00BD3700" w:rsidP="00C01DA0">
            <w:pPr>
              <w:pStyle w:val="Tabletext"/>
              <w:rPr>
                <w:lang w:val="en-GB"/>
              </w:rPr>
            </w:pPr>
          </w:p>
          <w:p w14:paraId="4D948DA3" w14:textId="77777777" w:rsidR="00BD3700" w:rsidRDefault="00BD3700" w:rsidP="00C01DA0">
            <w:pPr>
              <w:pStyle w:val="Tabletext"/>
              <w:rPr>
                <w:lang w:val="en-GB"/>
              </w:rPr>
            </w:pPr>
            <w:r w:rsidRPr="00BD3700">
              <w:rPr>
                <w:b/>
                <w:bCs/>
                <w:lang w:val="en-GB"/>
              </w:rPr>
              <w:t>Manipulating solid dosage forms</w:t>
            </w:r>
            <w:r w:rsidRPr="00BD3700">
              <w:rPr>
                <w:lang w:val="en-GB"/>
              </w:rPr>
              <w:t xml:space="preserve"> </w:t>
            </w:r>
          </w:p>
          <w:p w14:paraId="09A6EEC7" w14:textId="77777777" w:rsidR="00A01A43" w:rsidRDefault="00BD3700" w:rsidP="00C01DA0">
            <w:pPr>
              <w:pStyle w:val="Tabletext"/>
              <w:rPr>
                <w:lang w:val="en-GB"/>
              </w:rPr>
            </w:pPr>
            <w:r w:rsidRPr="00BD3700">
              <w:rPr>
                <w:lang w:val="en-GB"/>
              </w:rPr>
              <w:lastRenderedPageBreak/>
              <w:t xml:space="preserve">In the event of an individual being unable to swallow solid oral dosage formulations, and alternate liquid formulations not being readily available provide advice on how to give doses by </w:t>
            </w:r>
            <w:r w:rsidR="00A01A43" w:rsidRPr="00A01A43">
              <w:rPr>
                <w:lang w:val="en-GB"/>
              </w:rPr>
              <w:t>opening capsules. Use in this way may be outside the product licence and is thus off-label.</w:t>
            </w:r>
          </w:p>
          <w:p w14:paraId="77595F2E" w14:textId="77777777" w:rsidR="00B42567" w:rsidRDefault="00B42567" w:rsidP="00C01DA0">
            <w:pPr>
              <w:pStyle w:val="Tabletext"/>
              <w:rPr>
                <w:lang w:val="en-GB"/>
              </w:rPr>
            </w:pPr>
          </w:p>
          <w:p w14:paraId="3227143A" w14:textId="77777777" w:rsidR="00C01DA0" w:rsidRPr="00C01DA0" w:rsidRDefault="00C01DA0" w:rsidP="00C01DA0">
            <w:pPr>
              <w:pStyle w:val="Tabletext"/>
              <w:rPr>
                <w:b/>
                <w:bCs/>
                <w:lang w:val="en-GB"/>
              </w:rPr>
            </w:pPr>
            <w:r w:rsidRPr="00C01DA0">
              <w:rPr>
                <w:b/>
                <w:bCs/>
                <w:lang w:val="en-GB"/>
              </w:rPr>
              <w:t>Dispersing or crushing</w:t>
            </w:r>
          </w:p>
          <w:p w14:paraId="203FC792" w14:textId="77777777" w:rsidR="00C01DA0" w:rsidRDefault="00C01DA0" w:rsidP="00C01DA0">
            <w:pPr>
              <w:pStyle w:val="Tabletext"/>
              <w:rPr>
                <w:lang w:val="en-GB"/>
              </w:rPr>
            </w:pPr>
            <w:r w:rsidRPr="00C01DA0">
              <w:rPr>
                <w:lang w:val="en-GB"/>
              </w:rPr>
              <w:t>The film-coated tablets can be crushed and mixed with liquid or soft food. Crushing tablets </w:t>
            </w:r>
            <w:r w:rsidRPr="00C01DA0">
              <w:rPr>
                <w:b/>
                <w:bCs/>
                <w:lang w:val="en-GB"/>
              </w:rPr>
              <w:t>should not</w:t>
            </w:r>
            <w:r w:rsidRPr="00C01DA0">
              <w:rPr>
                <w:lang w:val="en-GB"/>
              </w:rPr>
              <w:t> be undertaken by anyone with, or in the vicinity of someone with a macrolide allergy. Enteric coated tablets </w:t>
            </w:r>
            <w:r w:rsidRPr="00C01DA0">
              <w:rPr>
                <w:b/>
                <w:bCs/>
                <w:lang w:val="en-GB"/>
              </w:rPr>
              <w:t>should not</w:t>
            </w:r>
            <w:r w:rsidRPr="00C01DA0">
              <w:rPr>
                <w:lang w:val="en-GB"/>
              </w:rPr>
              <w:t> be crushed and </w:t>
            </w:r>
            <w:r w:rsidRPr="00C01DA0">
              <w:rPr>
                <w:b/>
                <w:bCs/>
                <w:lang w:val="en-GB"/>
              </w:rPr>
              <w:t>will not</w:t>
            </w:r>
            <w:r w:rsidRPr="00C01DA0">
              <w:rPr>
                <w:lang w:val="en-GB"/>
              </w:rPr>
              <w:t> disperse in water.</w:t>
            </w:r>
          </w:p>
          <w:p w14:paraId="3DA0E053" w14:textId="77777777" w:rsidR="00C01DA0" w:rsidRPr="00C01DA0" w:rsidRDefault="00C01DA0" w:rsidP="00C01DA0">
            <w:pPr>
              <w:pStyle w:val="Tabletext"/>
              <w:rPr>
                <w:lang w:val="en-GB"/>
              </w:rPr>
            </w:pPr>
          </w:p>
          <w:p w14:paraId="49D7DEFD" w14:textId="77777777" w:rsidR="00C01DA0" w:rsidRPr="00C01DA0" w:rsidRDefault="00C01DA0" w:rsidP="00C01DA0">
            <w:pPr>
              <w:pStyle w:val="Tabletext"/>
              <w:rPr>
                <w:b/>
                <w:bCs/>
                <w:iCs/>
                <w:lang w:val="en-GB"/>
              </w:rPr>
            </w:pPr>
            <w:r w:rsidRPr="00C01DA0">
              <w:rPr>
                <w:b/>
                <w:bCs/>
                <w:iCs/>
                <w:lang w:val="en-GB"/>
              </w:rPr>
              <w:t>Dispersing tablets</w:t>
            </w:r>
          </w:p>
          <w:p w14:paraId="79927D87" w14:textId="77777777" w:rsidR="00C01DA0" w:rsidRPr="00C01DA0" w:rsidRDefault="00C01DA0" w:rsidP="00C01DA0">
            <w:pPr>
              <w:pStyle w:val="Tabletext"/>
              <w:rPr>
                <w:lang w:val="en-GB"/>
              </w:rPr>
            </w:pPr>
            <w:r w:rsidRPr="00C01DA0">
              <w:rPr>
                <w:lang w:val="en-GB"/>
              </w:rPr>
              <w:t>To disperse the tablet:</w:t>
            </w:r>
          </w:p>
          <w:p w14:paraId="03E69A49" w14:textId="77777777" w:rsidR="00C01DA0" w:rsidRPr="00C01DA0" w:rsidRDefault="00C01DA0" w:rsidP="00C01DA0">
            <w:pPr>
              <w:pStyle w:val="Tabletext"/>
              <w:numPr>
                <w:ilvl w:val="0"/>
                <w:numId w:val="25"/>
              </w:numPr>
              <w:rPr>
                <w:lang w:val="en-GB"/>
              </w:rPr>
            </w:pPr>
            <w:r w:rsidRPr="00C01DA0">
              <w:rPr>
                <w:lang w:val="en-GB"/>
              </w:rPr>
              <w:t>Place the tablet in the barrel of a 10mL oral syringe</w:t>
            </w:r>
          </w:p>
          <w:p w14:paraId="40B987E9" w14:textId="77777777" w:rsidR="00C01DA0" w:rsidRPr="00C01DA0" w:rsidRDefault="00C01DA0" w:rsidP="00C01DA0">
            <w:pPr>
              <w:pStyle w:val="Tabletext"/>
              <w:numPr>
                <w:ilvl w:val="0"/>
                <w:numId w:val="25"/>
              </w:numPr>
              <w:rPr>
                <w:lang w:val="en-GB"/>
              </w:rPr>
            </w:pPr>
            <w:r w:rsidRPr="00C01DA0">
              <w:rPr>
                <w:lang w:val="en-GB"/>
              </w:rPr>
              <w:t>Replace the plunger</w:t>
            </w:r>
          </w:p>
          <w:p w14:paraId="289FC1A0" w14:textId="77777777" w:rsidR="00C01DA0" w:rsidRPr="00C01DA0" w:rsidRDefault="00C01DA0" w:rsidP="00C01DA0">
            <w:pPr>
              <w:pStyle w:val="Tabletext"/>
              <w:numPr>
                <w:ilvl w:val="0"/>
                <w:numId w:val="25"/>
              </w:numPr>
              <w:rPr>
                <w:lang w:val="en-GB"/>
              </w:rPr>
            </w:pPr>
            <w:r w:rsidRPr="00C01DA0">
              <w:rPr>
                <w:lang w:val="en-GB"/>
              </w:rPr>
              <w:t>Draw up approximately 5mL of water and 2mL of air</w:t>
            </w:r>
          </w:p>
          <w:p w14:paraId="13D3D1A6" w14:textId="77777777" w:rsidR="00C01DA0" w:rsidRPr="00C01DA0" w:rsidRDefault="00C01DA0" w:rsidP="00C01DA0">
            <w:pPr>
              <w:pStyle w:val="Tabletext"/>
              <w:numPr>
                <w:ilvl w:val="0"/>
                <w:numId w:val="25"/>
              </w:numPr>
              <w:rPr>
                <w:lang w:val="en-GB"/>
              </w:rPr>
            </w:pPr>
            <w:r w:rsidRPr="00C01DA0">
              <w:rPr>
                <w:lang w:val="en-GB"/>
              </w:rPr>
              <w:t>Shake well and allow to disperse (this may take up to 10 minutes)</w:t>
            </w:r>
          </w:p>
          <w:p w14:paraId="401E7B76" w14:textId="77777777" w:rsidR="00C01DA0" w:rsidRDefault="00C01DA0" w:rsidP="00C01DA0">
            <w:pPr>
              <w:pStyle w:val="Tabletext"/>
              <w:numPr>
                <w:ilvl w:val="0"/>
                <w:numId w:val="25"/>
              </w:numPr>
              <w:rPr>
                <w:lang w:val="en-GB"/>
              </w:rPr>
            </w:pPr>
            <w:r w:rsidRPr="00C01DA0">
              <w:rPr>
                <w:lang w:val="en-GB"/>
              </w:rPr>
              <w:t>Ensure all contents of the oral syringe are given in the mouth</w:t>
            </w:r>
          </w:p>
          <w:p w14:paraId="203C60B1" w14:textId="77777777" w:rsidR="00C01DA0" w:rsidRPr="00C01DA0" w:rsidRDefault="00C01DA0" w:rsidP="00C01DA0">
            <w:pPr>
              <w:pStyle w:val="Tabletext"/>
            </w:pPr>
          </w:p>
          <w:p w14:paraId="7451680A" w14:textId="77777777" w:rsidR="00C01DA0" w:rsidRPr="00C01DA0" w:rsidRDefault="00C01DA0" w:rsidP="00C01DA0">
            <w:pPr>
              <w:pStyle w:val="Tabletext"/>
              <w:rPr>
                <w:lang w:val="en-GB"/>
              </w:rPr>
            </w:pPr>
            <w:r w:rsidRPr="00C01DA0">
              <w:rPr>
                <w:lang w:val="en-GB"/>
              </w:rPr>
              <w:t>Alternatively, the tablet may be mixed with 5 to 10mL of water in small glass or medicine cup and stirred well.</w:t>
            </w:r>
          </w:p>
          <w:p w14:paraId="4C28D242" w14:textId="77777777" w:rsidR="00A01A43" w:rsidRPr="00A01A43" w:rsidRDefault="00A01A43" w:rsidP="00C01DA0">
            <w:pPr>
              <w:pStyle w:val="Tabletext"/>
            </w:pPr>
          </w:p>
          <w:p w14:paraId="0D3C88F0" w14:textId="77777777" w:rsidR="00BD3700" w:rsidRDefault="00BD3700" w:rsidP="00C01DA0">
            <w:pPr>
              <w:pStyle w:val="Tabletext"/>
            </w:pPr>
            <w:r w:rsidRPr="00BD3700">
              <w:rPr>
                <w:b/>
                <w:bCs/>
              </w:rPr>
              <w:t>Masking the taste</w:t>
            </w:r>
            <w:r w:rsidRPr="00BD3700">
              <w:t xml:space="preserve"> </w:t>
            </w:r>
          </w:p>
          <w:p w14:paraId="418BDA9A" w14:textId="77777777" w:rsidR="00BD3700" w:rsidRDefault="00BD3700" w:rsidP="00C01DA0">
            <w:pPr>
              <w:pStyle w:val="Tabletext"/>
            </w:pPr>
            <w:r w:rsidRPr="00BD3700">
              <w:t>The crushed tablet will taste bitter so it can be helpful to use a strongly flavoured drink (e.g. blackcurrant cordial) or food (e.g. jam, apple sauce, yoghurt) that the individual likes:</w:t>
            </w:r>
          </w:p>
          <w:p w14:paraId="4BB13C53" w14:textId="77777777" w:rsidR="00BD3700" w:rsidRDefault="00BD3700" w:rsidP="00C01DA0">
            <w:pPr>
              <w:pStyle w:val="Bulletindent1"/>
            </w:pPr>
            <w:r w:rsidRPr="00BD3700">
              <w:t>Use a small amount of food or drink (e.g. a teaspoonful) so you can be sure the individual eats it all and swallows the whole dose</w:t>
            </w:r>
          </w:p>
          <w:p w14:paraId="03A51400" w14:textId="77777777" w:rsidR="00BD3700" w:rsidRDefault="00BD3700" w:rsidP="00C01DA0">
            <w:pPr>
              <w:pStyle w:val="Bulletindent1"/>
            </w:pPr>
            <w:r w:rsidRPr="00BD3700">
              <w:t>It might be helpful to use an oral syringe for liquids</w:t>
            </w:r>
          </w:p>
          <w:p w14:paraId="3F7C931D" w14:textId="1FEA8961" w:rsidR="00A16080" w:rsidRPr="005A6885" w:rsidRDefault="00BD3700" w:rsidP="00C01DA0">
            <w:pPr>
              <w:pStyle w:val="Bulletindent1"/>
            </w:pPr>
            <w:r w:rsidRPr="00BD3700">
              <w:t>After mixing the crushed tablet with food or drink, give it straight away.</w:t>
            </w:r>
          </w:p>
          <w:p w14:paraId="6A04B042" w14:textId="77777777" w:rsidR="00C01DA0" w:rsidRPr="007D4AF0" w:rsidRDefault="00C01DA0" w:rsidP="00C01DA0">
            <w:pPr>
              <w:pStyle w:val="Tabletext"/>
            </w:pPr>
            <w:r w:rsidRPr="00EF76FC">
              <w:lastRenderedPageBreak/>
              <w:t xml:space="preserve">Note: some generic products advise to give one hour before food, </w:t>
            </w:r>
            <w:r>
              <w:t xml:space="preserve">however this is not </w:t>
            </w:r>
            <w:r w:rsidRPr="00EF76FC">
              <w:t>necessary and is not practical in this situation</w:t>
            </w:r>
            <w:r w:rsidRPr="007D4AF0">
              <w:t>.</w:t>
            </w:r>
          </w:p>
          <w:p w14:paraId="0B21063C" w14:textId="77777777" w:rsidR="00A01A43" w:rsidRDefault="00A01A43" w:rsidP="00C01DA0">
            <w:pPr>
              <w:pStyle w:val="Tabletext"/>
            </w:pPr>
          </w:p>
          <w:p w14:paraId="74240E7C" w14:textId="09FA71A0" w:rsidR="003E69CD" w:rsidRPr="003B61FD" w:rsidRDefault="005F17C5" w:rsidP="00C01DA0">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C01DA0">
        <w:tc>
          <w:tcPr>
            <w:tcW w:w="3397" w:type="dxa"/>
          </w:tcPr>
          <w:p w14:paraId="47CBA637" w14:textId="26C43375" w:rsidR="00165DD9" w:rsidRPr="00A16080" w:rsidRDefault="00165DD9" w:rsidP="00C01DA0">
            <w:pPr>
              <w:rPr>
                <w:rStyle w:val="TableHeaderColumn"/>
                <w:sz w:val="22"/>
                <w:szCs w:val="22"/>
              </w:rPr>
            </w:pPr>
            <w:r w:rsidRPr="00A16080">
              <w:rPr>
                <w:rStyle w:val="TableHeaderColumn"/>
                <w:sz w:val="22"/>
                <w:szCs w:val="22"/>
              </w:rPr>
              <w:lastRenderedPageBreak/>
              <w:t>Dose and frequency</w:t>
            </w:r>
            <w:r w:rsidR="005F17C5" w:rsidRPr="00A16080">
              <w:rPr>
                <w:rStyle w:val="TableHeaderColumn"/>
                <w:sz w:val="22"/>
                <w:szCs w:val="22"/>
              </w:rPr>
              <w:t xml:space="preserve"> of administration</w:t>
            </w:r>
          </w:p>
        </w:tc>
        <w:tc>
          <w:tcPr>
            <w:tcW w:w="5103" w:type="dxa"/>
          </w:tcPr>
          <w:p w14:paraId="5CF8B3C0" w14:textId="77777777" w:rsidR="00C01DA0" w:rsidRPr="00C01DA0" w:rsidRDefault="00C01DA0" w:rsidP="00C01DA0">
            <w:pPr>
              <w:shd w:val="clear" w:color="auto" w:fill="FFFFFF"/>
              <w:spacing w:after="0" w:line="240" w:lineRule="auto"/>
              <w:rPr>
                <w:rFonts w:ascii="Arial" w:eastAsia="Times New Roman" w:hAnsi="Arial" w:cs="Arial"/>
                <w:b/>
                <w:bCs/>
                <w:color w:val="0E0E0E"/>
                <w:kern w:val="0"/>
                <w:sz w:val="22"/>
                <w:szCs w:val="22"/>
                <w:lang w:eastAsia="en-GB"/>
                <w14:ligatures w14:val="none"/>
              </w:rPr>
            </w:pPr>
            <w:r w:rsidRPr="00C01DA0">
              <w:rPr>
                <w:rFonts w:ascii="Arial" w:eastAsia="Times New Roman" w:hAnsi="Arial" w:cs="Arial"/>
                <w:b/>
                <w:bCs/>
                <w:color w:val="0E0E0E"/>
                <w:kern w:val="0"/>
                <w:sz w:val="22"/>
                <w:szCs w:val="22"/>
                <w:lang w:eastAsia="en-GB"/>
                <w14:ligatures w14:val="none"/>
              </w:rPr>
              <w:t xml:space="preserve">Young people and adults aged 16 years and over: </w:t>
            </w:r>
          </w:p>
          <w:p w14:paraId="4C14B952" w14:textId="77777777" w:rsidR="00C01DA0" w:rsidRPr="00C01DA0" w:rsidRDefault="00C01DA0" w:rsidP="00C01DA0">
            <w:pPr>
              <w:spacing w:after="0" w:line="240" w:lineRule="auto"/>
              <w:rPr>
                <w:rFonts w:ascii="Arial" w:eastAsia="Times New Roman" w:hAnsi="Arial" w:cs="Arial"/>
                <w:kern w:val="0"/>
                <w:sz w:val="22"/>
                <w:szCs w:val="22"/>
                <w:lang w:eastAsia="en-GB"/>
                <w14:ligatures w14:val="none"/>
              </w:rPr>
            </w:pPr>
            <w:r w:rsidRPr="00C01DA0">
              <w:rPr>
                <w:rFonts w:ascii="Arial" w:eastAsia="Times New Roman" w:hAnsi="Arial" w:cs="Arial"/>
                <w:kern w:val="0"/>
                <w:sz w:val="22"/>
                <w:szCs w:val="22"/>
                <w:lang w:eastAsia="en-GB"/>
                <w14:ligatures w14:val="none"/>
              </w:rPr>
              <w:t>500mg four times daily</w:t>
            </w:r>
          </w:p>
          <w:p w14:paraId="6AB47447" w14:textId="6F459F2F" w:rsidR="0012506B" w:rsidRPr="00A01A43" w:rsidRDefault="0012506B" w:rsidP="00C01DA0">
            <w:pPr>
              <w:pStyle w:val="Tabletext"/>
            </w:pPr>
          </w:p>
        </w:tc>
      </w:tr>
      <w:tr w:rsidR="00165DD9" w14:paraId="25154B5D" w14:textId="77777777" w:rsidTr="00C01DA0">
        <w:tc>
          <w:tcPr>
            <w:tcW w:w="3397" w:type="dxa"/>
          </w:tcPr>
          <w:p w14:paraId="01685DA9" w14:textId="58D20A53" w:rsidR="00165DD9" w:rsidRPr="00A16080" w:rsidRDefault="00165DD9" w:rsidP="00C01DA0">
            <w:pPr>
              <w:rPr>
                <w:rStyle w:val="TableHeaderColumn"/>
                <w:sz w:val="22"/>
                <w:szCs w:val="22"/>
              </w:rPr>
            </w:pPr>
            <w:r w:rsidRPr="00A16080">
              <w:rPr>
                <w:rStyle w:val="TableHeaderColumn"/>
                <w:sz w:val="22"/>
                <w:szCs w:val="22"/>
              </w:rPr>
              <w:t xml:space="preserve">Quantity to be </w:t>
            </w:r>
            <w:r w:rsidR="0012506B" w:rsidRPr="00A16080">
              <w:rPr>
                <w:rStyle w:val="TableHeaderColumn"/>
                <w:sz w:val="22"/>
                <w:szCs w:val="22"/>
              </w:rPr>
              <w:t>supplied</w:t>
            </w:r>
          </w:p>
        </w:tc>
        <w:tc>
          <w:tcPr>
            <w:tcW w:w="5103" w:type="dxa"/>
          </w:tcPr>
          <w:p w14:paraId="2C1C698A" w14:textId="77777777" w:rsidR="00C01DA0" w:rsidRPr="00C01DA0" w:rsidRDefault="00C01DA0" w:rsidP="00C01DA0">
            <w:pPr>
              <w:pStyle w:val="Tabletext"/>
              <w:rPr>
                <w:b/>
                <w:bCs/>
              </w:rPr>
            </w:pPr>
            <w:r w:rsidRPr="00C01DA0">
              <w:rPr>
                <w:b/>
                <w:bCs/>
              </w:rPr>
              <w:t xml:space="preserve">Young people and adults aged 16 years and over: </w:t>
            </w:r>
          </w:p>
          <w:p w14:paraId="034B871A" w14:textId="77777777" w:rsidR="00C01DA0" w:rsidRDefault="00C01DA0" w:rsidP="00C01DA0">
            <w:pPr>
              <w:pStyle w:val="Tabletext"/>
              <w:rPr>
                <w:b/>
                <w:bCs/>
                <w:iCs/>
                <w:lang w:val="en-GB"/>
              </w:rPr>
            </w:pPr>
            <w:r w:rsidRPr="00C01DA0">
              <w:rPr>
                <w:iCs/>
                <w:lang w:val="en-GB"/>
              </w:rPr>
              <w:t>Appropriately labelled pack of 20 x 500mg tablets</w:t>
            </w:r>
            <w:r w:rsidRPr="00C01DA0">
              <w:rPr>
                <w:b/>
                <w:bCs/>
                <w:iCs/>
                <w:lang w:val="en-GB"/>
              </w:rPr>
              <w:t xml:space="preserve"> OR </w:t>
            </w:r>
          </w:p>
          <w:p w14:paraId="78E1E4DA" w14:textId="77777777" w:rsidR="00C01DA0" w:rsidRDefault="00C01DA0" w:rsidP="00C01DA0">
            <w:pPr>
              <w:pStyle w:val="Tabletext"/>
              <w:rPr>
                <w:b/>
                <w:bCs/>
                <w:iCs/>
                <w:lang w:val="en-GB"/>
              </w:rPr>
            </w:pPr>
            <w:r w:rsidRPr="00C01DA0">
              <w:rPr>
                <w:iCs/>
                <w:lang w:val="en-GB"/>
              </w:rPr>
              <w:t>appropriately labelled pack of 40 x 250mg tablets</w:t>
            </w:r>
            <w:r w:rsidRPr="00C01DA0">
              <w:rPr>
                <w:b/>
                <w:bCs/>
                <w:iCs/>
                <w:lang w:val="en-GB"/>
              </w:rPr>
              <w:t xml:space="preserve"> OR </w:t>
            </w:r>
          </w:p>
          <w:p w14:paraId="0E7CAE15" w14:textId="77777777" w:rsidR="00C01DA0" w:rsidRDefault="00C01DA0" w:rsidP="00C01DA0">
            <w:pPr>
              <w:pStyle w:val="Tabletext"/>
              <w:rPr>
                <w:lang w:val="en-GB"/>
              </w:rPr>
            </w:pPr>
            <w:r w:rsidRPr="00C01DA0">
              <w:rPr>
                <w:iCs/>
                <w:lang w:val="en-GB"/>
              </w:rPr>
              <w:t xml:space="preserve">appropriately labelled pack of 2 x 100mL 250mg/5mL oral suspension </w:t>
            </w:r>
            <w:r w:rsidRPr="00C01DA0">
              <w:rPr>
                <w:lang w:val="en-GB"/>
              </w:rPr>
              <w:t>(or oral solution)</w:t>
            </w:r>
          </w:p>
          <w:p w14:paraId="079739AB" w14:textId="77777777" w:rsidR="00C01DA0" w:rsidRDefault="00C01DA0" w:rsidP="00C01DA0">
            <w:pPr>
              <w:pStyle w:val="Tabletext"/>
              <w:rPr>
                <w:b/>
                <w:bCs/>
                <w:iCs/>
                <w:lang w:val="en-GB"/>
              </w:rPr>
            </w:pPr>
            <w:r w:rsidRPr="00C01DA0">
              <w:rPr>
                <w:b/>
                <w:bCs/>
                <w:lang w:val="en-GB"/>
              </w:rPr>
              <w:t xml:space="preserve"> </w:t>
            </w:r>
            <w:r w:rsidRPr="00C01DA0">
              <w:rPr>
                <w:b/>
                <w:bCs/>
                <w:iCs/>
                <w:lang w:val="en-GB"/>
              </w:rPr>
              <w:t xml:space="preserve">OR </w:t>
            </w:r>
          </w:p>
          <w:p w14:paraId="05AF836E" w14:textId="602F09C8" w:rsidR="00A01A43" w:rsidRPr="00C01DA0" w:rsidRDefault="00C01DA0" w:rsidP="00C01DA0">
            <w:pPr>
              <w:pStyle w:val="Tabletext"/>
              <w:rPr>
                <w:lang w:val="en-GB"/>
              </w:rPr>
            </w:pPr>
            <w:r w:rsidRPr="00C01DA0">
              <w:rPr>
                <w:iCs/>
                <w:lang w:val="en-GB"/>
              </w:rPr>
              <w:t xml:space="preserve">appropriately labelled pack of 4 x 100mL X 125mg/5mL oral suspension </w:t>
            </w:r>
            <w:r w:rsidRPr="00C01DA0">
              <w:rPr>
                <w:lang w:val="en-GB"/>
              </w:rPr>
              <w:t>(or oral solution)</w:t>
            </w:r>
          </w:p>
          <w:p w14:paraId="1BDDBFD7" w14:textId="4DA41912" w:rsidR="00165DD9" w:rsidRPr="00A01A43" w:rsidRDefault="00165DD9" w:rsidP="00C01DA0">
            <w:pPr>
              <w:pStyle w:val="Tabletext"/>
            </w:pPr>
          </w:p>
        </w:tc>
      </w:tr>
      <w:tr w:rsidR="006A7AF1" w14:paraId="073231F9" w14:textId="77777777" w:rsidTr="00C01DA0">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A16080" w:rsidRDefault="005F17C5" w:rsidP="00C01DA0">
            <w:pPr>
              <w:rPr>
                <w:rStyle w:val="TableHeaderColumn"/>
                <w:sz w:val="22"/>
                <w:szCs w:val="22"/>
              </w:rPr>
            </w:pPr>
            <w:r w:rsidRPr="00A16080">
              <w:rPr>
                <w:rStyle w:val="TableHeaderColumn"/>
                <w:sz w:val="22"/>
                <w:szCs w:val="22"/>
              </w:rPr>
              <w:t>Duration of treatment</w:t>
            </w:r>
          </w:p>
        </w:tc>
        <w:tc>
          <w:tcPr>
            <w:tcW w:w="5103" w:type="dxa"/>
            <w:tcBorders>
              <w:top w:val="single" w:sz="4" w:space="0" w:color="auto"/>
              <w:left w:val="single" w:sz="4" w:space="0" w:color="auto"/>
              <w:bottom w:val="single" w:sz="4" w:space="0" w:color="auto"/>
              <w:right w:val="single" w:sz="4" w:space="0" w:color="auto"/>
            </w:tcBorders>
          </w:tcPr>
          <w:p w14:paraId="4815C592" w14:textId="0B8883E4" w:rsidR="00A16080" w:rsidRDefault="00BD3700" w:rsidP="00C01DA0">
            <w:pPr>
              <w:pStyle w:val="Tabletext"/>
              <w:rPr>
                <w:lang w:val="en-GB"/>
              </w:rPr>
            </w:pPr>
            <w:r>
              <w:rPr>
                <w:lang w:val="en-GB"/>
              </w:rPr>
              <w:t>5</w:t>
            </w:r>
            <w:r w:rsidR="00A16080" w:rsidRPr="00A16080">
              <w:rPr>
                <w:lang w:val="en-GB"/>
              </w:rPr>
              <w:t xml:space="preserve"> days </w:t>
            </w:r>
          </w:p>
          <w:p w14:paraId="34A3B3B7" w14:textId="06D8E1E7" w:rsidR="006A7AF1" w:rsidRPr="00A16080" w:rsidRDefault="00A16080" w:rsidP="00C01DA0">
            <w:pPr>
              <w:pStyle w:val="Tabletext"/>
              <w:rPr>
                <w:b/>
                <w:bCs/>
              </w:rPr>
            </w:pPr>
            <w:r w:rsidRPr="00A16080">
              <w:rPr>
                <w:b/>
                <w:bCs/>
                <w:lang w:val="en-GB"/>
              </w:rPr>
              <w:t xml:space="preserve">Treatment should be started immediately and </w:t>
            </w:r>
            <w:r w:rsidR="00BD3700">
              <w:rPr>
                <w:b/>
                <w:bCs/>
                <w:lang w:val="en-GB"/>
              </w:rPr>
              <w:t>5</w:t>
            </w:r>
            <w:r w:rsidRPr="00A16080">
              <w:rPr>
                <w:b/>
                <w:bCs/>
                <w:lang w:val="en-GB"/>
              </w:rPr>
              <w:t xml:space="preserve"> days of treatment completed</w:t>
            </w:r>
          </w:p>
        </w:tc>
      </w:tr>
      <w:tr w:rsidR="005F17C5" w14:paraId="28CB51BD" w14:textId="77777777" w:rsidTr="00C01DA0">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Pr="00A16080" w:rsidRDefault="005F17C5" w:rsidP="00C01DA0">
            <w:pPr>
              <w:rPr>
                <w:rStyle w:val="TableHeaderColumn"/>
                <w:sz w:val="22"/>
                <w:szCs w:val="22"/>
              </w:rPr>
            </w:pPr>
            <w:bookmarkStart w:id="7" w:name="Storage"/>
            <w:bookmarkEnd w:id="7"/>
            <w:r w:rsidRPr="00A16080">
              <w:rPr>
                <w:rStyle w:val="TableHeaderColumn"/>
                <w:sz w:val="22"/>
                <w:szCs w:val="22"/>
              </w:rPr>
              <w:t>Storage</w:t>
            </w:r>
          </w:p>
        </w:tc>
        <w:tc>
          <w:tcPr>
            <w:tcW w:w="5103" w:type="dxa"/>
            <w:tcBorders>
              <w:top w:val="single" w:sz="4" w:space="0" w:color="auto"/>
              <w:left w:val="single" w:sz="4" w:space="0" w:color="auto"/>
              <w:bottom w:val="single" w:sz="4" w:space="0" w:color="auto"/>
              <w:right w:val="single" w:sz="4" w:space="0" w:color="auto"/>
            </w:tcBorders>
          </w:tcPr>
          <w:p w14:paraId="63B16DBA" w14:textId="10397368" w:rsidR="005F17C5" w:rsidRPr="00C434B8" w:rsidRDefault="00A16080" w:rsidP="00C01DA0">
            <w:pPr>
              <w:pStyle w:val="Tabletext"/>
            </w:pPr>
            <w:r w:rsidRPr="00A16080">
              <w:t>Stock must be securely stored according to organisation medicines policy and in conditions in line with</w:t>
            </w:r>
            <w:r>
              <w:t xml:space="preserve"> </w:t>
            </w:r>
            <w:r w:rsidR="005F17C5" w:rsidRPr="005A6885">
              <w:t xml:space="preserve">the </w:t>
            </w:r>
            <w:hyperlink r:id="rId62" w:history="1">
              <w:r w:rsidR="0018109D" w:rsidRPr="00B42567">
                <w:rPr>
                  <w:rStyle w:val="Hyperlink"/>
                </w:rPr>
                <w:t xml:space="preserve"> </w:t>
              </w:r>
              <w:r w:rsidR="00B42567" w:rsidRPr="00B42567">
                <w:rPr>
                  <w:rStyle w:val="Hyperlink"/>
                </w:rPr>
                <w:t>product SmPC</w:t>
              </w:r>
              <w:r w:rsidR="0018109D" w:rsidRPr="00B42567">
                <w:rPr>
                  <w:rStyle w:val="Hyperlink"/>
                </w:rPr>
                <w:t xml:space="preserve"> which is available on the EMC website</w:t>
              </w:r>
            </w:hyperlink>
          </w:p>
        </w:tc>
      </w:tr>
      <w:tr w:rsidR="00700627" w14:paraId="2CD9E9DF" w14:textId="77777777" w:rsidTr="00C01DA0">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A16080" w:rsidRDefault="00700627" w:rsidP="00C01DA0">
            <w:pPr>
              <w:rPr>
                <w:rStyle w:val="TableHeaderColumn"/>
                <w:sz w:val="22"/>
                <w:szCs w:val="22"/>
              </w:rPr>
            </w:pPr>
            <w:bookmarkStart w:id="8" w:name="Interactions"/>
            <w:bookmarkEnd w:id="8"/>
            <w:r w:rsidRPr="00A16080">
              <w:rPr>
                <w:rStyle w:val="TableHeaderColumn"/>
                <w:sz w:val="22"/>
                <w:szCs w:val="22"/>
              </w:rPr>
              <w:t>Drug interactions</w:t>
            </w:r>
          </w:p>
        </w:tc>
        <w:tc>
          <w:tcPr>
            <w:tcW w:w="5103" w:type="dxa"/>
            <w:tcBorders>
              <w:top w:val="single" w:sz="4" w:space="0" w:color="auto"/>
              <w:left w:val="single" w:sz="4" w:space="0" w:color="auto"/>
              <w:bottom w:val="single" w:sz="4" w:space="0" w:color="auto"/>
              <w:right w:val="single" w:sz="4" w:space="0" w:color="auto"/>
            </w:tcBorders>
          </w:tcPr>
          <w:p w14:paraId="65EC8688" w14:textId="5E86EFFD" w:rsidR="00244F3C" w:rsidRDefault="00244F3C" w:rsidP="00C01DA0">
            <w:pPr>
              <w:pStyle w:val="Tabletext"/>
              <w:rPr>
                <w:lang w:eastAsia="en-GB"/>
              </w:rPr>
            </w:pPr>
            <w:r w:rsidRPr="00677C74">
              <w:rPr>
                <w:lang w:eastAsia="en-GB"/>
              </w:rPr>
              <w:t>Where it is known an individual is concurrently taking one of the following medicines</w:t>
            </w:r>
            <w:r>
              <w:rPr>
                <w:lang w:eastAsia="en-GB"/>
              </w:rPr>
              <w:t xml:space="preserve">, </w:t>
            </w:r>
            <w:r w:rsidR="00E74D27">
              <w:rPr>
                <w:lang w:eastAsia="en-GB"/>
              </w:rPr>
              <w:t>erythromycin</w:t>
            </w:r>
            <w:r>
              <w:rPr>
                <w:lang w:eastAsia="en-GB"/>
              </w:rPr>
              <w:t xml:space="preserve"> must not be supplied under this </w:t>
            </w:r>
            <w:r w:rsidRPr="00677C74">
              <w:rPr>
                <w:lang w:eastAsia="en-GB"/>
              </w:rPr>
              <w:t>PGD and the individual referred to a prescriber:</w:t>
            </w:r>
          </w:p>
          <w:p w14:paraId="641C9E94" w14:textId="77777777" w:rsidR="00C01DA0" w:rsidRPr="00C01DA0" w:rsidRDefault="00C01DA0" w:rsidP="00C01DA0">
            <w:pPr>
              <w:pStyle w:val="Bulletindent1"/>
              <w:rPr>
                <w:rFonts w:eastAsia="Calibri"/>
              </w:rPr>
            </w:pPr>
            <w:r w:rsidRPr="00C01DA0">
              <w:rPr>
                <w:rFonts w:eastAsia="Calibri"/>
              </w:rPr>
              <w:t>Simvastatin</w:t>
            </w:r>
          </w:p>
          <w:p w14:paraId="38FC8FEC" w14:textId="77777777" w:rsidR="00C01DA0" w:rsidRPr="00C01DA0" w:rsidRDefault="00C01DA0" w:rsidP="00C01DA0">
            <w:pPr>
              <w:pStyle w:val="Bulletindent1"/>
              <w:rPr>
                <w:rFonts w:eastAsia="Calibri"/>
              </w:rPr>
            </w:pPr>
            <w:r w:rsidRPr="00C01DA0">
              <w:rPr>
                <w:rFonts w:eastAsia="Calibri"/>
              </w:rPr>
              <w:t>Tolterodine</w:t>
            </w:r>
          </w:p>
          <w:p w14:paraId="4C2A29C0" w14:textId="77777777" w:rsidR="00C01DA0" w:rsidRPr="00C01DA0" w:rsidRDefault="00C01DA0" w:rsidP="00C01DA0">
            <w:pPr>
              <w:pStyle w:val="Bulletindent1"/>
              <w:rPr>
                <w:rFonts w:eastAsia="Calibri"/>
              </w:rPr>
            </w:pPr>
            <w:r w:rsidRPr="00C01DA0">
              <w:rPr>
                <w:rFonts w:eastAsia="Calibri"/>
              </w:rPr>
              <w:t>Amisulpride</w:t>
            </w:r>
          </w:p>
          <w:p w14:paraId="08907C80" w14:textId="77777777" w:rsidR="00C01DA0" w:rsidRPr="00C01DA0" w:rsidRDefault="00C01DA0" w:rsidP="00C01DA0">
            <w:pPr>
              <w:pStyle w:val="Bulletindent1"/>
              <w:rPr>
                <w:rFonts w:eastAsia="Calibri"/>
              </w:rPr>
            </w:pPr>
            <w:proofErr w:type="spellStart"/>
            <w:r w:rsidRPr="00C01DA0">
              <w:rPr>
                <w:rFonts w:eastAsia="Calibri"/>
              </w:rPr>
              <w:t>Astemizole</w:t>
            </w:r>
            <w:proofErr w:type="spellEnd"/>
            <w:r w:rsidRPr="00C01DA0">
              <w:rPr>
                <w:rFonts w:eastAsia="Calibri"/>
              </w:rPr>
              <w:t xml:space="preserve">, </w:t>
            </w:r>
            <w:proofErr w:type="spellStart"/>
            <w:r w:rsidRPr="00C01DA0">
              <w:rPr>
                <w:rFonts w:eastAsia="Calibri"/>
                <w:i/>
              </w:rPr>
              <w:t>cisapride</w:t>
            </w:r>
            <w:proofErr w:type="spellEnd"/>
            <w:r w:rsidRPr="00C01DA0">
              <w:rPr>
                <w:rFonts w:eastAsia="Calibri"/>
                <w:i/>
              </w:rPr>
              <w:t>*</w:t>
            </w:r>
            <w:r w:rsidRPr="00C01DA0">
              <w:rPr>
                <w:rFonts w:eastAsia="Calibri"/>
              </w:rPr>
              <w:t xml:space="preserve">, </w:t>
            </w:r>
            <w:proofErr w:type="spellStart"/>
            <w:r w:rsidRPr="00C01DA0">
              <w:rPr>
                <w:rFonts w:eastAsia="Calibri"/>
                <w:i/>
              </w:rPr>
              <w:t>mizolastine</w:t>
            </w:r>
            <w:proofErr w:type="spellEnd"/>
            <w:r w:rsidRPr="00C01DA0">
              <w:rPr>
                <w:rFonts w:eastAsia="Calibri"/>
                <w:i/>
              </w:rPr>
              <w:t xml:space="preserve">*, </w:t>
            </w:r>
            <w:r w:rsidRPr="00C01DA0">
              <w:rPr>
                <w:rFonts w:eastAsia="Calibri"/>
              </w:rPr>
              <w:t xml:space="preserve">domperidone, pimozide, </w:t>
            </w:r>
            <w:r w:rsidRPr="00C01DA0">
              <w:rPr>
                <w:rFonts w:eastAsia="Calibri"/>
                <w:i/>
              </w:rPr>
              <w:t>terfenadine*</w:t>
            </w:r>
            <w:r w:rsidRPr="00C01DA0">
              <w:rPr>
                <w:rFonts w:eastAsia="Calibri"/>
              </w:rPr>
              <w:t xml:space="preserve">. </w:t>
            </w:r>
          </w:p>
          <w:p w14:paraId="2A04F47F" w14:textId="77777777" w:rsidR="00C01DA0" w:rsidRPr="00C01DA0" w:rsidRDefault="00C01DA0" w:rsidP="00C01DA0">
            <w:pPr>
              <w:pStyle w:val="Bulletindent1"/>
              <w:rPr>
                <w:rFonts w:eastAsia="Calibri"/>
              </w:rPr>
            </w:pPr>
            <w:r w:rsidRPr="00C01DA0">
              <w:rPr>
                <w:rFonts w:eastAsia="Calibri"/>
              </w:rPr>
              <w:t>Ergotamine or dihydroergotamine</w:t>
            </w:r>
          </w:p>
          <w:p w14:paraId="1B24763E" w14:textId="77777777" w:rsidR="00C01DA0" w:rsidRPr="00C01DA0" w:rsidRDefault="00C01DA0" w:rsidP="00C01DA0">
            <w:pPr>
              <w:pStyle w:val="Bulletindent1"/>
              <w:rPr>
                <w:rFonts w:eastAsia="Calibri"/>
              </w:rPr>
            </w:pPr>
            <w:r w:rsidRPr="00C01DA0">
              <w:rPr>
                <w:rFonts w:eastAsia="Calibri"/>
              </w:rPr>
              <w:lastRenderedPageBreak/>
              <w:t>Chloroquine or hydroxychloroquine</w:t>
            </w:r>
          </w:p>
          <w:p w14:paraId="60D8F4A6" w14:textId="77777777" w:rsidR="00C01DA0" w:rsidRPr="00C01DA0" w:rsidRDefault="00C01DA0" w:rsidP="00C01DA0">
            <w:pPr>
              <w:pStyle w:val="Bulletindent1"/>
              <w:rPr>
                <w:rFonts w:eastAsia="Calibri"/>
              </w:rPr>
            </w:pPr>
            <w:r w:rsidRPr="00C01DA0">
              <w:rPr>
                <w:rFonts w:eastAsia="Calibri"/>
              </w:rPr>
              <w:t xml:space="preserve">Colchicine </w:t>
            </w:r>
          </w:p>
          <w:p w14:paraId="7E2E731F" w14:textId="77777777" w:rsidR="00C01DA0" w:rsidRPr="00C01DA0" w:rsidRDefault="00C01DA0" w:rsidP="00C01DA0">
            <w:pPr>
              <w:pStyle w:val="Bulletindent1"/>
              <w:rPr>
                <w:rFonts w:eastAsia="Calibri"/>
              </w:rPr>
            </w:pPr>
            <w:proofErr w:type="spellStart"/>
            <w:r w:rsidRPr="00C01DA0">
              <w:rPr>
                <w:rFonts w:eastAsia="Calibri"/>
              </w:rPr>
              <w:t>Lomitapide</w:t>
            </w:r>
            <w:proofErr w:type="spellEnd"/>
            <w:r w:rsidRPr="00C01DA0">
              <w:rPr>
                <w:rFonts w:eastAsia="Calibri"/>
              </w:rPr>
              <w:t xml:space="preserve"> </w:t>
            </w:r>
          </w:p>
          <w:p w14:paraId="57035EE7" w14:textId="77777777" w:rsidR="00C01DA0" w:rsidRPr="00C01DA0" w:rsidRDefault="00C01DA0" w:rsidP="00C01DA0">
            <w:pPr>
              <w:pStyle w:val="Bulletindent1"/>
              <w:rPr>
                <w:rFonts w:eastAsia="Calibri"/>
              </w:rPr>
            </w:pPr>
            <w:r w:rsidRPr="00C01DA0">
              <w:rPr>
                <w:rFonts w:eastAsia="Calibri"/>
              </w:rPr>
              <w:t xml:space="preserve">Typhoid vaccine (oral): see </w:t>
            </w:r>
            <w:hyperlink w:anchor="exclusion" w:history="1">
              <w:r w:rsidRPr="00C01DA0">
                <w:rPr>
                  <w:rFonts w:eastAsia="Calibri"/>
                  <w:color w:val="0000FF"/>
                  <w:u w:val="single"/>
                </w:rPr>
                <w:t>Criteria for exclusion</w:t>
              </w:r>
            </w:hyperlink>
          </w:p>
          <w:p w14:paraId="375C9A76" w14:textId="77777777" w:rsidR="00C01DA0" w:rsidRPr="00C01DA0" w:rsidRDefault="00C01DA0" w:rsidP="00C01DA0">
            <w:pPr>
              <w:pStyle w:val="Bulletindent1"/>
              <w:rPr>
                <w:rFonts w:ascii="Calibri" w:eastAsia="Calibri" w:hAnsi="Calibri"/>
                <w:lang w:val="en-US"/>
              </w:rPr>
            </w:pPr>
            <w:r w:rsidRPr="00C01DA0">
              <w:rPr>
                <w:rFonts w:eastAsia="Calibri"/>
              </w:rPr>
              <w:t xml:space="preserve">Medicines where concomitant use with a moderate CYP 3A4 inhibitor (i.e. erythromycin) is contraindicated (e.g. </w:t>
            </w:r>
          </w:p>
          <w:p w14:paraId="769E72D6" w14:textId="77777777" w:rsidR="00C01DA0" w:rsidRPr="00C01DA0" w:rsidRDefault="00C01DA0" w:rsidP="00C01DA0">
            <w:pPr>
              <w:pStyle w:val="Bulletindent1"/>
              <w:numPr>
                <w:ilvl w:val="1"/>
                <w:numId w:val="15"/>
              </w:numPr>
              <w:rPr>
                <w:rFonts w:eastAsia="Calibri"/>
                <w:color w:val="000000"/>
              </w:rPr>
            </w:pPr>
            <w:r w:rsidRPr="00C01DA0">
              <w:rPr>
                <w:rFonts w:eastAsia="Calibri"/>
                <w:color w:val="000000"/>
              </w:rPr>
              <w:t>Lercanidipine</w:t>
            </w:r>
          </w:p>
          <w:p w14:paraId="37A87101" w14:textId="77777777" w:rsidR="00C01DA0" w:rsidRPr="00C01DA0" w:rsidRDefault="00C01DA0" w:rsidP="00C01DA0">
            <w:pPr>
              <w:pStyle w:val="Bulletindent1"/>
              <w:numPr>
                <w:ilvl w:val="1"/>
                <w:numId w:val="15"/>
              </w:numPr>
              <w:rPr>
                <w:rFonts w:eastAsia="Calibri"/>
                <w:color w:val="000000"/>
              </w:rPr>
            </w:pPr>
            <w:r w:rsidRPr="00C01DA0">
              <w:rPr>
                <w:rFonts w:eastAsia="Calibri"/>
                <w:color w:val="000000"/>
              </w:rPr>
              <w:t xml:space="preserve">Ivabradine </w:t>
            </w:r>
          </w:p>
          <w:p w14:paraId="5404178B" w14:textId="77777777" w:rsidR="00C01DA0" w:rsidRPr="00C01DA0" w:rsidRDefault="00C01DA0" w:rsidP="00C01DA0">
            <w:pPr>
              <w:pStyle w:val="Bulletindent1"/>
              <w:numPr>
                <w:ilvl w:val="1"/>
                <w:numId w:val="15"/>
              </w:numPr>
              <w:rPr>
                <w:rFonts w:ascii="Calibri" w:eastAsia="Calibri" w:hAnsi="Calibri"/>
                <w:color w:val="000000"/>
                <w:lang w:val="en-US"/>
              </w:rPr>
            </w:pPr>
            <w:r w:rsidRPr="00C01DA0">
              <w:rPr>
                <w:rFonts w:eastAsia="Calibri"/>
                <w:color w:val="000000"/>
              </w:rPr>
              <w:t>Quetiapine</w:t>
            </w:r>
            <w:r w:rsidRPr="00C01DA0">
              <w:rPr>
                <w:iCs/>
                <w:color w:val="000000"/>
                <w:lang w:eastAsia="en-GB"/>
              </w:rPr>
              <w:t>)</w:t>
            </w:r>
          </w:p>
          <w:p w14:paraId="3C0803B7" w14:textId="77777777" w:rsidR="00C01DA0" w:rsidRPr="00C01DA0" w:rsidRDefault="00C01DA0" w:rsidP="00C01DA0">
            <w:pPr>
              <w:pStyle w:val="Bulletindent1"/>
              <w:rPr>
                <w:rFonts w:eastAsia="Calibri"/>
              </w:rPr>
            </w:pPr>
            <w:r w:rsidRPr="00C01DA0">
              <w:rPr>
                <w:rFonts w:eastAsia="Calibri"/>
              </w:rPr>
              <w:t xml:space="preserve">Any medicine known to cause QT prolongation. </w:t>
            </w:r>
            <w:r w:rsidRPr="00C01DA0">
              <w:rPr>
                <w:rFonts w:eastAsia="Calibri"/>
                <w:lang w:val="en-US"/>
              </w:rPr>
              <w:t xml:space="preserve">For further information recommended resources include: </w:t>
            </w:r>
            <w:r w:rsidRPr="00C01DA0">
              <w:rPr>
                <w:rFonts w:eastAsia="Calibri"/>
              </w:rPr>
              <w:t xml:space="preserve"> </w:t>
            </w:r>
            <w:hyperlink r:id="rId63" w:history="1">
              <w:proofErr w:type="spellStart"/>
              <w:r w:rsidRPr="00C01DA0">
                <w:rPr>
                  <w:color w:val="0000FF"/>
                  <w:u w:val="single"/>
                  <w:lang w:eastAsia="en-GB"/>
                </w:rPr>
                <w:t>CredibleMeds</w:t>
              </w:r>
              <w:proofErr w:type="spellEnd"/>
            </w:hyperlink>
            <w:r w:rsidRPr="00C01DA0">
              <w:rPr>
                <w:lang w:eastAsia="en-GB"/>
              </w:rPr>
              <w:t xml:space="preserve">; registration required, or </w:t>
            </w:r>
            <w:hyperlink r:id="rId64" w:history="1">
              <w:r w:rsidRPr="00C01DA0">
                <w:rPr>
                  <w:color w:val="0000FF"/>
                  <w:u w:val="single"/>
                  <w:lang w:eastAsia="en-GB"/>
                </w:rPr>
                <w:t>Sudden arrhythmic death syndrome (SADS) - Drugs to avoid</w:t>
              </w:r>
            </w:hyperlink>
            <w:r w:rsidRPr="00C01DA0">
              <w:rPr>
                <w:lang w:eastAsia="en-GB"/>
              </w:rPr>
              <w:t>)</w:t>
            </w:r>
          </w:p>
          <w:p w14:paraId="1A83639E" w14:textId="77777777" w:rsidR="00C01DA0" w:rsidRPr="00C01DA0" w:rsidRDefault="00C01DA0" w:rsidP="00C01DA0">
            <w:pPr>
              <w:pStyle w:val="Bulletindent1"/>
              <w:rPr>
                <w:lang w:eastAsia="en-GB"/>
              </w:rPr>
            </w:pPr>
            <w:r w:rsidRPr="00C01DA0">
              <w:rPr>
                <w:rFonts w:eastAsia="Calibri"/>
              </w:rPr>
              <w:t xml:space="preserve">Medicines that are strong inducers of cytochrome P450 (CYP) and may reduce the efficacy of erythromycin (e.g.   </w:t>
            </w:r>
          </w:p>
          <w:p w14:paraId="3D915999" w14:textId="77777777" w:rsidR="00C01DA0" w:rsidRPr="00C01DA0" w:rsidRDefault="00C01DA0" w:rsidP="00C01DA0">
            <w:pPr>
              <w:pStyle w:val="Bulletindent1"/>
              <w:numPr>
                <w:ilvl w:val="1"/>
                <w:numId w:val="15"/>
              </w:numPr>
              <w:rPr>
                <w:lang w:eastAsia="en-GB"/>
              </w:rPr>
            </w:pPr>
            <w:r w:rsidRPr="00C01DA0">
              <w:rPr>
                <w:rFonts w:eastAsia="Calibri"/>
              </w:rPr>
              <w:t>Rifampicin, rifabutin,</w:t>
            </w:r>
          </w:p>
          <w:p w14:paraId="0C271B13" w14:textId="77777777" w:rsidR="00C01DA0" w:rsidRPr="00C01DA0" w:rsidRDefault="00C01DA0" w:rsidP="00C01DA0">
            <w:pPr>
              <w:pStyle w:val="Bulletindent1"/>
              <w:numPr>
                <w:ilvl w:val="1"/>
                <w:numId w:val="15"/>
              </w:numPr>
              <w:rPr>
                <w:lang w:eastAsia="en-GB"/>
              </w:rPr>
            </w:pPr>
            <w:r w:rsidRPr="00C01DA0">
              <w:rPr>
                <w:rFonts w:eastAsia="Calibri"/>
              </w:rPr>
              <w:t xml:space="preserve">Phenytoin, carbamazepine, phenobarbital, </w:t>
            </w:r>
          </w:p>
          <w:p w14:paraId="53466F3C" w14:textId="77777777" w:rsidR="00C01DA0" w:rsidRPr="00C01DA0" w:rsidRDefault="00C01DA0" w:rsidP="00C01DA0">
            <w:pPr>
              <w:pStyle w:val="Bulletindent1"/>
              <w:numPr>
                <w:ilvl w:val="1"/>
                <w:numId w:val="15"/>
              </w:numPr>
              <w:rPr>
                <w:lang w:eastAsia="en-GB"/>
              </w:rPr>
            </w:pPr>
            <w:r w:rsidRPr="00C01DA0">
              <w:rPr>
                <w:rFonts w:eastAsia="Calibri"/>
              </w:rPr>
              <w:t xml:space="preserve">St. John’s wort. </w:t>
            </w:r>
          </w:p>
          <w:p w14:paraId="502627A3" w14:textId="77777777" w:rsidR="00C01DA0" w:rsidRPr="00C01DA0" w:rsidRDefault="00C01DA0" w:rsidP="00C01DA0">
            <w:pPr>
              <w:pStyle w:val="Bulletindent1"/>
              <w:numPr>
                <w:ilvl w:val="1"/>
                <w:numId w:val="15"/>
              </w:numPr>
              <w:rPr>
                <w:lang w:eastAsia="en-GB"/>
              </w:rPr>
            </w:pPr>
            <w:r w:rsidRPr="00C01DA0">
              <w:rPr>
                <w:rFonts w:eastAsia="Calibri"/>
                <w:lang w:val="en-US"/>
              </w:rPr>
              <w:t xml:space="preserve">For further information recommended resources include: </w:t>
            </w:r>
          </w:p>
          <w:p w14:paraId="62CB860F" w14:textId="77777777" w:rsidR="00C01DA0" w:rsidRPr="00C01DA0" w:rsidRDefault="00C01DA0" w:rsidP="00C01DA0">
            <w:pPr>
              <w:pStyle w:val="Bulletindent1"/>
              <w:numPr>
                <w:ilvl w:val="2"/>
                <w:numId w:val="15"/>
              </w:numPr>
              <w:rPr>
                <w:color w:val="0000FF"/>
                <w:u w:val="single"/>
                <w:lang w:eastAsia="en-GB"/>
              </w:rPr>
            </w:pPr>
            <w:r w:rsidRPr="00C01DA0">
              <w:rPr>
                <w:lang w:eastAsia="en-GB"/>
              </w:rPr>
              <w:fldChar w:fldCharType="begin"/>
            </w:r>
            <w:r w:rsidRPr="00C01DA0">
              <w:rPr>
                <w:lang w:eastAsia="en-GB"/>
              </w:rPr>
              <w:instrText xml:space="preserve"> HYPERLINK "https://drug-interactions.medicine.iu.edu/MainTable.aspx" </w:instrText>
            </w:r>
            <w:r w:rsidRPr="00C01DA0">
              <w:rPr>
                <w:lang w:eastAsia="en-GB"/>
              </w:rPr>
            </w:r>
            <w:r w:rsidRPr="00C01DA0">
              <w:rPr>
                <w:lang w:eastAsia="en-GB"/>
              </w:rPr>
              <w:fldChar w:fldCharType="separate"/>
            </w:r>
            <w:r w:rsidRPr="00C01DA0">
              <w:rPr>
                <w:color w:val="0000FF"/>
                <w:u w:val="single"/>
                <w:lang w:eastAsia="en-GB"/>
              </w:rPr>
              <w:t>Indiana University School of Medicine Drug Interactions Flockhart Table</w:t>
            </w:r>
            <w:r w:rsidRPr="00C01DA0">
              <w:rPr>
                <w:color w:val="0000FF"/>
                <w:u w:val="single"/>
                <w:vertAlign w:val="superscript"/>
                <w:lang w:eastAsia="en-GB"/>
              </w:rPr>
              <w:t>™</w:t>
            </w:r>
          </w:p>
          <w:p w14:paraId="34E2D23B" w14:textId="77777777" w:rsidR="00C01DA0" w:rsidRPr="00C01DA0" w:rsidRDefault="00C01DA0" w:rsidP="00C01DA0">
            <w:pPr>
              <w:pStyle w:val="Bulletindent1"/>
              <w:numPr>
                <w:ilvl w:val="2"/>
                <w:numId w:val="15"/>
              </w:numPr>
              <w:rPr>
                <w:lang w:eastAsia="en-GB"/>
              </w:rPr>
            </w:pPr>
            <w:r w:rsidRPr="00C01DA0">
              <w:rPr>
                <w:lang w:eastAsia="en-GB"/>
              </w:rPr>
              <w:fldChar w:fldCharType="end"/>
            </w:r>
            <w:hyperlink r:id="rId65" w:history="1">
              <w:r w:rsidRPr="00C01DA0">
                <w:rPr>
                  <w:color w:val="0000FF"/>
                  <w:u w:val="single"/>
                  <w:lang w:eastAsia="en-GB"/>
                </w:rPr>
                <w:t>Mayo Clinic Labs Pharmacogenomic Association Table</w:t>
              </w:r>
            </w:hyperlink>
            <w:r w:rsidRPr="00C01DA0">
              <w:rPr>
                <w:lang w:eastAsia="en-GB"/>
              </w:rPr>
              <w:t>)</w:t>
            </w:r>
          </w:p>
          <w:p w14:paraId="7CA7E0AB" w14:textId="77777777" w:rsidR="00C01DA0" w:rsidRPr="00C01DA0" w:rsidRDefault="00C01DA0" w:rsidP="00C01DA0">
            <w:pPr>
              <w:pStyle w:val="Bulletindent1"/>
              <w:rPr>
                <w:lang w:eastAsia="en-GB"/>
              </w:rPr>
            </w:pPr>
            <w:r w:rsidRPr="00C01DA0">
              <w:rPr>
                <w:rFonts w:eastAsia="Calibri"/>
              </w:rPr>
              <w:t>Any other medicine where concomitant use with erythromycin is contraindicated</w:t>
            </w:r>
          </w:p>
          <w:p w14:paraId="4F630C03" w14:textId="77777777" w:rsidR="00C01DA0" w:rsidRPr="00C01DA0" w:rsidRDefault="00C01DA0" w:rsidP="00C01DA0">
            <w:pPr>
              <w:widowControl w:val="0"/>
              <w:spacing w:after="0" w:line="240" w:lineRule="auto"/>
              <w:ind w:left="360"/>
              <w:rPr>
                <w:rFonts w:ascii="Arial" w:eastAsia="Times New Roman" w:hAnsi="Arial" w:cs="Arial"/>
                <w:i/>
                <w:kern w:val="0"/>
                <w:sz w:val="22"/>
                <w:szCs w:val="22"/>
                <w:lang w:eastAsia="en-GB"/>
                <w14:ligatures w14:val="none"/>
              </w:rPr>
            </w:pPr>
            <w:r w:rsidRPr="00C01DA0">
              <w:rPr>
                <w:rFonts w:ascii="Arial" w:eastAsia="Times New Roman" w:hAnsi="Arial" w:cs="Arial"/>
                <w:i/>
                <w:kern w:val="0"/>
                <w:sz w:val="22"/>
                <w:szCs w:val="22"/>
                <w:lang w:eastAsia="en-GB"/>
                <w14:ligatures w14:val="none"/>
              </w:rPr>
              <w:t>*May not be readily available in the UK</w:t>
            </w:r>
          </w:p>
          <w:p w14:paraId="25D0ADBA" w14:textId="77777777" w:rsidR="00C01DA0" w:rsidRDefault="00C01DA0" w:rsidP="00C01DA0">
            <w:pPr>
              <w:widowControl w:val="0"/>
              <w:spacing w:after="0" w:line="240" w:lineRule="auto"/>
              <w:ind w:left="360"/>
              <w:rPr>
                <w:rFonts w:ascii="Arial" w:eastAsia="Times New Roman" w:hAnsi="Arial" w:cs="Arial"/>
                <w:i/>
                <w:kern w:val="0"/>
                <w:sz w:val="22"/>
                <w:szCs w:val="22"/>
                <w:lang w:eastAsia="en-GB"/>
                <w14:ligatures w14:val="none"/>
              </w:rPr>
            </w:pPr>
          </w:p>
          <w:p w14:paraId="193B75B8" w14:textId="77777777" w:rsidR="00C01DA0" w:rsidRPr="00C01DA0" w:rsidRDefault="00C01DA0" w:rsidP="00C01DA0">
            <w:pPr>
              <w:pStyle w:val="Tabletext"/>
              <w:rPr>
                <w:lang w:val="en-GB" w:eastAsia="en-GB"/>
              </w:rPr>
            </w:pPr>
            <w:r w:rsidRPr="00C01DA0">
              <w:rPr>
                <w:lang w:val="en-GB" w:eastAsia="en-GB"/>
              </w:rPr>
              <w:t xml:space="preserve">Where it is known an individual is concurrently taking one of the following medicines, that are known or suspected to be affected by erythromycin, erythromycin must not be supplied </w:t>
            </w:r>
            <w:r w:rsidRPr="00C01DA0">
              <w:rPr>
                <w:lang w:val="en-GB" w:eastAsia="en-GB"/>
              </w:rPr>
              <w:lastRenderedPageBreak/>
              <w:t>under this PGD and the individual referred to a prescriber:</w:t>
            </w:r>
          </w:p>
          <w:p w14:paraId="2A098F51" w14:textId="7026236B" w:rsidR="00C01DA0" w:rsidRDefault="00C01DA0" w:rsidP="00C01DA0">
            <w:pPr>
              <w:pStyle w:val="Bulletindent1"/>
            </w:pPr>
            <w:r>
              <w:rPr>
                <w:bCs/>
                <w:color w:val="000000"/>
              </w:rPr>
              <w:t>Direct o</w:t>
            </w:r>
            <w:r w:rsidRPr="000B29C9">
              <w:rPr>
                <w:bCs/>
                <w:color w:val="000000"/>
              </w:rPr>
              <w:t>ral anticoagulants</w:t>
            </w:r>
            <w:r>
              <w:rPr>
                <w:bCs/>
                <w:color w:val="000000"/>
              </w:rPr>
              <w:t xml:space="preserve"> (DOACs)</w:t>
            </w:r>
            <w:r w:rsidRPr="000B29C9">
              <w:rPr>
                <w:color w:val="000000"/>
              </w:rPr>
              <w:t xml:space="preserve"> (e.g. apixaban, dabigatran, </w:t>
            </w:r>
            <w:proofErr w:type="spellStart"/>
            <w:r w:rsidRPr="000B29C9">
              <w:rPr>
                <w:color w:val="000000"/>
              </w:rPr>
              <w:t>edoxaban</w:t>
            </w:r>
            <w:proofErr w:type="spellEnd"/>
            <w:r w:rsidRPr="000B29C9">
              <w:rPr>
                <w:color w:val="000000"/>
              </w:rPr>
              <w:t xml:space="preserve">, rivaroxaban) </w:t>
            </w:r>
            <w:r w:rsidRPr="000B29C9">
              <w:t>(</w:t>
            </w:r>
            <w:r>
              <w:t xml:space="preserve">see: </w:t>
            </w:r>
            <w:hyperlink r:id="rId66" w:history="1">
              <w:r w:rsidR="00017E8B">
                <w:rPr>
                  <w:rStyle w:val="Hyperlink"/>
                  <w:rFonts w:cs="Arial"/>
                  <w:iCs/>
                </w:rPr>
                <w:t>MHRA/CHM advice-Erythromycin: caution required due to cardiac risks (QT interval prolongation); drug interaction with rivaroxaban</w:t>
              </w:r>
            </w:hyperlink>
            <w:r w:rsidRPr="000B29C9">
              <w:t>).</w:t>
            </w:r>
          </w:p>
          <w:p w14:paraId="4BCBCD7F" w14:textId="77777777" w:rsidR="00C01DA0" w:rsidRDefault="00C01DA0" w:rsidP="00C01DA0">
            <w:pPr>
              <w:pStyle w:val="Bulletindent1"/>
              <w:rPr>
                <w:iCs/>
              </w:rPr>
            </w:pPr>
            <w:r w:rsidRPr="000B29C9">
              <w:t xml:space="preserve">Statins </w:t>
            </w:r>
          </w:p>
          <w:p w14:paraId="64976E61" w14:textId="77777777" w:rsidR="00C01DA0" w:rsidRPr="000B29C9" w:rsidRDefault="00C01DA0" w:rsidP="00C01DA0">
            <w:pPr>
              <w:pStyle w:val="Bulletindent1"/>
              <w:rPr>
                <w:iCs/>
              </w:rPr>
            </w:pPr>
            <w:r w:rsidRPr="000B29C9">
              <w:rPr>
                <w:bCs/>
              </w:rPr>
              <w:t>Calcium channel blockers (</w:t>
            </w:r>
            <w:r w:rsidRPr="000B29C9">
              <w:t>amlodipine, diltiazem, felodipine, lercanidipine, nifedipine or verapamil</w:t>
            </w:r>
            <w:r>
              <w:t>)</w:t>
            </w:r>
          </w:p>
          <w:p w14:paraId="20727900" w14:textId="77777777" w:rsidR="00C01DA0" w:rsidRDefault="00C01DA0" w:rsidP="00C01DA0">
            <w:pPr>
              <w:pStyle w:val="Bulletindent1"/>
              <w:rPr>
                <w:iCs/>
              </w:rPr>
            </w:pPr>
            <w:r w:rsidRPr="000B29C9">
              <w:t xml:space="preserve">Digoxin </w:t>
            </w:r>
          </w:p>
          <w:p w14:paraId="6298AED8" w14:textId="77777777" w:rsidR="00C01DA0" w:rsidRPr="000B29C9" w:rsidRDefault="00C01DA0" w:rsidP="00C01DA0">
            <w:pPr>
              <w:pStyle w:val="Bulletindent1"/>
              <w:rPr>
                <w:iCs/>
              </w:rPr>
            </w:pPr>
            <w:r w:rsidRPr="000B29C9">
              <w:rPr>
                <w:bCs/>
              </w:rPr>
              <w:t>Medicines known to cause hypokalaemia</w:t>
            </w:r>
            <w:r w:rsidRPr="000B29C9">
              <w:t xml:space="preserve"> (e.g. diuretics, corticosteroids, xanthines)</w:t>
            </w:r>
            <w:r>
              <w:rPr>
                <w:iCs/>
              </w:rPr>
              <w:t xml:space="preserve">. </w:t>
            </w:r>
          </w:p>
          <w:p w14:paraId="7429B608" w14:textId="77777777" w:rsidR="00C01DA0" w:rsidRPr="00C01DA0" w:rsidRDefault="00C01DA0" w:rsidP="00017E8B">
            <w:pPr>
              <w:pStyle w:val="Bulletindent1"/>
              <w:numPr>
                <w:ilvl w:val="0"/>
                <w:numId w:val="0"/>
              </w:numPr>
              <w:ind w:left="720"/>
              <w:rPr>
                <w:lang w:eastAsia="en-GB"/>
              </w:rPr>
            </w:pPr>
          </w:p>
          <w:p w14:paraId="06B6C616" w14:textId="26F0E960" w:rsidR="00700627" w:rsidRDefault="00EF69F8" w:rsidP="00C01DA0">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r:id="rId67" w:history="1">
              <w:r w:rsidR="00A16080">
                <w:rPr>
                  <w:rStyle w:val="Hyperlink"/>
                  <w:lang w:val="en-GB"/>
                </w:rPr>
                <w:t>SmPC which is available on the EMC website</w:t>
              </w:r>
            </w:hyperlink>
            <w:r>
              <w:rPr>
                <w:rFonts w:cs="Arial"/>
                <w:color w:val="000000"/>
                <w:lang w:val="en-GB"/>
              </w:rPr>
              <w:t xml:space="preserve"> </w:t>
            </w:r>
            <w:r w:rsidR="00D54EC6" w:rsidRPr="00D54EC6">
              <w:t>or</w:t>
            </w:r>
            <w:r w:rsidR="00C434B8" w:rsidRPr="00D54EC6">
              <w:t xml:space="preserve"> </w:t>
            </w:r>
            <w:hyperlink r:id="rId68" w:history="1">
              <w:r w:rsidR="00C434B8" w:rsidRPr="00BD1D91">
                <w:rPr>
                  <w:rStyle w:val="Hyperlink"/>
                  <w:rFonts w:cs="Arial"/>
                  <w:bCs/>
                  <w:iCs/>
                </w:rPr>
                <w:t>the BNF</w:t>
              </w:r>
            </w:hyperlink>
          </w:p>
        </w:tc>
      </w:tr>
      <w:tr w:rsidR="00700627" w14:paraId="39E46197" w14:textId="77777777" w:rsidTr="00C01DA0">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A16080" w:rsidRDefault="00AE7448" w:rsidP="00C01DA0">
            <w:pPr>
              <w:rPr>
                <w:rStyle w:val="TableHeaderColumn"/>
                <w:sz w:val="22"/>
                <w:szCs w:val="22"/>
              </w:rPr>
            </w:pPr>
            <w:r w:rsidRPr="00A16080">
              <w:rPr>
                <w:rStyle w:val="TableHeaderColumn"/>
                <w:sz w:val="22"/>
                <w:szCs w:val="22"/>
              </w:rPr>
              <w:lastRenderedPageBreak/>
              <w:t>Identification and management of adverse reactions</w:t>
            </w:r>
          </w:p>
        </w:tc>
        <w:tc>
          <w:tcPr>
            <w:tcW w:w="5103" w:type="dxa"/>
            <w:tcBorders>
              <w:top w:val="single" w:sz="4" w:space="0" w:color="auto"/>
              <w:left w:val="single" w:sz="4" w:space="0" w:color="auto"/>
              <w:bottom w:val="single" w:sz="4" w:space="0" w:color="auto"/>
              <w:right w:val="single" w:sz="4" w:space="0" w:color="auto"/>
            </w:tcBorders>
          </w:tcPr>
          <w:p w14:paraId="32B73B8A" w14:textId="3815997B" w:rsidR="00D54EC6" w:rsidRDefault="00E82744" w:rsidP="00C01DA0">
            <w:pPr>
              <w:pStyle w:val="Tabletext"/>
              <w:rPr>
                <w:lang w:val="en-GB"/>
              </w:rPr>
            </w:pPr>
            <w:r w:rsidRPr="00E82744">
              <w:rPr>
                <w:lang w:val="en-GB"/>
              </w:rPr>
              <w:t xml:space="preserve">A detailed list of drug interactions is included in the </w:t>
            </w:r>
            <w:hyperlink r:id="rId69" w:history="1">
              <w:r w:rsidR="00A16080">
                <w:rPr>
                  <w:rStyle w:val="Hyperlink"/>
                  <w:lang w:val="en-GB"/>
                </w:rPr>
                <w:t>SmPC which is available on the EMC website</w:t>
              </w:r>
            </w:hyperlink>
            <w:r w:rsidRPr="00E82744">
              <w:rPr>
                <w:lang w:val="en-GB"/>
              </w:rPr>
              <w:t xml:space="preserve"> or </w:t>
            </w:r>
            <w:hyperlink r:id="rId70" w:history="1">
              <w:r w:rsidRPr="00E82744">
                <w:rPr>
                  <w:rStyle w:val="Hyperlink"/>
                  <w:bCs/>
                  <w:iCs/>
                  <w:lang w:val="en-GB"/>
                </w:rPr>
                <w:t>the BNF</w:t>
              </w:r>
            </w:hyperlink>
            <w:r w:rsidR="00A16080">
              <w:rPr>
                <w:lang w:val="en-GB"/>
              </w:rPr>
              <w:t xml:space="preserve"> </w:t>
            </w:r>
          </w:p>
          <w:p w14:paraId="01AF6D34" w14:textId="77777777" w:rsidR="00FA5956" w:rsidRDefault="00FA5956" w:rsidP="00C01DA0">
            <w:pPr>
              <w:pStyle w:val="Tabletext"/>
              <w:rPr>
                <w:szCs w:val="22"/>
              </w:rPr>
            </w:pPr>
          </w:p>
          <w:p w14:paraId="18F20B4E" w14:textId="2C1486C1" w:rsidR="00E82744" w:rsidRDefault="00A16080" w:rsidP="00C01DA0">
            <w:pPr>
              <w:pStyle w:val="Tabletext"/>
              <w:rPr>
                <w:rFonts w:eastAsia="Calibri"/>
                <w:kern w:val="2"/>
                <w14:ligatures w14:val="standardContextual"/>
              </w:rPr>
            </w:pPr>
            <w:r w:rsidRPr="00A16080">
              <w:rPr>
                <w:rFonts w:eastAsia="Calibri"/>
              </w:rPr>
              <w:t xml:space="preserve">The following side effects are listed in the product SPC/BNF as </w:t>
            </w:r>
            <w:r w:rsidR="00EA214D" w:rsidRPr="003F13C6">
              <w:rPr>
                <w:rFonts w:eastAsia="Calibri"/>
                <w:b/>
                <w:bCs/>
                <w:lang w:val="en-GB"/>
              </w:rPr>
              <w:t>very common or common</w:t>
            </w:r>
            <w:r w:rsidR="00EA214D" w:rsidRPr="00EA214D">
              <w:rPr>
                <w:rFonts w:eastAsia="Calibri"/>
                <w:lang w:val="en-GB"/>
              </w:rPr>
              <w:t xml:space="preserve"> with </w:t>
            </w:r>
            <w:r w:rsidR="00017E8B">
              <w:rPr>
                <w:rFonts w:eastAsia="Calibri"/>
                <w:lang w:val="en-GB"/>
              </w:rPr>
              <w:t xml:space="preserve">erythromycin </w:t>
            </w:r>
            <w:r w:rsidR="00EA214D" w:rsidRPr="00EA214D">
              <w:rPr>
                <w:rFonts w:eastAsia="Calibri"/>
                <w:lang w:val="en-GB"/>
              </w:rPr>
              <w:t xml:space="preserve"> (but may not reflect all reported side effects)</w:t>
            </w:r>
            <w:r w:rsidR="00EA214D">
              <w:rPr>
                <w:rFonts w:eastAsia="Calibri"/>
                <w:lang w:val="en-GB"/>
              </w:rPr>
              <w:t>:</w:t>
            </w:r>
          </w:p>
          <w:p w14:paraId="2068A04C" w14:textId="77777777" w:rsidR="00017E8B" w:rsidRPr="00017E8B" w:rsidRDefault="00017E8B" w:rsidP="00017E8B">
            <w:pPr>
              <w:pStyle w:val="Bulletindent1"/>
              <w:rPr>
                <w:lang w:val="en-US"/>
              </w:rPr>
            </w:pPr>
            <w:r w:rsidRPr="00017E8B">
              <w:rPr>
                <w:lang w:val="en-US"/>
              </w:rPr>
              <w:t>Gastrointestinal discomfort; including diarrhoea, nausea and vomiting, pancreatitis</w:t>
            </w:r>
          </w:p>
          <w:p w14:paraId="68DA404D" w14:textId="77777777" w:rsidR="00017E8B" w:rsidRPr="00017E8B" w:rsidRDefault="00017E8B" w:rsidP="00017E8B">
            <w:pPr>
              <w:pStyle w:val="Bulletindent1"/>
              <w:rPr>
                <w:lang w:val="en-US"/>
              </w:rPr>
            </w:pPr>
            <w:r w:rsidRPr="00017E8B">
              <w:rPr>
                <w:lang w:val="en-US"/>
              </w:rPr>
              <w:t>Decreased appetite</w:t>
            </w:r>
          </w:p>
          <w:p w14:paraId="17E1A8C2" w14:textId="77777777" w:rsidR="00017E8B" w:rsidRPr="00017E8B" w:rsidRDefault="00017E8B" w:rsidP="00017E8B">
            <w:pPr>
              <w:pStyle w:val="Bulletindent1"/>
              <w:rPr>
                <w:lang w:val="en-US"/>
              </w:rPr>
            </w:pPr>
            <w:r w:rsidRPr="00017E8B">
              <w:rPr>
                <w:lang w:val="en-US"/>
              </w:rPr>
              <w:t>Dizziness</w:t>
            </w:r>
          </w:p>
          <w:p w14:paraId="4713EBB3" w14:textId="77777777" w:rsidR="00017E8B" w:rsidRPr="00017E8B" w:rsidRDefault="00017E8B" w:rsidP="00017E8B">
            <w:pPr>
              <w:pStyle w:val="Bulletindent1"/>
              <w:rPr>
                <w:lang w:val="en-US"/>
              </w:rPr>
            </w:pPr>
            <w:r w:rsidRPr="00017E8B">
              <w:rPr>
                <w:lang w:val="en-US"/>
              </w:rPr>
              <w:t>Headache</w:t>
            </w:r>
          </w:p>
          <w:p w14:paraId="624607F8" w14:textId="77777777" w:rsidR="00017E8B" w:rsidRPr="00017E8B" w:rsidRDefault="00017E8B" w:rsidP="00017E8B">
            <w:pPr>
              <w:pStyle w:val="Bulletindent1"/>
              <w:rPr>
                <w:lang w:val="en-US"/>
              </w:rPr>
            </w:pPr>
            <w:r w:rsidRPr="00017E8B">
              <w:rPr>
                <w:lang w:val="en-US"/>
              </w:rPr>
              <w:t>Hearing impairment</w:t>
            </w:r>
          </w:p>
          <w:p w14:paraId="33AC9C0C" w14:textId="77777777" w:rsidR="00017E8B" w:rsidRPr="00017E8B" w:rsidRDefault="00017E8B" w:rsidP="00017E8B">
            <w:pPr>
              <w:pStyle w:val="Bulletindent1"/>
              <w:rPr>
                <w:lang w:val="en-US"/>
              </w:rPr>
            </w:pPr>
            <w:r w:rsidRPr="00017E8B">
              <w:rPr>
                <w:lang w:val="en-US"/>
              </w:rPr>
              <w:t>Insomnia</w:t>
            </w:r>
          </w:p>
          <w:p w14:paraId="7FEB41DC" w14:textId="77777777" w:rsidR="00017E8B" w:rsidRPr="00017E8B" w:rsidRDefault="00017E8B" w:rsidP="00017E8B">
            <w:pPr>
              <w:pStyle w:val="Bulletindent1"/>
              <w:rPr>
                <w:lang w:val="en-US"/>
              </w:rPr>
            </w:pPr>
            <w:r w:rsidRPr="00017E8B">
              <w:rPr>
                <w:lang w:val="en-US"/>
              </w:rPr>
              <w:t>Skin rashes/reactions, paresthesia</w:t>
            </w:r>
          </w:p>
          <w:p w14:paraId="7F4A9C64" w14:textId="77777777" w:rsidR="00017E8B" w:rsidRPr="00017E8B" w:rsidRDefault="00017E8B" w:rsidP="00017E8B">
            <w:pPr>
              <w:pStyle w:val="Bulletindent1"/>
              <w:rPr>
                <w:lang w:val="en-US"/>
              </w:rPr>
            </w:pPr>
            <w:r w:rsidRPr="00017E8B">
              <w:rPr>
                <w:lang w:val="en-US"/>
              </w:rPr>
              <w:t>Taste altered</w:t>
            </w:r>
          </w:p>
          <w:p w14:paraId="6C5E91C0" w14:textId="77777777" w:rsidR="00017E8B" w:rsidRPr="00017E8B" w:rsidRDefault="00017E8B" w:rsidP="00017E8B">
            <w:pPr>
              <w:pStyle w:val="Bulletindent1"/>
              <w:rPr>
                <w:lang w:val="en-US"/>
              </w:rPr>
            </w:pPr>
            <w:r w:rsidRPr="00017E8B">
              <w:rPr>
                <w:lang w:val="en-US"/>
              </w:rPr>
              <w:t>Vasodilation</w:t>
            </w:r>
          </w:p>
          <w:p w14:paraId="66EEF912" w14:textId="030A6279" w:rsidR="003F13C6" w:rsidRDefault="00017E8B" w:rsidP="00017E8B">
            <w:pPr>
              <w:pStyle w:val="Bulletindent1"/>
              <w:rPr>
                <w:lang w:eastAsia="en-GB"/>
              </w:rPr>
            </w:pPr>
            <w:r w:rsidRPr="00017E8B">
              <w:t>Vision disorders</w:t>
            </w:r>
          </w:p>
          <w:p w14:paraId="637719F0" w14:textId="107155A3" w:rsidR="00A16080" w:rsidRDefault="00A16080" w:rsidP="00C01DA0">
            <w:pPr>
              <w:pStyle w:val="Tabletext"/>
              <w:rPr>
                <w:lang w:eastAsia="en-GB"/>
              </w:rPr>
            </w:pPr>
            <w:r w:rsidRPr="00A16080">
              <w:rPr>
                <w:lang w:eastAsia="en-GB"/>
              </w:rPr>
              <w:lastRenderedPageBreak/>
              <w:t xml:space="preserve">Severe adverse reactions are rare, but </w:t>
            </w:r>
            <w:hyperlink r:id="rId71"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3F13C6" w:rsidRPr="00A16080" w:rsidRDefault="003F13C6" w:rsidP="00C01DA0">
            <w:pPr>
              <w:pStyle w:val="Tabletext"/>
              <w:rPr>
                <w:lang w:eastAsia="en-GB"/>
              </w:rPr>
            </w:pPr>
          </w:p>
          <w:p w14:paraId="59A213F4" w14:textId="34B9BB1D" w:rsidR="00A16080" w:rsidRDefault="003F13C6" w:rsidP="00C01DA0">
            <w:pPr>
              <w:pStyle w:val="Tabletext"/>
            </w:pPr>
            <w:r w:rsidRPr="003F13C6">
              <w:rPr>
                <w:lang w:val="en-GB" w:eastAsia="en-GB"/>
              </w:rPr>
              <w:t>In the event of a severe adverse reaction, the individual must be advised to stop treatment immediately and seek urgent medical advice.</w:t>
            </w:r>
          </w:p>
        </w:tc>
      </w:tr>
      <w:tr w:rsidR="00700627" w14:paraId="08C3469A" w14:textId="77777777" w:rsidTr="00C01DA0">
        <w:tc>
          <w:tcPr>
            <w:tcW w:w="3397" w:type="dxa"/>
          </w:tcPr>
          <w:p w14:paraId="0980B18E" w14:textId="77777777" w:rsidR="00700627" w:rsidRPr="00A16080" w:rsidRDefault="00AE7448" w:rsidP="00C01DA0">
            <w:pPr>
              <w:rPr>
                <w:rStyle w:val="TableHeaderColumn"/>
                <w:sz w:val="22"/>
                <w:szCs w:val="22"/>
              </w:rPr>
            </w:pPr>
            <w:r w:rsidRPr="00A16080">
              <w:rPr>
                <w:rStyle w:val="TableHeaderColumn"/>
                <w:sz w:val="22"/>
                <w:szCs w:val="22"/>
              </w:rPr>
              <w:lastRenderedPageBreak/>
              <w:t>Management of and reporting procedures for adverse reactions</w:t>
            </w:r>
          </w:p>
        </w:tc>
        <w:tc>
          <w:tcPr>
            <w:tcW w:w="5103" w:type="dxa"/>
          </w:tcPr>
          <w:p w14:paraId="536C00C7" w14:textId="079213F4" w:rsidR="00AB0146" w:rsidRPr="008D2560" w:rsidRDefault="00AB0146" w:rsidP="00C01DA0">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72"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C01DA0">
            <w:pPr>
              <w:pStyle w:val="Bulletindent1"/>
            </w:pPr>
            <w:r w:rsidRPr="008D2560">
              <w:t xml:space="preserve">Record all adverse drug reactions (ADRs) in the </w:t>
            </w:r>
            <w:r>
              <w:t>individual’s clinical record.</w:t>
            </w:r>
          </w:p>
          <w:p w14:paraId="551A173F" w14:textId="77777777" w:rsidR="00700627" w:rsidRDefault="00AB0146" w:rsidP="00C01DA0">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A16080" w:rsidRPr="00504FB7" w:rsidRDefault="00A16080" w:rsidP="00C01DA0">
            <w:pPr>
              <w:pStyle w:val="Bulletindent1"/>
            </w:pPr>
            <w:r w:rsidRPr="00A16080">
              <w:t>It is considered good practice to notify the individual’s GP in the event of an adverse reaction.</w:t>
            </w:r>
          </w:p>
        </w:tc>
      </w:tr>
      <w:tr w:rsidR="00700627" w14:paraId="2D254ACF" w14:textId="77777777" w:rsidTr="00C01DA0">
        <w:tc>
          <w:tcPr>
            <w:tcW w:w="3397" w:type="dxa"/>
          </w:tcPr>
          <w:p w14:paraId="4807EA10" w14:textId="54225075" w:rsidR="00700627" w:rsidRPr="00A16080" w:rsidRDefault="008B3958" w:rsidP="00C01DA0">
            <w:pPr>
              <w:rPr>
                <w:rStyle w:val="TableHeaderColumn"/>
                <w:sz w:val="22"/>
                <w:szCs w:val="22"/>
              </w:rPr>
            </w:pPr>
            <w:r w:rsidRPr="00A16080">
              <w:rPr>
                <w:rStyle w:val="TableHeaderColumn"/>
                <w:sz w:val="22"/>
                <w:szCs w:val="22"/>
              </w:rPr>
              <w:t>Written information</w:t>
            </w:r>
            <w:r w:rsidR="006245F7" w:rsidRPr="00A16080">
              <w:rPr>
                <w:rStyle w:val="TableHeaderColumn"/>
                <w:sz w:val="22"/>
                <w:szCs w:val="22"/>
              </w:rPr>
              <w:t xml:space="preserve"> to</w:t>
            </w:r>
            <w:r w:rsidRPr="00A16080">
              <w:rPr>
                <w:rStyle w:val="TableHeaderColumn"/>
                <w:sz w:val="22"/>
                <w:szCs w:val="22"/>
              </w:rPr>
              <w:t xml:space="preserve"> be given to individual </w:t>
            </w:r>
            <w:r w:rsidR="00A16080">
              <w:rPr>
                <w:rStyle w:val="TableHeaderColumn"/>
                <w:sz w:val="22"/>
                <w:szCs w:val="22"/>
              </w:rPr>
              <w:t>/</w:t>
            </w:r>
            <w:r w:rsidRPr="00A16080">
              <w:rPr>
                <w:rStyle w:val="TableHeaderColumn"/>
                <w:sz w:val="22"/>
                <w:szCs w:val="22"/>
              </w:rPr>
              <w:t xml:space="preserve"> carer</w:t>
            </w:r>
            <w:r w:rsidR="00A16080">
              <w:rPr>
                <w:rStyle w:val="TableHeaderColumn"/>
                <w:sz w:val="22"/>
                <w:szCs w:val="22"/>
              </w:rPr>
              <w:t xml:space="preserve"> /parent or guardian</w:t>
            </w:r>
          </w:p>
        </w:tc>
        <w:tc>
          <w:tcPr>
            <w:tcW w:w="5103" w:type="dxa"/>
          </w:tcPr>
          <w:p w14:paraId="5AB3AD3C" w14:textId="77777777" w:rsidR="00A16080" w:rsidRDefault="00A16080" w:rsidP="00C01DA0">
            <w:pPr>
              <w:pStyle w:val="Bulletindent1"/>
            </w:pPr>
            <w:r w:rsidRPr="00A16080">
              <w:t>Provide marketing authorisation holder's patient information leaflet (PIL) provided with the product.</w:t>
            </w:r>
          </w:p>
          <w:p w14:paraId="02D7B68A" w14:textId="77777777" w:rsidR="00E1078D" w:rsidRDefault="00E1078D" w:rsidP="00C01DA0">
            <w:pPr>
              <w:pStyle w:val="Bulletindent1"/>
            </w:pPr>
            <w:r w:rsidRPr="00935592">
              <w:t>Provide safety netting advice and advise</w:t>
            </w:r>
            <w:r>
              <w:t xml:space="preserve"> individual/</w:t>
            </w:r>
            <w:r w:rsidRPr="00935592">
              <w:t>carer</w:t>
            </w:r>
            <w:r>
              <w:t>/parent/guardian</w:t>
            </w:r>
            <w:r w:rsidRPr="00935592">
              <w:t xml:space="preserve"> o</w:t>
            </w:r>
            <w:r>
              <w:t>f</w:t>
            </w:r>
            <w:r w:rsidRPr="00935592">
              <w:t xml:space="preserve"> alternative treatment available using </w:t>
            </w:r>
            <w:hyperlink r:id="rId73" w:history="1">
              <w:r w:rsidRPr="00A75BAB">
                <w:rPr>
                  <w:rStyle w:val="Hyperlink"/>
                  <w:rFonts w:cs="Arial"/>
                  <w:bCs/>
                </w:rPr>
                <w:t>TARGET self-care leaflet</w:t>
              </w:r>
            </w:hyperlink>
            <w:r>
              <w:rPr>
                <w:bCs/>
              </w:rPr>
              <w:t>.</w:t>
            </w:r>
          </w:p>
          <w:p w14:paraId="28827EF0" w14:textId="77777777" w:rsidR="00E1078D" w:rsidRPr="006767D3" w:rsidRDefault="00E1078D" w:rsidP="00C01DA0">
            <w:pPr>
              <w:pStyle w:val="Bulletindent1"/>
            </w:pPr>
            <w:r>
              <w:t xml:space="preserve">Utilise </w:t>
            </w:r>
            <w:hyperlink r:id="rId74" w:history="1">
              <w:r w:rsidRPr="00936DA7">
                <w:rPr>
                  <w:rStyle w:val="Hyperlink"/>
                  <w:rFonts w:cs="Arial"/>
                  <w:iCs/>
                </w:rPr>
                <w:t>TARGET antibiotic checklist</w:t>
              </w:r>
            </w:hyperlink>
            <w:r>
              <w:t xml:space="preserve"> for counselling individuals/carers/parents/guardians. </w:t>
            </w:r>
          </w:p>
          <w:p w14:paraId="72AB3536" w14:textId="55C3B214" w:rsidR="00700627" w:rsidRDefault="00E1078D" w:rsidP="00C01DA0">
            <w:pPr>
              <w:pStyle w:val="Bulletindent1"/>
            </w:pPr>
            <w:r>
              <w:t>G</w:t>
            </w:r>
            <w:r w:rsidRPr="00A16080">
              <w:t>ive any additional information in accordance with the local service specification.</w:t>
            </w:r>
          </w:p>
        </w:tc>
      </w:tr>
      <w:tr w:rsidR="00700627" w14:paraId="09A371CA" w14:textId="77777777" w:rsidTr="00C01DA0">
        <w:tc>
          <w:tcPr>
            <w:tcW w:w="3397" w:type="dxa"/>
          </w:tcPr>
          <w:p w14:paraId="5EE185C4" w14:textId="15A81625" w:rsidR="00A16080" w:rsidRPr="00A16080" w:rsidRDefault="00A16080" w:rsidP="00C01DA0">
            <w:pPr>
              <w:rPr>
                <w:rStyle w:val="TableHeaderColumn"/>
                <w:kern w:val="0"/>
                <w:sz w:val="22"/>
              </w:rPr>
            </w:pPr>
            <w:r w:rsidRPr="00A16080">
              <w:rPr>
                <w:rStyle w:val="TableHeaderColumn"/>
                <w:kern w:val="0"/>
                <w:sz w:val="22"/>
              </w:rPr>
              <w:t>Individual advice / follow up</w:t>
            </w:r>
            <w:r w:rsidR="00B47A35">
              <w:rPr>
                <w:rStyle w:val="TableHeaderColumn"/>
                <w:kern w:val="0"/>
                <w:sz w:val="22"/>
              </w:rPr>
              <w:t xml:space="preserve"> </w:t>
            </w:r>
            <w:r w:rsidRPr="00A16080">
              <w:rPr>
                <w:rStyle w:val="TableHeaderColumn"/>
                <w:kern w:val="0"/>
                <w:sz w:val="22"/>
              </w:rPr>
              <w:t>treatment</w:t>
            </w:r>
          </w:p>
          <w:p w14:paraId="0AB3BA26" w14:textId="3A829C92" w:rsidR="00700627" w:rsidRPr="00A16080" w:rsidRDefault="00700627" w:rsidP="00C01DA0">
            <w:pPr>
              <w:rPr>
                <w:rStyle w:val="TableHeaderColumn"/>
                <w:sz w:val="22"/>
                <w:szCs w:val="22"/>
              </w:rPr>
            </w:pPr>
          </w:p>
        </w:tc>
        <w:tc>
          <w:tcPr>
            <w:tcW w:w="5103" w:type="dxa"/>
          </w:tcPr>
          <w:p w14:paraId="09A8481C" w14:textId="77777777" w:rsidR="00A16080" w:rsidRDefault="00A16080" w:rsidP="00C01DA0">
            <w:pPr>
              <w:pStyle w:val="Bulletindent1"/>
            </w:pPr>
            <w:r w:rsidRPr="00A16080">
              <w:t>Explain the dose, frequency and method of administration.</w:t>
            </w:r>
          </w:p>
          <w:p w14:paraId="1C4A05D2" w14:textId="77777777" w:rsidR="00A16080" w:rsidRDefault="00A16080" w:rsidP="00C01DA0">
            <w:pPr>
              <w:pStyle w:val="Bulletindent1"/>
            </w:pPr>
            <w:r w:rsidRPr="00A16080">
              <w:t>The individual/carer/parent/guardian should be advised to read the PIL.</w:t>
            </w:r>
          </w:p>
          <w:p w14:paraId="1F935B62" w14:textId="59387CD0" w:rsidR="00D37A41" w:rsidRPr="00244F3C" w:rsidRDefault="00D37A41" w:rsidP="00C01DA0">
            <w:pPr>
              <w:pStyle w:val="Bulletindent1"/>
              <w:rPr>
                <w:rFonts w:eastAsia="Calibri"/>
              </w:rPr>
            </w:pPr>
            <w:r w:rsidRPr="00D37A41">
              <w:rPr>
                <w:rFonts w:eastAsia="Calibri"/>
                <w:lang w:val="en-US"/>
              </w:rPr>
              <w:t xml:space="preserve">Store reconstituted oral suspension (or oral solution) in accordance with the conditions as outlined in the individual product </w:t>
            </w:r>
            <w:hyperlink r:id="rId75" w:history="1">
              <w:r>
                <w:rPr>
                  <w:rFonts w:eastAsia="Calibri"/>
                  <w:color w:val="0000FF"/>
                  <w:u w:val="single"/>
                  <w:lang w:val="en-US"/>
                </w:rPr>
                <w:t xml:space="preserve">SPC which can be accessed on </w:t>
              </w:r>
              <w:r>
                <w:rPr>
                  <w:rFonts w:eastAsia="Calibri"/>
                  <w:color w:val="0000FF"/>
                  <w:u w:val="single"/>
                  <w:lang w:val="en-US"/>
                </w:rPr>
                <w:lastRenderedPageBreak/>
                <w:t>the EMC website</w:t>
              </w:r>
            </w:hyperlink>
            <w:r w:rsidRPr="00D37A41">
              <w:rPr>
                <w:rFonts w:eastAsia="Calibri"/>
                <w:color w:val="FF0000"/>
                <w:lang w:val="en-US"/>
              </w:rPr>
              <w:t xml:space="preserve"> </w:t>
            </w:r>
            <w:r w:rsidRPr="00D37A41">
              <w:rPr>
                <w:rFonts w:eastAsia="Calibri"/>
                <w:lang w:val="en-US"/>
              </w:rPr>
              <w:t>(storage recommendations may vary between different reconstituted oral suspension (or oral solution) products).</w:t>
            </w:r>
            <w:r w:rsidRPr="00D37A41">
              <w:rPr>
                <w:rFonts w:eastAsia="Calibri"/>
                <w:color w:val="FF0000"/>
                <w:lang w:val="en-US"/>
              </w:rPr>
              <w:t xml:space="preserve"> </w:t>
            </w:r>
          </w:p>
          <w:p w14:paraId="5229BACB" w14:textId="77777777" w:rsidR="00E1078D" w:rsidRPr="00987C7C" w:rsidRDefault="00E1078D" w:rsidP="00C01DA0">
            <w:pPr>
              <w:pStyle w:val="Bulletindent1"/>
              <w:rPr>
                <w:rFonts w:eastAsia="Calibri"/>
                <w:iCs/>
              </w:rPr>
            </w:pPr>
            <w:r w:rsidRPr="00987C7C">
              <w:rPr>
                <w:rFonts w:eastAsia="Calibri"/>
                <w:lang w:val="en-US"/>
              </w:rPr>
              <w:t xml:space="preserve">Initial pain and swelling as result of an insect bite should be managed with appropriate over the counter (OTC) pain relief such as paracetamol or ibuprofen (where appropriate), and the use of a cold compress (flannel or cloth cooled with cold water) over the affected area. </w:t>
            </w:r>
          </w:p>
          <w:p w14:paraId="25EFCDFF" w14:textId="77777777" w:rsidR="00E1078D" w:rsidRPr="00987C7C" w:rsidRDefault="00E1078D" w:rsidP="00C01DA0">
            <w:pPr>
              <w:pStyle w:val="Bulletindent1"/>
              <w:rPr>
                <w:rFonts w:eastAsia="Calibri"/>
                <w:iCs/>
              </w:rPr>
            </w:pPr>
            <w:r w:rsidRPr="00987C7C">
              <w:rPr>
                <w:rFonts w:eastAsia="Calibri"/>
                <w:lang w:val="en-US"/>
              </w:rPr>
              <w:t xml:space="preserve">Oral antihistamines (e.g. chlorphenamine [sedating]) or topical corticosteroids (e.g. hydrocortisone 1%) may help reduce itching but use is off-label and good quality evidence supporting its use is lacking. </w:t>
            </w:r>
          </w:p>
          <w:p w14:paraId="7BBE77B7" w14:textId="77777777" w:rsidR="00E1078D" w:rsidRPr="00987C7C" w:rsidRDefault="00E1078D" w:rsidP="00C01DA0">
            <w:pPr>
              <w:pStyle w:val="Bulletindent1"/>
              <w:rPr>
                <w:rFonts w:eastAsia="Calibri"/>
                <w:iCs/>
              </w:rPr>
            </w:pPr>
            <w:r w:rsidRPr="00987C7C">
              <w:rPr>
                <w:rFonts w:eastAsia="Calibri"/>
                <w:lang w:val="en-US"/>
              </w:rPr>
              <w:t>Seek medical attention immediately if condition deteriorates and/or individual becomes systemically unwell</w:t>
            </w:r>
          </w:p>
          <w:p w14:paraId="55039DA4" w14:textId="77777777" w:rsidR="00E1078D" w:rsidRPr="00987C7C" w:rsidRDefault="00E1078D" w:rsidP="00C01DA0">
            <w:pPr>
              <w:pStyle w:val="Bulletindent1"/>
              <w:rPr>
                <w:rFonts w:eastAsia="Calibri"/>
                <w:iCs/>
              </w:rPr>
            </w:pPr>
            <w:r w:rsidRPr="00987C7C">
              <w:rPr>
                <w:rFonts w:eastAsia="Calibri"/>
                <w:lang w:val="en-US"/>
              </w:rPr>
              <w:t>Advise individual/carer/parent/guardian that if rash or other signs of hypersensitivity occur, stop taking the medicine and seek immediate medical advice</w:t>
            </w:r>
          </w:p>
          <w:p w14:paraId="06C387A8" w14:textId="77777777" w:rsidR="00E1078D" w:rsidRPr="00987C7C" w:rsidRDefault="00E1078D" w:rsidP="00C01DA0">
            <w:pPr>
              <w:pStyle w:val="Bulletindent1"/>
              <w:rPr>
                <w:rFonts w:eastAsia="Calibri"/>
                <w:iCs/>
              </w:rPr>
            </w:pPr>
            <w:r w:rsidRPr="00987C7C">
              <w:rPr>
                <w:rFonts w:eastAsia="Calibri"/>
                <w:lang w:val="en-US"/>
              </w:rPr>
              <w:t xml:space="preserve">Hygiene measures are important to aid healing. It is recommended that the individual; </w:t>
            </w:r>
          </w:p>
          <w:p w14:paraId="1637DACD" w14:textId="77777777" w:rsidR="00E1078D" w:rsidRPr="00987C7C" w:rsidRDefault="00E1078D" w:rsidP="00C01DA0">
            <w:pPr>
              <w:pStyle w:val="Bulletindent1"/>
              <w:numPr>
                <w:ilvl w:val="1"/>
                <w:numId w:val="15"/>
              </w:numPr>
              <w:rPr>
                <w:rFonts w:eastAsia="Calibri"/>
                <w:lang w:val="en-US"/>
              </w:rPr>
            </w:pPr>
            <w:r w:rsidRPr="00987C7C">
              <w:rPr>
                <w:rFonts w:eastAsia="Calibri"/>
                <w:lang w:val="en-US"/>
              </w:rPr>
              <w:t>Avoids scratching affected areas, and keeps fingernails clean and cut short, wear cotton gloves if necessary</w:t>
            </w:r>
          </w:p>
          <w:p w14:paraId="77D1A8BC" w14:textId="77777777" w:rsidR="00E1078D" w:rsidRPr="00987C7C" w:rsidRDefault="00E1078D" w:rsidP="00C01DA0">
            <w:pPr>
              <w:pStyle w:val="Bulletindent1"/>
              <w:numPr>
                <w:ilvl w:val="1"/>
                <w:numId w:val="15"/>
              </w:numPr>
              <w:rPr>
                <w:rFonts w:eastAsia="Calibri"/>
                <w:lang w:val="en-US"/>
              </w:rPr>
            </w:pPr>
            <w:r w:rsidRPr="00987C7C">
              <w:rPr>
                <w:rFonts w:eastAsia="Calibri"/>
                <w:lang w:val="en-US"/>
              </w:rPr>
              <w:t xml:space="preserve">Keep hands clean before and after touching the skin </w:t>
            </w:r>
          </w:p>
          <w:p w14:paraId="417EA07E" w14:textId="77777777" w:rsidR="00E1078D" w:rsidRPr="000132DE" w:rsidRDefault="00E1078D" w:rsidP="00C01DA0">
            <w:pPr>
              <w:pStyle w:val="Bulletindent1"/>
              <w:rPr>
                <w:iCs/>
              </w:rPr>
            </w:pPr>
            <w:r>
              <w:rPr>
                <w:rFonts w:eastAsia="Arial"/>
              </w:rPr>
              <w:t xml:space="preserve">Advise </w:t>
            </w:r>
            <w:r w:rsidRPr="00F9104C">
              <w:rPr>
                <w:rFonts w:eastAsia="Arial"/>
              </w:rPr>
              <w:t>individual/carer</w:t>
            </w:r>
            <w:r>
              <w:rPr>
                <w:rFonts w:eastAsia="Arial"/>
              </w:rPr>
              <w:t>/parent/guardian</w:t>
            </w:r>
            <w:r w:rsidRPr="00F9104C">
              <w:rPr>
                <w:rFonts w:eastAsia="Arial"/>
                <w:spacing w:val="12"/>
              </w:rPr>
              <w:t xml:space="preserve"> </w:t>
            </w:r>
            <w:r w:rsidRPr="00F9104C">
              <w:rPr>
                <w:rFonts w:eastAsia="Arial"/>
              </w:rPr>
              <w:t>to</w:t>
            </w:r>
            <w:r w:rsidRPr="001B6ECB">
              <w:rPr>
                <w:rFonts w:eastAsia="Arial"/>
              </w:rPr>
              <w:t xml:space="preserve"> take the medication at regular intervals and to finish the course.</w:t>
            </w:r>
          </w:p>
          <w:p w14:paraId="7537B023" w14:textId="77777777" w:rsidR="00E1078D" w:rsidRPr="00E1078D" w:rsidRDefault="00E1078D" w:rsidP="00C01DA0">
            <w:pPr>
              <w:pStyle w:val="Bulletindent1"/>
              <w:rPr>
                <w:rFonts w:eastAsia="Calibri"/>
                <w:iCs/>
              </w:rPr>
            </w:pPr>
            <w:r w:rsidRPr="00E1078D">
              <w:rPr>
                <w:rFonts w:eastAsia="Calibri"/>
                <w:iCs/>
              </w:rPr>
              <w:t>If a dose is missed advise to refer to PIL supplied with the product</w:t>
            </w:r>
          </w:p>
          <w:p w14:paraId="440E0A30" w14:textId="77777777" w:rsidR="00E1078D" w:rsidRDefault="00E1078D" w:rsidP="00C01DA0">
            <w:pPr>
              <w:pStyle w:val="Bulletindent1"/>
            </w:pPr>
            <w:r w:rsidRPr="00A16080">
              <w:t>Inform the individual/carer/parent/guardian of possible side effects and their management.</w:t>
            </w:r>
          </w:p>
          <w:p w14:paraId="1A2402A2" w14:textId="77777777" w:rsidR="00E1078D" w:rsidRPr="00534674" w:rsidRDefault="00E1078D" w:rsidP="00C01DA0">
            <w:pPr>
              <w:pStyle w:val="Bulletindent1"/>
            </w:pPr>
            <w:r w:rsidRPr="00F9104C">
              <w:t>Advise individual</w:t>
            </w:r>
            <w:r>
              <w:t>/carer</w:t>
            </w:r>
            <w:r>
              <w:rPr>
                <w:rFonts w:eastAsia="Arial"/>
              </w:rPr>
              <w:t>/parent/guardian</w:t>
            </w:r>
            <w:r>
              <w:rPr>
                <w:rFonts w:eastAsia="Arial"/>
                <w:spacing w:val="12"/>
              </w:rPr>
              <w:t xml:space="preserve"> </w:t>
            </w:r>
            <w:r w:rsidRPr="00F9104C">
              <w:t>to complete the full course even if symptoms improve.</w:t>
            </w:r>
          </w:p>
          <w:p w14:paraId="7285CF26" w14:textId="77777777" w:rsidR="00E1078D" w:rsidRPr="00BF0C3E" w:rsidRDefault="00E1078D" w:rsidP="00C01DA0">
            <w:pPr>
              <w:pStyle w:val="Bulletindent1"/>
            </w:pPr>
            <w:r>
              <w:lastRenderedPageBreak/>
              <w:t>Advise individual/carer</w:t>
            </w:r>
            <w:r>
              <w:rPr>
                <w:rFonts w:eastAsia="Arial"/>
              </w:rPr>
              <w:t>/parent/guardian</w:t>
            </w:r>
            <w:r>
              <w:rPr>
                <w:rFonts w:eastAsia="Arial"/>
                <w:spacing w:val="12"/>
              </w:rPr>
              <w:t xml:space="preserve"> </w:t>
            </w:r>
            <w:r>
              <w:t>to remove visible stingers as quickly as possible by scraping sideways with a fingernail, a piece of card or a credit card.</w:t>
            </w:r>
          </w:p>
          <w:p w14:paraId="6F3A6705" w14:textId="1268DDE4" w:rsidR="00E1078D" w:rsidRDefault="00E1078D" w:rsidP="00C01DA0">
            <w:pPr>
              <w:pStyle w:val="Bulletindent1"/>
            </w:pPr>
            <w:r>
              <w:t>Advise individual/carer/parent/guardian to seek medical attention if symptoms worsen rapidly or significantly at any time</w:t>
            </w:r>
          </w:p>
          <w:p w14:paraId="61865229" w14:textId="77777777" w:rsidR="00E1078D" w:rsidRPr="00AC0BCC" w:rsidRDefault="00E1078D" w:rsidP="00C01DA0">
            <w:pPr>
              <w:pStyle w:val="Bulletindent1"/>
              <w:rPr>
                <w:rFonts w:cs="Arial"/>
                <w:szCs w:val="22"/>
                <w:shd w:val="clear" w:color="auto" w:fill="FBFAF8"/>
                <w:lang w:eastAsia="en-GB"/>
              </w:rPr>
            </w:pPr>
            <w:r>
              <w:t>Advise individual/carer/parent/guardian to seek medical attention if symptoms do not improve after completion of antibiotic treatment course.</w:t>
            </w:r>
          </w:p>
          <w:p w14:paraId="6B0A8F06" w14:textId="30B0D813" w:rsidR="00D37A41" w:rsidRPr="00D37A41" w:rsidRDefault="00D37A41" w:rsidP="00C01DA0">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76" w:history="1">
              <w:r>
                <w:rPr>
                  <w:rFonts w:eastAsia="Calibri"/>
                  <w:color w:val="0000FF"/>
                  <w:u w:val="single"/>
                </w:rPr>
                <w:t>signs or symptoms of sepsis as described on the NHS website</w:t>
              </w:r>
            </w:hyperlink>
            <w:r w:rsidRPr="00D37A41">
              <w:rPr>
                <w:rFonts w:eastAsia="Calibri"/>
              </w:rPr>
              <w:t xml:space="preserve">. </w:t>
            </w:r>
          </w:p>
          <w:p w14:paraId="11EAB84F" w14:textId="77777777" w:rsidR="006D319C" w:rsidRPr="000132DE" w:rsidRDefault="006D319C" w:rsidP="00C01DA0">
            <w:pPr>
              <w:pStyle w:val="Bulletindent1"/>
            </w:pPr>
            <w:r>
              <w:t>Advise individual/carer/parent that s</w:t>
            </w:r>
            <w:r w:rsidRPr="000132DE">
              <w:t xml:space="preserve">kin does take time to return to normal, and full resolution </w:t>
            </w:r>
            <w:r>
              <w:t xml:space="preserve">of skin redness and itch may take up to 10 days. </w:t>
            </w:r>
          </w:p>
          <w:p w14:paraId="74AD6FBC" w14:textId="77777777" w:rsidR="006D319C" w:rsidRPr="00B03B59" w:rsidRDefault="006D319C" w:rsidP="00C01DA0">
            <w:pPr>
              <w:pStyle w:val="Bulletindent1"/>
            </w:pPr>
            <w:r w:rsidRPr="001B6ECB">
              <w:t>The individual/carer</w:t>
            </w:r>
            <w:r>
              <w:t>/parent/guardian</w:t>
            </w:r>
            <w:r w:rsidRPr="001B6ECB">
              <w:t xml:space="preserve"> should be advised to seek medical advice in the event of an adverse reaction or if any other new </w:t>
            </w:r>
            <w:r w:rsidRPr="00B03B59">
              <w:t>symptoms develop.</w:t>
            </w:r>
          </w:p>
          <w:p w14:paraId="2BF8FA34" w14:textId="224D4E88" w:rsidR="00700627" w:rsidRPr="00D54EC6" w:rsidRDefault="00AF3EB7" w:rsidP="00C01DA0">
            <w:pPr>
              <w:pStyle w:val="Bulletindent1"/>
            </w:pPr>
            <w:r>
              <w:t>Advise individual/carer/parent/guardian to return any unused medicines to a pharmacy for disposal: do not dispose of medicines in the bin, down the sink or toilet.</w:t>
            </w:r>
          </w:p>
        </w:tc>
      </w:tr>
      <w:tr w:rsidR="00700627" w14:paraId="589EF44D" w14:textId="77777777" w:rsidTr="00C01DA0">
        <w:tc>
          <w:tcPr>
            <w:tcW w:w="3397" w:type="dxa"/>
          </w:tcPr>
          <w:p w14:paraId="0194F7E0" w14:textId="7E52FBD6" w:rsidR="00700627" w:rsidRPr="00A16080" w:rsidRDefault="0097352C" w:rsidP="00C01DA0">
            <w:pPr>
              <w:rPr>
                <w:rStyle w:val="TableHeaderColumn"/>
                <w:sz w:val="22"/>
                <w:szCs w:val="22"/>
              </w:rPr>
            </w:pPr>
            <w:r w:rsidRPr="00A16080">
              <w:rPr>
                <w:rStyle w:val="TableHeaderColumn"/>
                <w:sz w:val="22"/>
                <w:szCs w:val="22"/>
              </w:rPr>
              <w:lastRenderedPageBreak/>
              <w:t>Records to be kept</w:t>
            </w:r>
          </w:p>
        </w:tc>
        <w:tc>
          <w:tcPr>
            <w:tcW w:w="5103" w:type="dxa"/>
          </w:tcPr>
          <w:p w14:paraId="29864386" w14:textId="77777777" w:rsidR="004133DF" w:rsidRDefault="004133DF" w:rsidP="00C01DA0">
            <w:pPr>
              <w:pStyle w:val="Tabletext"/>
            </w:pPr>
            <w:r w:rsidRPr="004133DF">
              <w:t>Appropriate records must include the following:</w:t>
            </w:r>
          </w:p>
          <w:p w14:paraId="430E7C63" w14:textId="77777777" w:rsidR="004133DF" w:rsidRDefault="004133DF" w:rsidP="00C01DA0">
            <w:pPr>
              <w:pStyle w:val="Bulletindent1"/>
            </w:pPr>
            <w:r w:rsidRPr="004133DF">
              <w:t>That valid informed consent has been given</w:t>
            </w:r>
          </w:p>
          <w:p w14:paraId="32ED9C6B" w14:textId="7458E96C" w:rsidR="004133DF" w:rsidRDefault="004133DF" w:rsidP="00C01DA0">
            <w:pPr>
              <w:pStyle w:val="Bulletindent1"/>
            </w:pPr>
            <w:r w:rsidRPr="004133DF">
              <w:t>Individual’s name, address and date of birth</w:t>
            </w:r>
          </w:p>
          <w:p w14:paraId="686C995E" w14:textId="14B568F2" w:rsidR="004133DF" w:rsidRDefault="004133DF" w:rsidP="00C01DA0">
            <w:pPr>
              <w:pStyle w:val="Bulletindent1"/>
            </w:pPr>
            <w:r w:rsidRPr="004133DF">
              <w:t>Name of GP individual is registered with or record where an individual is not registered with a GP</w:t>
            </w:r>
          </w:p>
          <w:p w14:paraId="07B6A9F7" w14:textId="77777777" w:rsidR="004133DF" w:rsidRDefault="004133DF" w:rsidP="00C01DA0">
            <w:pPr>
              <w:pStyle w:val="Bulletindent1"/>
            </w:pPr>
            <w:r w:rsidRPr="004133DF">
              <w:t xml:space="preserve">Name of registered healthcare professional operating under this PGD </w:t>
            </w:r>
          </w:p>
          <w:p w14:paraId="6295F240" w14:textId="77777777" w:rsidR="004133DF" w:rsidRDefault="004133DF" w:rsidP="00C01DA0">
            <w:pPr>
              <w:pStyle w:val="Bulletindent1"/>
            </w:pPr>
            <w:r w:rsidRPr="004133DF">
              <w:t>Specify how the individual has/has not met the criteria of the PGD</w:t>
            </w:r>
          </w:p>
          <w:p w14:paraId="7D7253AB" w14:textId="77777777" w:rsidR="004133DF" w:rsidRDefault="004133DF" w:rsidP="00C01DA0">
            <w:pPr>
              <w:pStyle w:val="Bulletindent1"/>
            </w:pPr>
            <w:r w:rsidRPr="004133DF">
              <w:t>Relevant past and present medical history and medication history</w:t>
            </w:r>
          </w:p>
          <w:p w14:paraId="3FFF0272" w14:textId="77777777" w:rsidR="004133DF" w:rsidRDefault="004133DF" w:rsidP="00C01DA0">
            <w:pPr>
              <w:pStyle w:val="Bulletindent1"/>
            </w:pPr>
            <w:r w:rsidRPr="004133DF">
              <w:lastRenderedPageBreak/>
              <w:t>Name/dose/form/quantity of medicine supplied</w:t>
            </w:r>
          </w:p>
          <w:p w14:paraId="0AF2D72A" w14:textId="11FFC4DB" w:rsidR="004133DF" w:rsidRPr="004133DF" w:rsidRDefault="004133DF" w:rsidP="00C01DA0">
            <w:pPr>
              <w:pStyle w:val="Bulletindent1"/>
            </w:pPr>
            <w:r w:rsidRPr="004133DF">
              <w:t>Date and time of supply</w:t>
            </w:r>
          </w:p>
          <w:p w14:paraId="6D51756D" w14:textId="77777777" w:rsidR="004133DF" w:rsidRDefault="004133DF" w:rsidP="00C01DA0">
            <w:pPr>
              <w:pStyle w:val="Bulletindent1"/>
            </w:pPr>
            <w:r w:rsidRPr="004133DF">
              <w:t>Documentation of cautions as appropriate</w:t>
            </w:r>
          </w:p>
          <w:p w14:paraId="63A66555" w14:textId="77777777" w:rsidR="004133DF" w:rsidRDefault="004133DF" w:rsidP="00C01DA0">
            <w:pPr>
              <w:pStyle w:val="Bulletindent1"/>
            </w:pPr>
            <w:r w:rsidRPr="004133DF">
              <w:t>Advice given if individual excluded or declines treatment</w:t>
            </w:r>
          </w:p>
          <w:p w14:paraId="4C06353F" w14:textId="77777777" w:rsidR="004133DF" w:rsidRDefault="004133DF" w:rsidP="00C01DA0">
            <w:pPr>
              <w:pStyle w:val="Bulletindent1"/>
            </w:pPr>
            <w:r w:rsidRPr="004133DF">
              <w:t>Details of any ADRs/allergy status and actions taken</w:t>
            </w:r>
          </w:p>
          <w:p w14:paraId="7766ACF5" w14:textId="77777777" w:rsidR="004133DF" w:rsidRDefault="004133DF" w:rsidP="00C01DA0">
            <w:pPr>
              <w:pStyle w:val="Bulletindent1"/>
            </w:pPr>
            <w:r w:rsidRPr="004133DF">
              <w:t>The supply must be entered in the Patient Medication Record (PMR)</w:t>
            </w:r>
          </w:p>
          <w:p w14:paraId="72462233" w14:textId="77777777" w:rsidR="004133DF" w:rsidRDefault="004133DF" w:rsidP="00C01DA0">
            <w:pPr>
              <w:pStyle w:val="Bulletindent1"/>
            </w:pPr>
            <w:r w:rsidRPr="004133DF">
              <w:t>That supply was made under a PGD</w:t>
            </w:r>
          </w:p>
          <w:p w14:paraId="0E33BA12" w14:textId="77777777" w:rsidR="004133DF" w:rsidRDefault="004133DF" w:rsidP="00C01DA0">
            <w:pPr>
              <w:pStyle w:val="Bulletindent1"/>
            </w:pPr>
            <w:r w:rsidRPr="004133DF">
              <w:t>Any safety incidents, such as medication errors, near misses and suspected adverse events</w:t>
            </w:r>
            <w:r>
              <w:t>.</w:t>
            </w:r>
          </w:p>
          <w:p w14:paraId="1C34BF29" w14:textId="77777777" w:rsidR="004133DF" w:rsidRDefault="004133DF" w:rsidP="00C01DA0">
            <w:pPr>
              <w:pStyle w:val="Bulletindent1"/>
            </w:pPr>
            <w:r w:rsidRPr="004133DF">
              <w:t>Any additional requirements in accordance with the service specification</w:t>
            </w:r>
          </w:p>
          <w:p w14:paraId="263139D5" w14:textId="03F6DDFA" w:rsidR="004133DF" w:rsidRPr="004133DF" w:rsidRDefault="004133DF" w:rsidP="00C01DA0">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4133DF" w:rsidRDefault="004133DF" w:rsidP="00C01DA0">
            <w:pPr>
              <w:pStyle w:val="Bulletindent1"/>
            </w:pPr>
            <w:r w:rsidRPr="004133DF">
              <w:t xml:space="preserve">All records should be kept in line with </w:t>
            </w:r>
            <w:hyperlink r:id="rId77" w:history="1">
              <w:r w:rsidRPr="004133DF">
                <w:rPr>
                  <w:rStyle w:val="Hyperlink"/>
                </w:rPr>
                <w:t>NHSE Records Management Code of Practice</w:t>
              </w:r>
            </w:hyperlink>
            <w:r w:rsidRPr="004133DF">
              <w:t>. This includes individual data, master copies of the PGD and lists of authorised practitioners.</w:t>
            </w:r>
          </w:p>
          <w:p w14:paraId="0A1C6FD4" w14:textId="4C878E8B" w:rsidR="004133DF" w:rsidRPr="004133DF" w:rsidRDefault="004133DF" w:rsidP="00C01DA0">
            <w:pPr>
              <w:pStyle w:val="Tabletext"/>
              <w:rPr>
                <w:b/>
                <w:bCs/>
              </w:rPr>
            </w:pPr>
            <w:r w:rsidRPr="004133DF">
              <w:rPr>
                <w:b/>
                <w:bCs/>
              </w:rPr>
              <w:t>Records must be signed and dated (or  password controlled e-records).</w:t>
            </w:r>
          </w:p>
          <w:p w14:paraId="52BC79B0" w14:textId="2D3BD973" w:rsidR="004133DF" w:rsidRPr="004133DF" w:rsidRDefault="004133DF" w:rsidP="00C01DA0">
            <w:pPr>
              <w:pStyle w:val="Tabletext"/>
              <w:rPr>
                <w:b/>
                <w:bCs/>
              </w:rPr>
            </w:pPr>
            <w:r w:rsidRPr="004133DF">
              <w:rPr>
                <w:b/>
                <w:bCs/>
              </w:rPr>
              <w:t>All records must be clear, legible and contemporaneous.</w:t>
            </w:r>
          </w:p>
          <w:p w14:paraId="03D8DE4D" w14:textId="77777777" w:rsidR="004133DF" w:rsidRPr="004133DF" w:rsidRDefault="004133DF" w:rsidP="00C01DA0">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4133DF" w:rsidRPr="004133DF" w:rsidRDefault="004133DF" w:rsidP="00C01DA0">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4133DF" w:rsidRPr="004133DF" w:rsidRDefault="004133DF" w:rsidP="00C01DA0">
            <w:pPr>
              <w:pStyle w:val="Bulletindent1"/>
              <w:rPr>
                <w:highlight w:val="cyan"/>
              </w:rPr>
            </w:pPr>
            <w:r w:rsidRPr="004133DF">
              <w:rPr>
                <w:highlight w:val="cyan"/>
              </w:rPr>
              <w:t>The volume of individuals assessed using the PGD</w:t>
            </w:r>
          </w:p>
          <w:p w14:paraId="013BD556" w14:textId="77777777" w:rsidR="004133DF" w:rsidRPr="004133DF" w:rsidRDefault="004133DF" w:rsidP="00C01DA0">
            <w:pPr>
              <w:pStyle w:val="Bulletindent1"/>
              <w:rPr>
                <w:highlight w:val="cyan"/>
              </w:rPr>
            </w:pPr>
            <w:r w:rsidRPr="004133DF">
              <w:rPr>
                <w:highlight w:val="cyan"/>
              </w:rPr>
              <w:t>The population demographics of patients using the service</w:t>
            </w:r>
          </w:p>
          <w:p w14:paraId="1056050B" w14:textId="77777777" w:rsidR="004133DF" w:rsidRPr="004133DF" w:rsidRDefault="004133DF" w:rsidP="00C01DA0">
            <w:pPr>
              <w:pStyle w:val="Bulletindent1"/>
              <w:rPr>
                <w:highlight w:val="cyan"/>
              </w:rPr>
            </w:pPr>
            <w:r w:rsidRPr="004133DF">
              <w:rPr>
                <w:highlight w:val="cyan"/>
              </w:rPr>
              <w:t>The volume supplied medication via PGD</w:t>
            </w:r>
          </w:p>
          <w:p w14:paraId="57764D02" w14:textId="77777777" w:rsidR="004133DF" w:rsidRPr="004133DF" w:rsidRDefault="004133DF" w:rsidP="00C01DA0">
            <w:pPr>
              <w:pStyle w:val="Bulletindent1"/>
              <w:rPr>
                <w:highlight w:val="cyan"/>
              </w:rPr>
            </w:pPr>
            <w:r w:rsidRPr="004133DF">
              <w:rPr>
                <w:highlight w:val="cyan"/>
              </w:rPr>
              <w:t xml:space="preserve"> Individual outcome at day X as per service specification</w:t>
            </w:r>
          </w:p>
          <w:p w14:paraId="570F9472" w14:textId="77777777" w:rsidR="004133DF" w:rsidRPr="004133DF" w:rsidRDefault="004133DF" w:rsidP="00C01DA0">
            <w:pPr>
              <w:pStyle w:val="Bulletindent1"/>
              <w:rPr>
                <w:highlight w:val="cyan"/>
              </w:rPr>
            </w:pPr>
            <w:r w:rsidRPr="004133DF">
              <w:rPr>
                <w:highlight w:val="cyan"/>
              </w:rPr>
              <w:lastRenderedPageBreak/>
              <w:t>The number of escalations to other clinicians</w:t>
            </w:r>
          </w:p>
          <w:p w14:paraId="65D95A97" w14:textId="77777777" w:rsidR="004133DF" w:rsidRPr="004133DF" w:rsidRDefault="004133DF" w:rsidP="00C01DA0">
            <w:pPr>
              <w:pStyle w:val="Bulletindent1"/>
              <w:rPr>
                <w:highlight w:val="cyan"/>
              </w:rPr>
            </w:pPr>
            <w:r w:rsidRPr="004133DF">
              <w:rPr>
                <w:highlight w:val="cyan"/>
              </w:rPr>
              <w:t>Any reported clinical incidents and the findings from their subsequent investigation.</w:t>
            </w:r>
          </w:p>
          <w:p w14:paraId="5AE52934" w14:textId="77777777" w:rsidR="004133DF" w:rsidRPr="004133DF" w:rsidRDefault="004133DF" w:rsidP="00C01DA0">
            <w:pPr>
              <w:pStyle w:val="Bulletindent1"/>
              <w:rPr>
                <w:highlight w:val="cyan"/>
              </w:rPr>
            </w:pPr>
            <w:r w:rsidRPr="004133DF">
              <w:rPr>
                <w:highlight w:val="cyan"/>
              </w:rPr>
              <w:t>The types and effectiveness of secure digital referral routes deployed.</w:t>
            </w:r>
          </w:p>
          <w:p w14:paraId="5C86E602" w14:textId="77777777" w:rsidR="004133DF" w:rsidRPr="004133DF" w:rsidRDefault="004133DF" w:rsidP="00C01DA0">
            <w:pPr>
              <w:pStyle w:val="Bulletindent1"/>
              <w:rPr>
                <w:highlight w:val="cyan"/>
              </w:rPr>
            </w:pPr>
            <w:r w:rsidRPr="004133DF">
              <w:rPr>
                <w:highlight w:val="cyan"/>
              </w:rPr>
              <w:t>Impact on health inequalities (linking to post codes of those diagnosed)</w:t>
            </w:r>
          </w:p>
          <w:p w14:paraId="4BFE03A4" w14:textId="77777777" w:rsidR="004133DF" w:rsidRPr="004133DF" w:rsidRDefault="004133DF" w:rsidP="00C01DA0">
            <w:pPr>
              <w:pStyle w:val="Bulletindent1"/>
              <w:rPr>
                <w:highlight w:val="cyan"/>
              </w:rPr>
            </w:pPr>
            <w:r w:rsidRPr="004133DF">
              <w:rPr>
                <w:highlight w:val="cyan"/>
              </w:rPr>
              <w:t>Service user experience / satisfaction</w:t>
            </w:r>
          </w:p>
          <w:p w14:paraId="2556F8CA" w14:textId="77777777" w:rsidR="004133DF" w:rsidRPr="004133DF" w:rsidRDefault="004133DF" w:rsidP="00C01DA0">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4133DF" w:rsidRPr="004133DF" w:rsidRDefault="004133DF" w:rsidP="00C01DA0">
            <w:pPr>
              <w:pStyle w:val="Bulletindent1"/>
              <w:rPr>
                <w:highlight w:val="cyan"/>
              </w:rPr>
            </w:pPr>
            <w:r w:rsidRPr="004133DF">
              <w:rPr>
                <w:highlight w:val="cyan"/>
              </w:rPr>
              <w:t>The cost of implementation including time and resource(s) required.</w:t>
            </w:r>
          </w:p>
          <w:p w14:paraId="21350D5F" w14:textId="058AEEAF" w:rsidR="004133DF" w:rsidRPr="004133DF" w:rsidRDefault="004133DF" w:rsidP="00C01DA0">
            <w:pPr>
              <w:pStyle w:val="Bulletindent1"/>
              <w:rPr>
                <w:highlight w:val="cyan"/>
              </w:rPr>
            </w:pPr>
            <w:r w:rsidRPr="004133DF">
              <w:rPr>
                <w:highlight w:val="cyan"/>
              </w:rPr>
              <w:t xml:space="preserve">Impact on </w:t>
            </w:r>
            <w:r w:rsidR="00AF0367" w:rsidRPr="00AF0367">
              <w:rPr>
                <w:highlight w:val="cyan"/>
              </w:rPr>
              <w:t>antibiotic</w:t>
            </w:r>
            <w:r w:rsidRPr="004133DF">
              <w:rPr>
                <w:highlight w:val="cyan"/>
              </w:rPr>
              <w:t xml:space="preserve"> use</w:t>
            </w:r>
            <w:r>
              <w:rPr>
                <w:highlight w:val="cyan"/>
              </w:rPr>
              <w:t>]</w:t>
            </w:r>
          </w:p>
          <w:p w14:paraId="4AF5F403" w14:textId="2CB08534" w:rsidR="00700627" w:rsidRDefault="00700627" w:rsidP="00C01DA0">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5C1DD6B7" w14:textId="77777777" w:rsidR="006D319C" w:rsidRPr="00AF0367" w:rsidRDefault="006D319C" w:rsidP="006D319C">
      <w:pPr>
        <w:pStyle w:val="Bulletindent1"/>
        <w:rPr>
          <w:color w:val="0000FF"/>
          <w:u w:val="single"/>
        </w:rPr>
      </w:pPr>
      <w:hyperlink r:id="rId78" w:history="1">
        <w:r w:rsidRPr="009B77E7">
          <w:rPr>
            <w:rStyle w:val="Hyperlink"/>
          </w:rPr>
          <w:t>Electronic Medicines Compendium</w:t>
        </w:r>
      </w:hyperlink>
    </w:p>
    <w:p w14:paraId="7FC31B65" w14:textId="77777777" w:rsidR="006D319C" w:rsidRPr="00AF0367" w:rsidRDefault="006D319C" w:rsidP="006D319C">
      <w:pPr>
        <w:pStyle w:val="Bulletindent1"/>
        <w:rPr>
          <w:color w:val="0000FF"/>
          <w:u w:val="single"/>
        </w:rPr>
      </w:pPr>
      <w:hyperlink r:id="rId79" w:history="1">
        <w:r w:rsidRPr="009B77E7">
          <w:rPr>
            <w:rStyle w:val="Hyperlink"/>
          </w:rPr>
          <w:t>Electronic BNF</w:t>
        </w:r>
      </w:hyperlink>
    </w:p>
    <w:p w14:paraId="2008E1BC" w14:textId="77777777" w:rsidR="006D319C" w:rsidRPr="006D319C" w:rsidRDefault="006D319C" w:rsidP="006D319C">
      <w:pPr>
        <w:pStyle w:val="Bulletindent1"/>
        <w:rPr>
          <w:color w:val="0000FF"/>
          <w:u w:val="single"/>
        </w:rPr>
      </w:pPr>
      <w:hyperlink r:id="rId80" w:history="1">
        <w:r w:rsidRPr="009B77E7">
          <w:rPr>
            <w:rStyle w:val="Hyperlink"/>
          </w:rPr>
          <w:t>Reference guide to consent for examination or treatment</w:t>
        </w:r>
      </w:hyperlink>
    </w:p>
    <w:p w14:paraId="1E9AA4F3" w14:textId="77777777" w:rsidR="006D319C" w:rsidRPr="00E31C97" w:rsidRDefault="006D319C" w:rsidP="006D319C">
      <w:pPr>
        <w:pStyle w:val="Bulletindent1"/>
        <w:rPr>
          <w:color w:val="0000FF"/>
          <w:u w:val="single"/>
        </w:rPr>
      </w:pPr>
      <w:hyperlink r:id="rId81" w:history="1">
        <w:r w:rsidRPr="00720435">
          <w:rPr>
            <w:rStyle w:val="Hyperlink"/>
          </w:rPr>
          <w:t>NICE Medicines practice guideline MPG2 - Patient Group Directions - Last Updated 27 March 2017</w:t>
        </w:r>
      </w:hyperlink>
    </w:p>
    <w:p w14:paraId="2DB6B666" w14:textId="77777777" w:rsidR="006D319C" w:rsidRDefault="006D319C" w:rsidP="006D319C">
      <w:pPr>
        <w:pStyle w:val="Bulletindent1"/>
        <w:rPr>
          <w:color w:val="0000FF"/>
          <w:u w:val="single"/>
        </w:rPr>
      </w:pPr>
      <w:hyperlink r:id="rId82" w:history="1">
        <w:r w:rsidRPr="00E31C97">
          <w:rPr>
            <w:rStyle w:val="Hyperlink"/>
          </w:rPr>
          <w:t>NICE Clinical Guidance 141 “Cellulitis and erysipelas: antimicrobial prescribing NG141”</w:t>
        </w:r>
      </w:hyperlink>
    </w:p>
    <w:p w14:paraId="558042C4" w14:textId="77777777" w:rsidR="006D319C" w:rsidRDefault="006D319C" w:rsidP="006D319C">
      <w:pPr>
        <w:pStyle w:val="Bulletindent1"/>
        <w:rPr>
          <w:rStyle w:val="Hyperlink"/>
        </w:rPr>
      </w:pPr>
      <w:hyperlink r:id="rId83" w:history="1">
        <w:r w:rsidRPr="00E31C97">
          <w:rPr>
            <w:rStyle w:val="Hyperlink"/>
          </w:rPr>
          <w:t>NICE Clinical Knowledge Summaries “Insect Bites and Stings”</w:t>
        </w:r>
      </w:hyperlink>
    </w:p>
    <w:p w14:paraId="348E3FA2" w14:textId="77777777" w:rsidR="006D319C" w:rsidRDefault="006D319C" w:rsidP="006D319C">
      <w:pPr>
        <w:pStyle w:val="Bulletindent1"/>
        <w:rPr>
          <w:rStyle w:val="Hyperlink"/>
        </w:rPr>
      </w:pPr>
      <w:hyperlink r:id="rId84" w:history="1">
        <w:r w:rsidRPr="00E31C97">
          <w:rPr>
            <w:rStyle w:val="Hyperlink"/>
          </w:rPr>
          <w:t>NICE Clinical Knowledge Summaries “Acute Cellulitis”</w:t>
        </w:r>
      </w:hyperlink>
    </w:p>
    <w:p w14:paraId="502BE8F1" w14:textId="0765BE4A" w:rsidR="006D319C" w:rsidRPr="00720435" w:rsidRDefault="006D319C" w:rsidP="00032229">
      <w:pPr>
        <w:pStyle w:val="Bulletindent1"/>
        <w:rPr>
          <w:rStyle w:val="Hyperlink"/>
        </w:rPr>
      </w:pPr>
      <w:hyperlink r:id="rId85" w:history="1">
        <w:r w:rsidRPr="00E31C97">
          <w:rPr>
            <w:rStyle w:val="Hyperlink"/>
          </w:rPr>
          <w:t>TARGET Self-care leaflet.</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86"/>
      <w:headerReference w:type="default" r:id="rId87"/>
      <w:footerReference w:type="default" r:id="rId88"/>
      <w:headerReference w:type="first" r:id="rId89"/>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F24598">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F24598"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F24598">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852B0"/>
    <w:multiLevelType w:val="multilevel"/>
    <w:tmpl w:val="ECC0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A147243"/>
    <w:multiLevelType w:val="hybridMultilevel"/>
    <w:tmpl w:val="82F6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E87D95"/>
    <w:multiLevelType w:val="multilevel"/>
    <w:tmpl w:val="2F66A572"/>
    <w:lvl w:ilvl="0">
      <w:start w:val="1"/>
      <w:numFmt w:val="bullet"/>
      <w:pStyle w:val="Bulletindent1"/>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4217624"/>
    <w:multiLevelType w:val="hybridMultilevel"/>
    <w:tmpl w:val="0D72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6954F95"/>
    <w:multiLevelType w:val="hybridMultilevel"/>
    <w:tmpl w:val="B66000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2609CF"/>
    <w:multiLevelType w:val="hybridMultilevel"/>
    <w:tmpl w:val="364EC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A4E56"/>
    <w:multiLevelType w:val="hybridMultilevel"/>
    <w:tmpl w:val="10AAA496"/>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8"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2" w15:restartNumberingAfterBreak="0">
    <w:nsid w:val="770133B3"/>
    <w:multiLevelType w:val="hybridMultilevel"/>
    <w:tmpl w:val="AB8C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4"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5" w15:restartNumberingAfterBreak="0">
    <w:nsid w:val="78BE70D9"/>
    <w:multiLevelType w:val="hybridMultilevel"/>
    <w:tmpl w:val="2C9CBA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8"/>
  </w:num>
  <w:num w:numId="2" w16cid:durableId="460340545">
    <w:abstractNumId w:val="8"/>
  </w:num>
  <w:num w:numId="3" w16cid:durableId="862549155">
    <w:abstractNumId w:val="23"/>
  </w:num>
  <w:num w:numId="4" w16cid:durableId="1902785077">
    <w:abstractNumId w:val="24"/>
  </w:num>
  <w:num w:numId="5" w16cid:durableId="1400252542">
    <w:abstractNumId w:val="13"/>
  </w:num>
  <w:num w:numId="6" w16cid:durableId="585113440">
    <w:abstractNumId w:val="7"/>
  </w:num>
  <w:num w:numId="7" w16cid:durableId="1512915418">
    <w:abstractNumId w:val="21"/>
  </w:num>
  <w:num w:numId="8" w16cid:durableId="759831936">
    <w:abstractNumId w:val="27"/>
  </w:num>
  <w:num w:numId="9" w16cid:durableId="1747412429">
    <w:abstractNumId w:val="2"/>
  </w:num>
  <w:num w:numId="10" w16cid:durableId="1297833641">
    <w:abstractNumId w:val="0"/>
  </w:num>
  <w:num w:numId="11" w16cid:durableId="1684160055">
    <w:abstractNumId w:val="26"/>
  </w:num>
  <w:num w:numId="12" w16cid:durableId="1610894224">
    <w:abstractNumId w:val="28"/>
  </w:num>
  <w:num w:numId="13" w16cid:durableId="1880973297">
    <w:abstractNumId w:val="11"/>
  </w:num>
  <w:num w:numId="14" w16cid:durableId="77676389">
    <w:abstractNumId w:val="3"/>
  </w:num>
  <w:num w:numId="15" w16cid:durableId="1496384920">
    <w:abstractNumId w:val="10"/>
  </w:num>
  <w:num w:numId="16" w16cid:durableId="441388192">
    <w:abstractNumId w:val="19"/>
    <w:lvlOverride w:ilvl="0">
      <w:startOverride w:val="1"/>
    </w:lvlOverride>
  </w:num>
  <w:num w:numId="17" w16cid:durableId="73867840">
    <w:abstractNumId w:val="4"/>
    <w:lvlOverride w:ilvl="0">
      <w:startOverride w:val="1"/>
    </w:lvlOverride>
  </w:num>
  <w:num w:numId="18" w16cid:durableId="781001804">
    <w:abstractNumId w:val="16"/>
  </w:num>
  <w:num w:numId="19" w16cid:durableId="1081835387">
    <w:abstractNumId w:val="25"/>
  </w:num>
  <w:num w:numId="20" w16cid:durableId="679160872">
    <w:abstractNumId w:val="17"/>
  </w:num>
  <w:num w:numId="21" w16cid:durableId="1744795804">
    <w:abstractNumId w:val="6"/>
  </w:num>
  <w:num w:numId="22" w16cid:durableId="725832440">
    <w:abstractNumId w:val="9"/>
  </w:num>
  <w:num w:numId="23" w16cid:durableId="1223323111">
    <w:abstractNumId w:val="15"/>
  </w:num>
  <w:num w:numId="24" w16cid:durableId="1631932727">
    <w:abstractNumId w:val="20"/>
  </w:num>
  <w:num w:numId="25" w16cid:durableId="254482756">
    <w:abstractNumId w:val="1"/>
  </w:num>
  <w:num w:numId="26" w16cid:durableId="1471167647">
    <w:abstractNumId w:val="12"/>
  </w:num>
  <w:num w:numId="27" w16cid:durableId="59278135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1FBD"/>
    <w:rsid w:val="00017E8B"/>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47306"/>
    <w:rsid w:val="0005035D"/>
    <w:rsid w:val="00050C45"/>
    <w:rsid w:val="00051AAD"/>
    <w:rsid w:val="000524CF"/>
    <w:rsid w:val="000556B2"/>
    <w:rsid w:val="00056CDA"/>
    <w:rsid w:val="000604E0"/>
    <w:rsid w:val="0006211C"/>
    <w:rsid w:val="0006306E"/>
    <w:rsid w:val="000661B3"/>
    <w:rsid w:val="0007088A"/>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6E15"/>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0D5"/>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44F3C"/>
    <w:rsid w:val="00245460"/>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3580"/>
    <w:rsid w:val="002D4185"/>
    <w:rsid w:val="002E0743"/>
    <w:rsid w:val="002F134E"/>
    <w:rsid w:val="002F4DEC"/>
    <w:rsid w:val="002F5864"/>
    <w:rsid w:val="00301008"/>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33DF"/>
    <w:rsid w:val="0041543B"/>
    <w:rsid w:val="00417611"/>
    <w:rsid w:val="00421452"/>
    <w:rsid w:val="00421D74"/>
    <w:rsid w:val="00424C2D"/>
    <w:rsid w:val="00426C26"/>
    <w:rsid w:val="00432289"/>
    <w:rsid w:val="00433897"/>
    <w:rsid w:val="004340EF"/>
    <w:rsid w:val="00434610"/>
    <w:rsid w:val="004376B4"/>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947"/>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807"/>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19C"/>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0537E"/>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55"/>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57964"/>
    <w:rsid w:val="008618BB"/>
    <w:rsid w:val="00862A98"/>
    <w:rsid w:val="008676A6"/>
    <w:rsid w:val="00872410"/>
    <w:rsid w:val="008748F2"/>
    <w:rsid w:val="00876232"/>
    <w:rsid w:val="008762B8"/>
    <w:rsid w:val="00876FE2"/>
    <w:rsid w:val="00877396"/>
    <w:rsid w:val="00883AD3"/>
    <w:rsid w:val="00883EDC"/>
    <w:rsid w:val="0088563D"/>
    <w:rsid w:val="00886211"/>
    <w:rsid w:val="00886FD6"/>
    <w:rsid w:val="00890751"/>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1F77"/>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97F"/>
    <w:rsid w:val="00993F06"/>
    <w:rsid w:val="00993F59"/>
    <w:rsid w:val="00996AFB"/>
    <w:rsid w:val="00997D31"/>
    <w:rsid w:val="009A2D6C"/>
    <w:rsid w:val="009A37B8"/>
    <w:rsid w:val="009A3A3E"/>
    <w:rsid w:val="009A5C7D"/>
    <w:rsid w:val="009A7439"/>
    <w:rsid w:val="009B0179"/>
    <w:rsid w:val="009B05E9"/>
    <w:rsid w:val="009B0699"/>
    <w:rsid w:val="009B195D"/>
    <w:rsid w:val="009B2FD4"/>
    <w:rsid w:val="009B444E"/>
    <w:rsid w:val="009B4905"/>
    <w:rsid w:val="009B4E98"/>
    <w:rsid w:val="009B6239"/>
    <w:rsid w:val="009B62D2"/>
    <w:rsid w:val="009B6FA5"/>
    <w:rsid w:val="009B77E7"/>
    <w:rsid w:val="009B7A66"/>
    <w:rsid w:val="009C090F"/>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A01A43"/>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E6D"/>
    <w:rsid w:val="00AB2F4B"/>
    <w:rsid w:val="00AB40E4"/>
    <w:rsid w:val="00AB5D04"/>
    <w:rsid w:val="00AC0BE9"/>
    <w:rsid w:val="00AC54FE"/>
    <w:rsid w:val="00AC58F7"/>
    <w:rsid w:val="00AD27B9"/>
    <w:rsid w:val="00AD3FE4"/>
    <w:rsid w:val="00AD4BEE"/>
    <w:rsid w:val="00AD6167"/>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139E"/>
    <w:rsid w:val="00AF3EB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0B26"/>
    <w:rsid w:val="00B21912"/>
    <w:rsid w:val="00B27283"/>
    <w:rsid w:val="00B279AE"/>
    <w:rsid w:val="00B32B90"/>
    <w:rsid w:val="00B3302D"/>
    <w:rsid w:val="00B348EF"/>
    <w:rsid w:val="00B36F46"/>
    <w:rsid w:val="00B410F0"/>
    <w:rsid w:val="00B42567"/>
    <w:rsid w:val="00B43C31"/>
    <w:rsid w:val="00B44178"/>
    <w:rsid w:val="00B45C68"/>
    <w:rsid w:val="00B46B20"/>
    <w:rsid w:val="00B47A35"/>
    <w:rsid w:val="00B52073"/>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C6E78"/>
    <w:rsid w:val="00BD2863"/>
    <w:rsid w:val="00BD3700"/>
    <w:rsid w:val="00BD3929"/>
    <w:rsid w:val="00BE0E22"/>
    <w:rsid w:val="00BE3837"/>
    <w:rsid w:val="00BE6C68"/>
    <w:rsid w:val="00BE7661"/>
    <w:rsid w:val="00BE7810"/>
    <w:rsid w:val="00BF09D0"/>
    <w:rsid w:val="00BF1BB5"/>
    <w:rsid w:val="00BF467C"/>
    <w:rsid w:val="00BF711A"/>
    <w:rsid w:val="00C005D8"/>
    <w:rsid w:val="00C01DA0"/>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73F2"/>
    <w:rsid w:val="00C37CA7"/>
    <w:rsid w:val="00C37FC1"/>
    <w:rsid w:val="00C403CE"/>
    <w:rsid w:val="00C434B8"/>
    <w:rsid w:val="00C43C52"/>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FD7"/>
    <w:rsid w:val="00D0044C"/>
    <w:rsid w:val="00D01CA9"/>
    <w:rsid w:val="00D16067"/>
    <w:rsid w:val="00D16880"/>
    <w:rsid w:val="00D174BC"/>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227"/>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078D"/>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4D27"/>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6DC8"/>
    <w:rsid w:val="00F074B1"/>
    <w:rsid w:val="00F141C0"/>
    <w:rsid w:val="00F14FA7"/>
    <w:rsid w:val="00F224C7"/>
    <w:rsid w:val="00F2404C"/>
    <w:rsid w:val="00F24598"/>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11C"/>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0621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6211C"/>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182" TargetMode="External"/><Relationship Id="rId21" Type="http://schemas.openxmlformats.org/officeDocument/2006/relationships/hyperlink" Target="https://portal.e-lfh.org.uk/Component/Details/432415" TargetMode="External"/><Relationship Id="rId42" Type="http://schemas.openxmlformats.org/officeDocument/2006/relationships/hyperlink" Target="https://www.crediblemeds.org/" TargetMode="External"/><Relationship Id="rId47" Type="http://schemas.openxmlformats.org/officeDocument/2006/relationships/hyperlink" Target="https://www.nhs.uk/conditions/phenylketonuria/" TargetMode="External"/><Relationship Id="rId63" Type="http://schemas.openxmlformats.org/officeDocument/2006/relationships/hyperlink" Target="https://www.crediblemeds.org/" TargetMode="External"/><Relationship Id="rId68" Type="http://schemas.openxmlformats.org/officeDocument/2006/relationships/hyperlink" Target="https://www.pharmaceuticalpress.com/bnf-and-bnfc/" TargetMode="External"/><Relationship Id="rId84" Type="http://schemas.openxmlformats.org/officeDocument/2006/relationships/hyperlink" Target="https://cks.nice.org.uk/topics/cellulitis-acute/" TargetMode="External"/><Relationship Id="rId89" Type="http://schemas.openxmlformats.org/officeDocument/2006/relationships/header" Target="header3.xml"/><Relationship Id="rId16" Type="http://schemas.openxmlformats.org/officeDocument/2006/relationships/hyperlink" Target="https://cks.nice.org.uk/topics/insect-bites-stings/" TargetMode="External"/><Relationship Id="rId11" Type="http://schemas.openxmlformats.org/officeDocument/2006/relationships/hyperlink" Target="https://www.sps.nhs.uk/home/guidance/patient-group-directions-and-legal-mechanisms/national-pgd-protocol-and-written-instructions-templates/" TargetMode="External"/><Relationship Id="rId32" Type="http://schemas.openxmlformats.org/officeDocument/2006/relationships/hyperlink" Target="https://www.medicines.org.uk/emc" TargetMode="External"/><Relationship Id="rId37" Type="http://schemas.openxmlformats.org/officeDocument/2006/relationships/hyperlink" Target="https://cks.nice.org.uk/topics/urticaria/" TargetMode="External"/><Relationship Id="rId53" Type="http://schemas.openxmlformats.org/officeDocument/2006/relationships/hyperlink" Target="https://elearning.rcgp.org.uk/mod/book/view.php?id=12647&amp;chapterid=440" TargetMode="External"/><Relationship Id="rId58" Type="http://schemas.openxmlformats.org/officeDocument/2006/relationships/hyperlink" Target="https://elearning.rcgp.org.uk/mod/book/view.php?id=12647&amp;chapterid=440" TargetMode="External"/><Relationship Id="rId74" Type="http://schemas.openxmlformats.org/officeDocument/2006/relationships/hyperlink" Target="https://elearning.rcgp.org.uk/mod/book/view.php?id=13511&amp;chapterid=784" TargetMode="External"/><Relationship Id="rId79" Type="http://schemas.openxmlformats.org/officeDocument/2006/relationships/hyperlink" Target="https://bnf.nice.org.uk/"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2" Type="http://schemas.openxmlformats.org/officeDocument/2006/relationships/hyperlink" Target="https://sepsistrust.org/professional-resources/sepsis-e-learning/" TargetMode="External"/><Relationship Id="rId27" Type="http://schemas.openxmlformats.org/officeDocument/2006/relationships/hyperlink" Target="https://cks.nice.org.uk/topics/insect-bites-stings/" TargetMode="External"/><Relationship Id="rId30" Type="http://schemas.openxmlformats.org/officeDocument/2006/relationships/hyperlink" Target="https://www.medicines.org.uk/emc" TargetMode="External"/><Relationship Id="rId35" Type="http://schemas.openxmlformats.org/officeDocument/2006/relationships/hyperlink" Target="https://www.nhs.uk/conditions/insect-bites-and-stings/treatment/" TargetMode="External"/><Relationship Id="rId43" Type="http://schemas.openxmlformats.org/officeDocument/2006/relationships/hyperlink" Target="https://www.sads.org.uk/drugs-to-avoid/?doing_wp_cron=1676975888.9472379684448242187500" TargetMode="External"/><Relationship Id="rId48" Type="http://schemas.openxmlformats.org/officeDocument/2006/relationships/hyperlink" Target="https://www.medicines.org.uk/emc" TargetMode="External"/><Relationship Id="rId56" Type="http://schemas.openxmlformats.org/officeDocument/2006/relationships/hyperlink" Target="https://www.nice.org.uk/guidance/cg134" TargetMode="External"/><Relationship Id="rId64" Type="http://schemas.openxmlformats.org/officeDocument/2006/relationships/hyperlink" Target="https://www.sads.org.uk/drugs-to-avoid/?doing_wp_cron=1676975888.9472379684448242187500" TargetMode="External"/><Relationship Id="rId69" Type="http://schemas.openxmlformats.org/officeDocument/2006/relationships/hyperlink" Target="https://www.medicines.org.uk/emc" TargetMode="External"/><Relationship Id="rId77" Type="http://schemas.openxmlformats.org/officeDocument/2006/relationships/hyperlink" Target="https://transform.england.nhs.uk/information-governance/guidance/records-management-code/" TargetMode="External"/><Relationship Id="rId8" Type="http://schemas.openxmlformats.org/officeDocument/2006/relationships/hyperlink" Target="https://www.nice.org.uk/guidance/mpg2/chapter/Recommendations" TargetMode="External"/><Relationship Id="rId51" Type="http://schemas.openxmlformats.org/officeDocument/2006/relationships/hyperlink" Target="https://assets.publishing.service.gov.uk/government/uploads/system/uploads/attachment_data/file/1148613/Tick-awareness-A5-leaflet-April-2023.pdf" TargetMode="External"/><Relationship Id="rId72" Type="http://schemas.openxmlformats.org/officeDocument/2006/relationships/hyperlink" Target="https://yellowcard.mhra.gov.uk/" TargetMode="External"/><Relationship Id="rId80" Type="http://schemas.openxmlformats.org/officeDocument/2006/relationships/hyperlink" Target="https://assets.publishing.service.gov.uk/government/uploads/system/uploads/attachment_data/file/138296/dh_103653__1_.pdf" TargetMode="External"/><Relationship Id="rId85" Type="http://schemas.openxmlformats.org/officeDocument/2006/relationships/hyperlink" Target="https://elearning.rcgp.org.uk/mod/book/view.php?id=12647&amp;chapterid=440" TargetMode="External"/><Relationship Id="rId3" Type="http://schemas.openxmlformats.org/officeDocument/2006/relationships/styles" Target="styles.xml"/><Relationship Id="rId12" Type="http://schemas.openxmlformats.org/officeDocument/2006/relationships/hyperlink" Target="https://www.nice.org.uk/Guidance/MPG2" TargetMode="External"/><Relationship Id="rId17" Type="http://schemas.openxmlformats.org/officeDocument/2006/relationships/hyperlink" Target="https://www.cliniskills.com/" TargetMode="External"/><Relationship Id="rId25" Type="http://schemas.openxmlformats.org/officeDocument/2006/relationships/hyperlink" Target="https://cks.nice.org.uk/topics/insect-bites-stings/" TargetMode="External"/><Relationship Id="rId33" Type="http://schemas.openxmlformats.org/officeDocument/2006/relationships/hyperlink" Target="https://www.medicines.org.uk/emc" TargetMode="External"/><Relationship Id="rId38" Type="http://schemas.openxmlformats.org/officeDocument/2006/relationships/hyperlink" Target="https://cks.nice.org.uk/topics/corticosteroids-topical-skin-nose-eyes/" TargetMode="External"/><Relationship Id="rId46" Type="http://schemas.openxmlformats.org/officeDocument/2006/relationships/hyperlink" Target="https://www.medicines.org.uk/emc" TargetMode="External"/><Relationship Id="rId59" Type="http://schemas.openxmlformats.org/officeDocument/2006/relationships/hyperlink" Target="https://www.nhs.uk/conditions/insect-bites-and-stings/" TargetMode="External"/><Relationship Id="rId67" Type="http://schemas.openxmlformats.org/officeDocument/2006/relationships/hyperlink" Target="https://www.medicines.org.uk/emc" TargetMode="External"/><Relationship Id="rId20" Type="http://schemas.openxmlformats.org/officeDocument/2006/relationships/hyperlink" Target="https://www.cppe.ac.uk/gateway/sepsis" TargetMode="External"/><Relationship Id="rId41" Type="http://schemas.openxmlformats.org/officeDocument/2006/relationships/hyperlink" Target="https://www.nhs.uk/conditions/sepsis/" TargetMode="External"/><Relationship Id="rId54" Type="http://schemas.openxmlformats.org/officeDocument/2006/relationships/hyperlink" Target="https://www.nhs.uk/conditions/insect-bites-and-stings/treatment/" TargetMode="External"/><Relationship Id="rId62" Type="http://schemas.openxmlformats.org/officeDocument/2006/relationships/hyperlink" Target="https://www.medicines.org.uk/emc" TargetMode="External"/><Relationship Id="rId70" Type="http://schemas.openxmlformats.org/officeDocument/2006/relationships/hyperlink" Target="https://bnf.nice.org.uk/" TargetMode="External"/><Relationship Id="rId75" Type="http://schemas.openxmlformats.org/officeDocument/2006/relationships/hyperlink" Target="https://www.medicines.org.uk/emc/" TargetMode="External"/><Relationship Id="rId83" Type="http://schemas.openxmlformats.org/officeDocument/2006/relationships/hyperlink" Target="https://cks.nice.org.uk/topics/insect-bites-stings/"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ppe.ac.uk/programmes/l/dermatology-e-01" TargetMode="External"/><Relationship Id="rId23" Type="http://schemas.openxmlformats.org/officeDocument/2006/relationships/hyperlink" Target="https://www.e-lfh.org.uk/programmes/patient-group-directions/" TargetMode="External"/><Relationship Id="rId28" Type="http://schemas.openxmlformats.org/officeDocument/2006/relationships/hyperlink" Target="https://www.nice.org.uk/guidance/ng182" TargetMode="External"/><Relationship Id="rId36" Type="http://schemas.openxmlformats.org/officeDocument/2006/relationships/hyperlink" Target="https://cks.nice.org.uk/topics/analgesia-mild-to-moderate-pain/" TargetMode="External"/><Relationship Id="rId49" Type="http://schemas.openxmlformats.org/officeDocument/2006/relationships/hyperlink" Target="https://elearning.rcgp.org.uk/mod/book/view.php?id=12647&amp;chapterid=440" TargetMode="External"/><Relationship Id="rId57" Type="http://schemas.openxmlformats.org/officeDocument/2006/relationships/hyperlink" Target="https://www.nice.org.uk/guidance/cg134" TargetMode="External"/><Relationship Id="rId10" Type="http://schemas.openxmlformats.org/officeDocument/2006/relationships/hyperlink" Target="https://cks.nice.org.uk/topics/insect-bites-stings/background-information/definition/" TargetMode="External"/><Relationship Id="rId31" Type="http://schemas.openxmlformats.org/officeDocument/2006/relationships/hyperlink" Target="https://assets.publishing.service.gov.uk/government/uploads/system/uploads/attachment_data/file/1012943/Green_book_of_immunisation_28a_Shingles.pdf" TargetMode="External"/><Relationship Id="rId44" Type="http://schemas.openxmlformats.org/officeDocument/2006/relationships/hyperlink" Target="https://www.medicines.org.uk/emc" TargetMode="External"/><Relationship Id="rId52" Type="http://schemas.openxmlformats.org/officeDocument/2006/relationships/hyperlink" Target="https://www.anaphylaxis.org.uk/fact-sheet/insect-sting-allergy-the-facts/" TargetMode="External"/><Relationship Id="rId60" Type="http://schemas.openxmlformats.org/officeDocument/2006/relationships/hyperlink" Target="https://assets.publishing.service.gov.uk/government/uploads/system/uploads/attachment_data/file/1148613/Tick-awareness-A5-leaflet-April-2023.pdf" TargetMode="External"/><Relationship Id="rId65" Type="http://schemas.openxmlformats.org/officeDocument/2006/relationships/hyperlink" Target="https://www.mayocliniclabs.com/en/-/media/it-mmfiles/Special%20Instructions/B/7/4/Pharmacogenomic_Associations_Tables" TargetMode="External"/><Relationship Id="rId73" Type="http://schemas.openxmlformats.org/officeDocument/2006/relationships/hyperlink" Target="https://elearning.rcgp.org.uk/mod/book/view.php?id=12647&amp;chapterid=440" TargetMode="External"/><Relationship Id="rId78" Type="http://schemas.openxmlformats.org/officeDocument/2006/relationships/hyperlink" Target="https://www.medicines.org.uk/emc" TargetMode="External"/><Relationship Id="rId81" Type="http://schemas.openxmlformats.org/officeDocument/2006/relationships/hyperlink" Target="https://www.nice.org.uk/guidance/mpg2"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ng182/resources/insect-bites-and-stings-antimicrobial-prescribing-pdf-66142018322629" TargetMode="External"/><Relationship Id="rId13" Type="http://schemas.openxmlformats.org/officeDocument/2006/relationships/hyperlink" Target="https://www.nice.org.uk/guidance/mpg2/chapter/Recommendations" TargetMode="External"/><Relationship Id="rId18" Type="http://schemas.openxmlformats.org/officeDocument/2006/relationships/hyperlink" Target="https://www.cliniskills.com/community-pharmacists/" TargetMode="External"/><Relationship Id="rId39" Type="http://schemas.openxmlformats.org/officeDocument/2006/relationships/hyperlink" Target="https://www.nhs.uk/conditions/lyme-disease/" TargetMode="External"/><Relationship Id="rId34" Type="http://schemas.openxmlformats.org/officeDocument/2006/relationships/hyperlink" Target="https://www.cuh.nhs.uk/patient-information/ketogenic-dietary-therapy-kdt-for-children-who-are-eating-orally-and-their-carers/" TargetMode="External"/><Relationship Id="rId50" Type="http://schemas.openxmlformats.org/officeDocument/2006/relationships/hyperlink" Target="https://www.nhs.uk/conditions/insect-bites-and-stings/" TargetMode="External"/><Relationship Id="rId55" Type="http://schemas.openxmlformats.org/officeDocument/2006/relationships/hyperlink" Target="https://www.nhs.uk/conditions/lyme-disease/" TargetMode="External"/><Relationship Id="rId76" Type="http://schemas.openxmlformats.org/officeDocument/2006/relationships/hyperlink" Target="https://www.nhs.uk/conditions/sepsis/" TargetMode="External"/><Relationship Id="rId7" Type="http://schemas.openxmlformats.org/officeDocument/2006/relationships/endnotes" Target="endnotes.xml"/><Relationship Id="rId71" Type="http://schemas.openxmlformats.org/officeDocument/2006/relationships/hyperlink" Target="https://www.nhs.uk/health-a-to-z/conditions/" TargetMode="External"/><Relationship Id="rId2" Type="http://schemas.openxmlformats.org/officeDocument/2006/relationships/numbering" Target="numbering.xml"/><Relationship Id="rId29" Type="http://schemas.openxmlformats.org/officeDocument/2006/relationships/hyperlink" Target="https://cks.nice.org.uk/topics/insect-bites-stings/" TargetMode="External"/><Relationship Id="rId24" Type="http://schemas.openxmlformats.org/officeDocument/2006/relationships/hyperlink" Target="https://www.nice.org.uk/guidance/mpg2/resources" TargetMode="External"/><Relationship Id="rId40" Type="http://schemas.openxmlformats.org/officeDocument/2006/relationships/hyperlink" Target="https://www.nhs.uk/conditions/lyme-disease/" TargetMode="External"/><Relationship Id="rId45" Type="http://schemas.openxmlformats.org/officeDocument/2006/relationships/hyperlink" Target="https://www.ncbi.nlm.nih.gov/books/NBK547852/" TargetMode="External"/><Relationship Id="rId66" Type="http://schemas.openxmlformats.org/officeDocument/2006/relationships/hyperlink" Target="https://www.gov.uk/drug-safety-update/erythromycin-caution-required-due-to-cardiac-risks-qt-interval-prolongation-drug-interaction-with-rivaroxaban" TargetMode="External"/><Relationship Id="rId87" Type="http://schemas.openxmlformats.org/officeDocument/2006/relationships/header" Target="header2.xml"/><Relationship Id="rId61" Type="http://schemas.openxmlformats.org/officeDocument/2006/relationships/hyperlink" Target="https://www.anaphylaxis.org.uk/fact-sheet/insect-sting-allergy-the-facts/" TargetMode="External"/><Relationship Id="rId82" Type="http://schemas.openxmlformats.org/officeDocument/2006/relationships/hyperlink" Target="https://www.nice.org.uk/guidance/ng141" TargetMode="External"/><Relationship Id="rId19" Type="http://schemas.openxmlformats.org/officeDocument/2006/relationships/hyperlink" Target="https://www.medicines.org.uk/e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BBB57-14B8-4E48-B713-64BC8ADC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6967</Words>
  <Characters>39715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46589</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2026-04-01T08:24:00Z</dcterms:created>
  <dcterms:modified xsi:type="dcterms:W3CDTF">2026-06-04T16:14:00Z</dcterms:modified>
</cp:coreProperties>
</file>