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7067CC42" w:rsidR="001D4AB6" w:rsidRDefault="00E46E97" w:rsidP="00AA5A30">
      <w:pPr>
        <w:pStyle w:val="PGDlogo"/>
        <w:rPr>
          <w:highlight w:val="cyan"/>
        </w:rPr>
      </w:pPr>
      <w:r w:rsidRPr="7D0C53AE">
        <w:rPr>
          <w:highlight w:val="cyan"/>
        </w:rPr>
        <w:t>[</w:t>
      </w:r>
      <w:r w:rsidR="007A1448" w:rsidRPr="7D0C53AE">
        <w:rPr>
          <w:highlight w:val="cyan"/>
        </w:rPr>
        <w:t xml:space="preserve">Insert </w:t>
      </w:r>
      <w:r w:rsidR="002E0743" w:rsidRPr="7D0C53AE">
        <w:rPr>
          <w:highlight w:val="cyan"/>
        </w:rPr>
        <w:t xml:space="preserve">the </w:t>
      </w:r>
      <w:r w:rsidR="007A1448" w:rsidRPr="7D0C53AE">
        <w:rPr>
          <w:highlight w:val="cyan"/>
        </w:rPr>
        <w:t>logo of</w:t>
      </w:r>
      <w:r w:rsidR="002E0743" w:rsidRPr="7D0C53AE">
        <w:rPr>
          <w:highlight w:val="cyan"/>
        </w:rPr>
        <w:t xml:space="preserve"> the</w:t>
      </w:r>
      <w:r w:rsidR="001D4AB6" w:rsidRPr="7D0C53AE">
        <w:rPr>
          <w:highlight w:val="cyan"/>
        </w:rPr>
        <w:t xml:space="preserve"> authorising body here</w:t>
      </w:r>
      <w:r w:rsidR="3EF30CA7" w:rsidRPr="7D0C53AE">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35D0E750" w:rsidR="00AB5250" w:rsidRDefault="00AB5250" w:rsidP="006529F3">
      <w:pPr>
        <w:pStyle w:val="PGDTitle2"/>
      </w:pPr>
      <w:r w:rsidRPr="00AB5250">
        <w:t xml:space="preserve">Supply </w:t>
      </w:r>
      <w:r w:rsidR="003F15B0" w:rsidRPr="003F15B0">
        <w:rPr>
          <w:bCs/>
        </w:rPr>
        <w:t>of a combined oral hormonal contraceptive (COC)</w:t>
      </w:r>
      <w:r w:rsidR="00FB3672">
        <w:rPr>
          <w:bCs/>
        </w:rPr>
        <w:t xml:space="preserve"> </w:t>
      </w:r>
      <w:r w:rsidR="005C6771" w:rsidRPr="00DF77C7">
        <w:t xml:space="preserve">in </w:t>
      </w:r>
    </w:p>
    <w:p w14:paraId="4799BFF7" w14:textId="1CC52575" w:rsidR="007A1448" w:rsidRPr="00DF77C7" w:rsidRDefault="00E46E97" w:rsidP="006529F3">
      <w:pPr>
        <w:pStyle w:val="PGDTitle2"/>
      </w:pPr>
      <w:r w:rsidRPr="008E7EB4">
        <w:rPr>
          <w:highlight w:val="cyan"/>
        </w:rPr>
        <w:t>[</w:t>
      </w:r>
      <w:r w:rsidR="005C6771" w:rsidRPr="008E7EB4">
        <w:rPr>
          <w:highlight w:val="cyan"/>
        </w:rPr>
        <w:t>location</w:t>
      </w:r>
      <w:r w:rsidR="005C6771" w:rsidRPr="00DF77C7">
        <w:rPr>
          <w:highlight w:val="cyan"/>
        </w:rPr>
        <w:t>/service/organisation</w:t>
      </w:r>
      <w:r w:rsidRPr="008E7EB4">
        <w:rPr>
          <w:highlight w:val="cyan"/>
        </w:rPr>
        <w:t>]</w:t>
      </w:r>
    </w:p>
    <w:p w14:paraId="446CEE0D" w14:textId="77777777" w:rsidR="006529F3" w:rsidRPr="00DF77C7" w:rsidRDefault="006529F3" w:rsidP="004C1FDF">
      <w:pPr>
        <w:pStyle w:val="PGDNormal"/>
      </w:pPr>
    </w:p>
    <w:p w14:paraId="70665420" w14:textId="0CE40623" w:rsidR="00813399" w:rsidRPr="00187B60" w:rsidRDefault="00813399" w:rsidP="6D8B1CA6">
      <w:pPr>
        <w:jc w:val="center"/>
        <w:rPr>
          <w:rStyle w:val="PGDVersionNumber"/>
          <w:color w:val="FF0000"/>
          <w:kern w:val="0"/>
          <w:lang w:val="en-US"/>
          <w14:ligatures w14:val="none"/>
        </w:rPr>
      </w:pPr>
      <w:r w:rsidRPr="4D59EADA">
        <w:rPr>
          <w:rStyle w:val="PGDVersionNumber"/>
        </w:rPr>
        <w:t>Version Number</w:t>
      </w:r>
      <w:r w:rsidRPr="4D59EADA">
        <w:rPr>
          <w:rStyle w:val="PGDVersionNumber"/>
          <w:color w:val="FF0000"/>
        </w:rPr>
        <w:t xml:space="preserve"> </w:t>
      </w:r>
      <w:r w:rsidR="005C38B5" w:rsidRPr="00295A52">
        <w:rPr>
          <w:rStyle w:val="PGDVersionNumber"/>
          <w:color w:val="000000" w:themeColor="text1"/>
        </w:rPr>
        <w:t>3.</w:t>
      </w:r>
      <w:r w:rsidR="00F14FB8" w:rsidRPr="00295A52">
        <w:rPr>
          <w:rStyle w:val="PGDVersionNumber"/>
          <w:color w:val="000000" w:themeColor="text1"/>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4B9C1818">
        <w:trPr>
          <w:trHeight w:val="442"/>
          <w:tblHeader/>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6D8B1CA6">
            <w:pPr>
              <w:pStyle w:val="TableHeaderRow"/>
              <w:rPr>
                <w:rStyle w:val="TableHeaderColumn"/>
                <w:b/>
                <w:bCs/>
                <w:sz w:val="22"/>
                <w:szCs w:val="22"/>
              </w:rPr>
            </w:pPr>
            <w:r w:rsidRPr="6D8B1CA6">
              <w:rPr>
                <w:rStyle w:val="TableHeaderColumn"/>
                <w:b/>
                <w:bCs/>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Pr="006A3850" w:rsidRDefault="00E15FB4" w:rsidP="00846490">
            <w:pPr>
              <w:pStyle w:val="TableHeaderRow"/>
              <w:spacing w:after="0" w:line="240" w:lineRule="auto"/>
              <w:rPr>
                <w:b w:val="0"/>
                <w:bCs w:val="0"/>
                <w:sz w:val="22"/>
                <w:szCs w:val="22"/>
              </w:rPr>
            </w:pPr>
            <w:r w:rsidRPr="6D8B1CA6">
              <w:rPr>
                <w:b w:val="0"/>
                <w:bCs w:val="0"/>
                <w:sz w:val="22"/>
                <w:szCs w:val="22"/>
              </w:rPr>
              <w:t>Version 1</w:t>
            </w:r>
          </w:p>
          <w:p w14:paraId="564FB0F8" w14:textId="185EEF8A" w:rsidR="00E15FB4" w:rsidRPr="006A3850" w:rsidRDefault="003F15B0" w:rsidP="00846490">
            <w:pPr>
              <w:pStyle w:val="TableHeaderRow"/>
              <w:spacing w:after="0" w:line="240" w:lineRule="auto"/>
              <w:rPr>
                <w:b w:val="0"/>
                <w:bCs w:val="0"/>
                <w:sz w:val="22"/>
                <w:szCs w:val="22"/>
              </w:rPr>
            </w:pPr>
            <w:r w:rsidRPr="6D8B1CA6">
              <w:rPr>
                <w:b w:val="0"/>
                <w:bCs w:val="0"/>
                <w:sz w:val="22"/>
                <w:szCs w:val="22"/>
              </w:rPr>
              <w:t>April</w:t>
            </w:r>
            <w:r w:rsidR="00AB5250" w:rsidRPr="6D8B1CA6">
              <w:rPr>
                <w:b w:val="0"/>
                <w:bCs w:val="0"/>
                <w:sz w:val="22"/>
                <w:szCs w:val="22"/>
              </w:rPr>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846490">
            <w:pPr>
              <w:pStyle w:val="Tabletext"/>
              <w:spacing w:after="0"/>
              <w:rPr>
                <w:lang w:val="en-GB"/>
              </w:rPr>
            </w:pPr>
            <w:r w:rsidRPr="00D1051E">
              <w:t>New template</w:t>
            </w:r>
          </w:p>
        </w:tc>
      </w:tr>
      <w:tr w:rsidR="003F15B0" w:rsidRPr="00DF77C7" w14:paraId="608E9454"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1C9CDFC3" w14:textId="77777777" w:rsidR="00846490" w:rsidRDefault="00846490" w:rsidP="00846490">
            <w:pPr>
              <w:pStyle w:val="TableHeaderRow"/>
              <w:spacing w:after="0" w:line="240" w:lineRule="auto"/>
              <w:rPr>
                <w:b w:val="0"/>
                <w:bCs w:val="0"/>
                <w:sz w:val="22"/>
                <w:szCs w:val="22"/>
              </w:rPr>
            </w:pPr>
          </w:p>
          <w:p w14:paraId="04BE3836" w14:textId="36F2D331" w:rsidR="003F15B0" w:rsidRPr="006A3850" w:rsidRDefault="003F15B0" w:rsidP="00846490">
            <w:pPr>
              <w:pStyle w:val="TableHeaderRow"/>
              <w:spacing w:after="0" w:line="240" w:lineRule="auto"/>
              <w:rPr>
                <w:b w:val="0"/>
                <w:bCs w:val="0"/>
                <w:sz w:val="22"/>
                <w:szCs w:val="22"/>
              </w:rPr>
            </w:pPr>
            <w:r w:rsidRPr="6D8B1CA6">
              <w:rPr>
                <w:b w:val="0"/>
                <w:bCs w:val="0"/>
                <w:sz w:val="22"/>
                <w:szCs w:val="22"/>
              </w:rPr>
              <w:t>Version 1.1</w:t>
            </w:r>
          </w:p>
          <w:p w14:paraId="706980D9" w14:textId="107F10D0" w:rsidR="003F15B0" w:rsidRPr="006A3850" w:rsidRDefault="003F15B0" w:rsidP="00846490">
            <w:pPr>
              <w:pStyle w:val="TableHeaderRow"/>
              <w:spacing w:after="0" w:line="240" w:lineRule="auto"/>
              <w:rPr>
                <w:b w:val="0"/>
                <w:bCs w:val="0"/>
                <w:sz w:val="22"/>
                <w:szCs w:val="22"/>
              </w:rPr>
            </w:pPr>
            <w:r w:rsidRPr="6D8B1CA6">
              <w:rPr>
                <w:b w:val="0"/>
                <w:bCs w:val="0"/>
                <w:sz w:val="22"/>
                <w:szCs w:val="22"/>
              </w:rPr>
              <w:t>November 2020</w:t>
            </w:r>
          </w:p>
        </w:tc>
        <w:tc>
          <w:tcPr>
            <w:tcW w:w="6806"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846490">
            <w:pPr>
              <w:pStyle w:val="Tabletext"/>
              <w:spacing w:after="0"/>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00084D8E" w:rsidRPr="003F15B0">
              <w:t>cautions</w:t>
            </w:r>
            <w:r w:rsidRPr="003F15B0">
              <w:t xml:space="preserve"> section</w:t>
            </w:r>
            <w:proofErr w:type="gramEnd"/>
            <w:r w:rsidRPr="003F15B0">
              <w:t xml:space="preserve"> relating to individuals for whom pregnancy presents an unacceptable risk and those on a pregnancy prevention plan.</w:t>
            </w:r>
          </w:p>
          <w:p w14:paraId="1A80F6F3" w14:textId="641F39AB" w:rsidR="003F15B0" w:rsidRPr="003F15B0" w:rsidRDefault="003F15B0" w:rsidP="00846490">
            <w:pPr>
              <w:pStyle w:val="Tabletext"/>
              <w:spacing w:after="0"/>
            </w:pPr>
            <w:r w:rsidRPr="003F15B0">
              <w:t xml:space="preserve">Acute porphyria </w:t>
            </w:r>
            <w:proofErr w:type="gramStart"/>
            <w:r w:rsidRPr="003F15B0">
              <w:t>added</w:t>
            </w:r>
            <w:proofErr w:type="gramEnd"/>
            <w:r w:rsidRPr="003F15B0">
              <w:t xml:space="preserve"> to exclusion criteria.  </w:t>
            </w:r>
          </w:p>
        </w:tc>
      </w:tr>
      <w:tr w:rsidR="003F15B0" w:rsidRPr="00404E02" w14:paraId="206313DF"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B690540" w14:textId="77777777" w:rsidR="00846490" w:rsidRDefault="00846490" w:rsidP="00846490">
            <w:pPr>
              <w:pStyle w:val="TableHeaderRow"/>
              <w:spacing w:after="0" w:line="240" w:lineRule="auto"/>
              <w:rPr>
                <w:b w:val="0"/>
                <w:bCs w:val="0"/>
                <w:sz w:val="22"/>
                <w:szCs w:val="22"/>
              </w:rPr>
            </w:pPr>
          </w:p>
          <w:p w14:paraId="50B59F8E" w14:textId="4940F0F7" w:rsidR="003F15B0" w:rsidRPr="006A3850" w:rsidRDefault="003F15B0" w:rsidP="00846490">
            <w:pPr>
              <w:pStyle w:val="TableHeaderRow"/>
              <w:spacing w:after="0" w:line="240" w:lineRule="auto"/>
              <w:rPr>
                <w:b w:val="0"/>
                <w:bCs w:val="0"/>
                <w:sz w:val="22"/>
                <w:szCs w:val="22"/>
              </w:rPr>
            </w:pPr>
            <w:r w:rsidRPr="6D8B1CA6">
              <w:rPr>
                <w:b w:val="0"/>
                <w:bCs w:val="0"/>
                <w:sz w:val="22"/>
                <w:szCs w:val="22"/>
              </w:rPr>
              <w:t>Version 1.2</w:t>
            </w:r>
          </w:p>
          <w:p w14:paraId="6A6235FE" w14:textId="62B6DA28" w:rsidR="003F15B0" w:rsidRPr="006A3850" w:rsidRDefault="003F15B0" w:rsidP="00846490">
            <w:pPr>
              <w:pStyle w:val="TableHeaderRow"/>
              <w:spacing w:after="0" w:line="240" w:lineRule="auto"/>
              <w:rPr>
                <w:b w:val="0"/>
                <w:bCs w:val="0"/>
                <w:sz w:val="22"/>
                <w:szCs w:val="22"/>
              </w:rPr>
            </w:pPr>
            <w:r w:rsidRPr="6D8B1CA6">
              <w:rPr>
                <w:b w:val="0"/>
                <w:bCs w:val="0"/>
                <w:sz w:val="22"/>
                <w:szCs w:val="22"/>
              </w:rPr>
              <w:t>March 2022</w:t>
            </w:r>
          </w:p>
        </w:tc>
        <w:tc>
          <w:tcPr>
            <w:tcW w:w="6806" w:type="dxa"/>
            <w:tcBorders>
              <w:top w:val="single" w:sz="4" w:space="0" w:color="auto"/>
              <w:left w:val="single" w:sz="4" w:space="0" w:color="auto"/>
              <w:bottom w:val="single" w:sz="4" w:space="0" w:color="auto"/>
              <w:right w:val="single" w:sz="4" w:space="0" w:color="auto"/>
            </w:tcBorders>
          </w:tcPr>
          <w:p w14:paraId="68B6B46F" w14:textId="77777777" w:rsidR="003F15B0" w:rsidRPr="003F15B0" w:rsidRDefault="003F15B0" w:rsidP="00846490">
            <w:pPr>
              <w:pStyle w:val="Tabletext"/>
              <w:spacing w:after="0"/>
            </w:pPr>
            <w:r w:rsidRPr="003F15B0">
              <w:t>Addition of vaping/use of e-cigarettes where reference to smoking within PGD.</w:t>
            </w:r>
          </w:p>
          <w:p w14:paraId="4434EDF3" w14:textId="77777777" w:rsidR="003F15B0" w:rsidRPr="003F15B0" w:rsidRDefault="003F15B0" w:rsidP="00846490">
            <w:pPr>
              <w:pStyle w:val="Tabletext"/>
              <w:spacing w:after="0"/>
            </w:pPr>
            <w:r w:rsidRPr="003F15B0">
              <w:t xml:space="preserve">Following exclusion criteria updated from 3-6 weeks to less than 6 </w:t>
            </w:r>
            <w:proofErr w:type="gramStart"/>
            <w:r w:rsidRPr="003F15B0">
              <w:t>weeks: ‘</w:t>
            </w:r>
            <w:proofErr w:type="gramEnd"/>
            <w:r w:rsidRPr="003F15B0">
              <w:t>Not breastfeeding and less than 6 weeks post-partum with other risk factors for venous thromboembolism (VTE).</w:t>
            </w:r>
          </w:p>
          <w:p w14:paraId="54BE377A" w14:textId="3D996522" w:rsidR="003F15B0" w:rsidRPr="003F15B0" w:rsidRDefault="003F15B0" w:rsidP="00846490">
            <w:pPr>
              <w:pStyle w:val="Tabletext"/>
              <w:spacing w:after="0"/>
            </w:pPr>
            <w:r w:rsidRPr="003F15B0">
              <w:t>Clarification of advice for Zoely®</w:t>
            </w:r>
          </w:p>
        </w:tc>
      </w:tr>
      <w:tr w:rsidR="003F15B0" w:rsidRPr="00404E02" w14:paraId="273DDF71"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3BB14A4" w14:textId="77777777" w:rsidR="00846490" w:rsidRDefault="00846490" w:rsidP="00846490">
            <w:pPr>
              <w:pStyle w:val="TableHeaderRow"/>
              <w:spacing w:after="0" w:line="240" w:lineRule="auto"/>
              <w:rPr>
                <w:b w:val="0"/>
                <w:bCs w:val="0"/>
                <w:sz w:val="22"/>
                <w:szCs w:val="22"/>
              </w:rPr>
            </w:pPr>
          </w:p>
          <w:p w14:paraId="46627504" w14:textId="66FB5A10" w:rsidR="003F15B0" w:rsidRPr="006A3850" w:rsidRDefault="003F15B0" w:rsidP="00846490">
            <w:pPr>
              <w:pStyle w:val="TableHeaderRow"/>
              <w:spacing w:after="0" w:line="240" w:lineRule="auto"/>
              <w:rPr>
                <w:b w:val="0"/>
                <w:bCs w:val="0"/>
                <w:sz w:val="22"/>
                <w:szCs w:val="22"/>
              </w:rPr>
            </w:pPr>
            <w:r w:rsidRPr="6D8B1CA6">
              <w:rPr>
                <w:b w:val="0"/>
                <w:bCs w:val="0"/>
                <w:sz w:val="22"/>
                <w:szCs w:val="22"/>
              </w:rPr>
              <w:t>Version 2.0</w:t>
            </w:r>
          </w:p>
          <w:p w14:paraId="2B4ADCF1" w14:textId="4A2FF02C" w:rsidR="003F15B0" w:rsidRPr="006A3850" w:rsidRDefault="003F15B0" w:rsidP="00846490">
            <w:pPr>
              <w:pStyle w:val="TableHeaderRow"/>
              <w:spacing w:after="0" w:line="240" w:lineRule="auto"/>
              <w:rPr>
                <w:b w:val="0"/>
                <w:bCs w:val="0"/>
                <w:sz w:val="22"/>
                <w:szCs w:val="22"/>
              </w:rPr>
            </w:pPr>
            <w:r w:rsidRPr="6D8B1CA6">
              <w:rPr>
                <w:b w:val="0"/>
                <w:bCs w:val="0"/>
                <w:sz w:val="22"/>
                <w:szCs w:val="22"/>
              </w:rPr>
              <w:t>April 2023</w:t>
            </w:r>
          </w:p>
        </w:tc>
        <w:tc>
          <w:tcPr>
            <w:tcW w:w="6806" w:type="dxa"/>
            <w:tcBorders>
              <w:top w:val="single" w:sz="4" w:space="0" w:color="auto"/>
              <w:left w:val="single" w:sz="4" w:space="0" w:color="auto"/>
              <w:bottom w:val="single" w:sz="4" w:space="0" w:color="auto"/>
              <w:right w:val="single" w:sz="4" w:space="0" w:color="auto"/>
            </w:tcBorders>
          </w:tcPr>
          <w:p w14:paraId="06AAFAC7" w14:textId="77777777" w:rsidR="003F15B0" w:rsidRPr="003F15B0" w:rsidRDefault="003F15B0" w:rsidP="00846490">
            <w:pPr>
              <w:pStyle w:val="Tabletext"/>
              <w:spacing w:after="0"/>
            </w:pPr>
            <w:r w:rsidRPr="003F15B0">
              <w:t xml:space="preserve">Updated template – amended references and minor editing and wording changes/clarifications.  </w:t>
            </w:r>
          </w:p>
          <w:p w14:paraId="720AE69C" w14:textId="68635DE9" w:rsidR="003F15B0" w:rsidRPr="003F15B0" w:rsidRDefault="003F15B0" w:rsidP="00846490">
            <w:pPr>
              <w:pStyle w:val="Tabletext"/>
              <w:spacing w:after="0"/>
            </w:pPr>
            <w:r w:rsidRPr="003F15B0">
              <w:t xml:space="preserve">Strengthened detail on use in individuals requiring control of problematic bleeding caused by the subdermal implant, IUS or medroxyprogesterone injection for up to three months.  </w:t>
            </w:r>
          </w:p>
        </w:tc>
      </w:tr>
      <w:tr w:rsidR="003F15B0" w:rsidRPr="00404E02" w14:paraId="388461E4"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39C88306" w14:textId="77777777" w:rsidR="003F15B0" w:rsidRPr="006A3850" w:rsidRDefault="003F15B0" w:rsidP="00846490">
            <w:pPr>
              <w:pStyle w:val="TableHeaderRow"/>
              <w:spacing w:after="0" w:line="240" w:lineRule="auto"/>
              <w:rPr>
                <w:b w:val="0"/>
                <w:bCs w:val="0"/>
                <w:sz w:val="22"/>
                <w:szCs w:val="22"/>
              </w:rPr>
            </w:pPr>
            <w:r w:rsidRPr="6D8B1CA6">
              <w:rPr>
                <w:b w:val="0"/>
                <w:bCs w:val="0"/>
                <w:sz w:val="22"/>
                <w:szCs w:val="22"/>
              </w:rPr>
              <w:lastRenderedPageBreak/>
              <w:t>Version 2.1</w:t>
            </w:r>
          </w:p>
          <w:p w14:paraId="4737E25D" w14:textId="5C573D51" w:rsidR="003F15B0" w:rsidRPr="006A3850" w:rsidRDefault="003F15B0" w:rsidP="00846490">
            <w:pPr>
              <w:pStyle w:val="TableHeaderRow"/>
              <w:spacing w:after="0" w:line="240" w:lineRule="auto"/>
              <w:rPr>
                <w:b w:val="0"/>
                <w:bCs w:val="0"/>
                <w:sz w:val="22"/>
                <w:szCs w:val="22"/>
              </w:rPr>
            </w:pPr>
            <w:r w:rsidRPr="6D8B1CA6">
              <w:rPr>
                <w:b w:val="0"/>
                <w:bCs w:val="0"/>
                <w:sz w:val="22"/>
                <w:szCs w:val="22"/>
              </w:rPr>
              <w:t>April 2023</w:t>
            </w:r>
          </w:p>
        </w:tc>
        <w:tc>
          <w:tcPr>
            <w:tcW w:w="6806" w:type="dxa"/>
            <w:tcBorders>
              <w:top w:val="single" w:sz="4" w:space="0" w:color="auto"/>
              <w:left w:val="single" w:sz="4" w:space="0" w:color="auto"/>
              <w:bottom w:val="single" w:sz="4" w:space="0" w:color="auto"/>
              <w:right w:val="single" w:sz="4" w:space="0" w:color="auto"/>
            </w:tcBorders>
          </w:tcPr>
          <w:p w14:paraId="45F3E426" w14:textId="1709B04E" w:rsidR="003F15B0" w:rsidRPr="003F15B0" w:rsidRDefault="003F15B0" w:rsidP="00846490">
            <w:pPr>
              <w:pStyle w:val="Tabletext"/>
              <w:spacing w:after="0"/>
            </w:pPr>
            <w:r w:rsidRPr="003F15B0">
              <w:t xml:space="preserve">Exclusion added relating to Zoely® only </w:t>
            </w:r>
          </w:p>
        </w:tc>
      </w:tr>
      <w:tr w:rsidR="003F15B0" w:rsidRPr="00404E02" w14:paraId="1E742B32"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6D33EC6E" w14:textId="77777777" w:rsidR="003F15B0" w:rsidRPr="006A3850" w:rsidRDefault="003F15B0" w:rsidP="00846490">
            <w:pPr>
              <w:pStyle w:val="TableHeaderRow"/>
              <w:spacing w:after="0" w:line="240" w:lineRule="auto"/>
              <w:rPr>
                <w:b w:val="0"/>
                <w:bCs w:val="0"/>
                <w:sz w:val="22"/>
                <w:szCs w:val="22"/>
              </w:rPr>
            </w:pPr>
            <w:r w:rsidRPr="6D8B1CA6">
              <w:rPr>
                <w:b w:val="0"/>
                <w:bCs w:val="0"/>
                <w:sz w:val="22"/>
                <w:szCs w:val="22"/>
              </w:rPr>
              <w:t>Version 2.2</w:t>
            </w:r>
          </w:p>
          <w:p w14:paraId="67818BB9" w14:textId="7C023C0E" w:rsidR="003F15B0" w:rsidRPr="006A3850" w:rsidRDefault="003F15B0" w:rsidP="00846490">
            <w:pPr>
              <w:pStyle w:val="TableHeaderRow"/>
              <w:spacing w:after="0" w:line="240" w:lineRule="auto"/>
              <w:rPr>
                <w:b w:val="0"/>
                <w:bCs w:val="0"/>
                <w:sz w:val="22"/>
                <w:szCs w:val="22"/>
              </w:rPr>
            </w:pPr>
            <w:r w:rsidRPr="6D8B1CA6">
              <w:rPr>
                <w:b w:val="0"/>
                <w:bCs w:val="0"/>
                <w:sz w:val="22"/>
                <w:szCs w:val="22"/>
              </w:rPr>
              <w:t>October 2023</w:t>
            </w:r>
          </w:p>
        </w:tc>
        <w:tc>
          <w:tcPr>
            <w:tcW w:w="6806" w:type="dxa"/>
            <w:tcBorders>
              <w:top w:val="single" w:sz="4" w:space="0" w:color="auto"/>
              <w:left w:val="single" w:sz="4" w:space="0" w:color="auto"/>
              <w:bottom w:val="single" w:sz="4" w:space="0" w:color="auto"/>
              <w:right w:val="single" w:sz="4" w:space="0" w:color="auto"/>
            </w:tcBorders>
          </w:tcPr>
          <w:p w14:paraId="6FDA22C1" w14:textId="7CC6EE47" w:rsidR="003F15B0" w:rsidRPr="003F15B0" w:rsidRDefault="003F15B0" w:rsidP="00846490">
            <w:pPr>
              <w:pStyle w:val="Tabletext"/>
              <w:spacing w:after="0"/>
            </w:pPr>
            <w:r w:rsidRPr="003F15B0">
              <w:t>Updated PGD development group members.</w:t>
            </w:r>
            <w:r w:rsidRPr="003F15B0">
              <w:br/>
              <w:t>Statement added in exclusion criteria regarding consideration of lactose/sucrose content in individual products.</w:t>
            </w:r>
          </w:p>
        </w:tc>
      </w:tr>
      <w:tr w:rsidR="003F15B0" w:rsidRPr="00404E02" w14:paraId="7C4F80BF"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757A20E4" w14:textId="77777777" w:rsidR="00846490" w:rsidRDefault="003F15B0" w:rsidP="00846490">
            <w:pPr>
              <w:pStyle w:val="TableHeaderRow"/>
              <w:spacing w:after="0" w:line="240" w:lineRule="auto"/>
              <w:rPr>
                <w:b w:val="0"/>
                <w:bCs w:val="0"/>
                <w:sz w:val="22"/>
                <w:szCs w:val="22"/>
              </w:rPr>
            </w:pPr>
            <w:r w:rsidRPr="6D8B1CA6">
              <w:rPr>
                <w:b w:val="0"/>
                <w:bCs w:val="0"/>
                <w:sz w:val="22"/>
                <w:szCs w:val="22"/>
              </w:rPr>
              <w:t>Version 2.3</w:t>
            </w:r>
          </w:p>
          <w:p w14:paraId="173E6837" w14:textId="289EF718" w:rsidR="003F15B0" w:rsidRPr="006A3850" w:rsidRDefault="003F15B0" w:rsidP="00846490">
            <w:pPr>
              <w:pStyle w:val="TableHeaderRow"/>
              <w:spacing w:line="240" w:lineRule="auto"/>
              <w:rPr>
                <w:b w:val="0"/>
                <w:bCs w:val="0"/>
                <w:sz w:val="22"/>
                <w:szCs w:val="22"/>
              </w:rPr>
            </w:pPr>
            <w:r w:rsidRPr="6D8B1CA6">
              <w:rPr>
                <w:b w:val="0"/>
                <w:bCs w:val="0"/>
                <w:sz w:val="22"/>
                <w:szCs w:val="22"/>
              </w:rPr>
              <w:t>March 2025</w:t>
            </w:r>
          </w:p>
        </w:tc>
        <w:tc>
          <w:tcPr>
            <w:tcW w:w="6806" w:type="dxa"/>
            <w:tcBorders>
              <w:top w:val="single" w:sz="4" w:space="0" w:color="auto"/>
              <w:left w:val="single" w:sz="4" w:space="0" w:color="auto"/>
              <w:bottom w:val="single" w:sz="4" w:space="0" w:color="auto"/>
              <w:right w:val="single" w:sz="4" w:space="0" w:color="auto"/>
            </w:tcBorders>
          </w:tcPr>
          <w:p w14:paraId="5030D45B" w14:textId="5EEAAF86" w:rsidR="003F15B0" w:rsidRPr="003F15B0" w:rsidRDefault="003F15B0" w:rsidP="003F15B0">
            <w:pPr>
              <w:pStyle w:val="Tabletext"/>
            </w:pPr>
            <w:r w:rsidRPr="003F15B0">
              <w:t>Added statement on management of people using 30mcgEE/LNG combination who have missed two pills in week one of cycle in dose and frequency section. Updated references.</w:t>
            </w:r>
          </w:p>
        </w:tc>
      </w:tr>
      <w:tr w:rsidR="003F15B0" w:rsidRPr="00404E02" w14:paraId="49EF04D7"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4C1AE23E" w14:textId="77777777" w:rsidR="003F15B0" w:rsidRPr="006A3850" w:rsidRDefault="003F15B0" w:rsidP="00846490">
            <w:pPr>
              <w:pStyle w:val="TableHeaderRow"/>
              <w:spacing w:after="0" w:line="240" w:lineRule="auto"/>
              <w:rPr>
                <w:b w:val="0"/>
                <w:bCs w:val="0"/>
                <w:sz w:val="22"/>
                <w:szCs w:val="22"/>
              </w:rPr>
            </w:pPr>
            <w:r w:rsidRPr="6D8B1CA6">
              <w:rPr>
                <w:b w:val="0"/>
                <w:bCs w:val="0"/>
                <w:sz w:val="22"/>
                <w:szCs w:val="22"/>
              </w:rPr>
              <w:t>Version 2.4</w:t>
            </w:r>
          </w:p>
          <w:p w14:paraId="239350F9" w14:textId="3E664675" w:rsidR="003F15B0" w:rsidRPr="006A3850" w:rsidRDefault="003F15B0" w:rsidP="00846490">
            <w:pPr>
              <w:pStyle w:val="TableHeaderRow"/>
              <w:spacing w:line="240" w:lineRule="auto"/>
              <w:rPr>
                <w:b w:val="0"/>
                <w:bCs w:val="0"/>
                <w:sz w:val="22"/>
                <w:szCs w:val="22"/>
              </w:rPr>
            </w:pPr>
            <w:r w:rsidRPr="6D8B1CA6">
              <w:rPr>
                <w:b w:val="0"/>
                <w:bCs w:val="0"/>
                <w:sz w:val="22"/>
                <w:szCs w:val="22"/>
              </w:rPr>
              <w:t>April 2025</w:t>
            </w:r>
          </w:p>
        </w:tc>
        <w:tc>
          <w:tcPr>
            <w:tcW w:w="6806" w:type="dxa"/>
            <w:tcBorders>
              <w:top w:val="single" w:sz="4" w:space="0" w:color="auto"/>
              <w:left w:val="single" w:sz="4" w:space="0" w:color="auto"/>
              <w:bottom w:val="single" w:sz="4" w:space="0" w:color="auto"/>
              <w:right w:val="single" w:sz="4" w:space="0" w:color="auto"/>
            </w:tcBorders>
          </w:tcPr>
          <w:p w14:paraId="659616A1" w14:textId="74A9B97D" w:rsidR="003F15B0" w:rsidRPr="003F15B0" w:rsidRDefault="003F15B0" w:rsidP="003F15B0">
            <w:pPr>
              <w:pStyle w:val="Tabletext"/>
            </w:pPr>
            <w:r w:rsidRPr="003F15B0">
              <w:t>Added statement on advice when used in combination with GLP-1 agonists. Clarified statement on Qlaira. Updated references.</w:t>
            </w:r>
          </w:p>
        </w:tc>
      </w:tr>
      <w:tr w:rsidR="003F15B0" w:rsidRPr="00404E02" w14:paraId="78C45717"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2BF4732" w14:textId="77777777" w:rsidR="003F15B0" w:rsidRPr="006A3850" w:rsidRDefault="003F15B0" w:rsidP="00846490">
            <w:pPr>
              <w:pStyle w:val="TableHeaderRow"/>
              <w:spacing w:after="0" w:line="240" w:lineRule="auto"/>
              <w:rPr>
                <w:b w:val="0"/>
                <w:bCs w:val="0"/>
                <w:sz w:val="22"/>
                <w:szCs w:val="22"/>
              </w:rPr>
            </w:pPr>
            <w:r w:rsidRPr="6D8B1CA6">
              <w:rPr>
                <w:b w:val="0"/>
                <w:bCs w:val="0"/>
                <w:sz w:val="22"/>
                <w:szCs w:val="22"/>
              </w:rPr>
              <w:t>Version 2.5</w:t>
            </w:r>
          </w:p>
          <w:p w14:paraId="18555B49" w14:textId="0F1B3165" w:rsidR="003F15B0" w:rsidRPr="006A3850" w:rsidRDefault="003F15B0" w:rsidP="00846490">
            <w:pPr>
              <w:pStyle w:val="TableHeaderRow"/>
              <w:spacing w:after="0" w:line="240" w:lineRule="auto"/>
              <w:rPr>
                <w:b w:val="0"/>
                <w:bCs w:val="0"/>
                <w:sz w:val="22"/>
                <w:szCs w:val="22"/>
              </w:rPr>
            </w:pPr>
            <w:r w:rsidRPr="6D8B1CA6">
              <w:rPr>
                <w:b w:val="0"/>
                <w:bCs w:val="0"/>
                <w:sz w:val="22"/>
                <w:szCs w:val="22"/>
              </w:rPr>
              <w:t>July 2025</w:t>
            </w:r>
          </w:p>
        </w:tc>
        <w:tc>
          <w:tcPr>
            <w:tcW w:w="6806" w:type="dxa"/>
            <w:tcBorders>
              <w:top w:val="single" w:sz="4" w:space="0" w:color="auto"/>
              <w:left w:val="single" w:sz="4" w:space="0" w:color="auto"/>
              <w:bottom w:val="single" w:sz="4" w:space="0" w:color="auto"/>
              <w:right w:val="single" w:sz="4" w:space="0" w:color="auto"/>
            </w:tcBorders>
          </w:tcPr>
          <w:p w14:paraId="1D9BB03A" w14:textId="21429635" w:rsidR="003F15B0" w:rsidRPr="003F15B0" w:rsidRDefault="003F15B0" w:rsidP="00846490">
            <w:pPr>
              <w:pStyle w:val="Tabletext"/>
              <w:spacing w:after="0"/>
            </w:pPr>
            <w:r w:rsidRPr="003F15B0">
              <w:t>Added statement on advice on desogestrel and risk of meningioma. Clarified statement regarding omitted pills. Updated references.</w:t>
            </w:r>
          </w:p>
        </w:tc>
      </w:tr>
      <w:tr w:rsidR="003F15B0" w:rsidRPr="00404E02" w14:paraId="35F5FBE1"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7C3AA401" w14:textId="77777777" w:rsidR="00846490" w:rsidRDefault="00846490" w:rsidP="00846490">
            <w:pPr>
              <w:pStyle w:val="TableHeaderRow"/>
              <w:spacing w:after="0" w:line="240" w:lineRule="auto"/>
              <w:rPr>
                <w:b w:val="0"/>
                <w:bCs w:val="0"/>
                <w:sz w:val="22"/>
                <w:szCs w:val="22"/>
              </w:rPr>
            </w:pPr>
          </w:p>
          <w:p w14:paraId="4547A4C3" w14:textId="00774FBD" w:rsidR="003F15B0" w:rsidRPr="006A3850" w:rsidRDefault="003F15B0" w:rsidP="00846490">
            <w:pPr>
              <w:pStyle w:val="TableHeaderRow"/>
              <w:spacing w:after="0" w:line="240" w:lineRule="auto"/>
              <w:rPr>
                <w:b w:val="0"/>
                <w:bCs w:val="0"/>
                <w:sz w:val="22"/>
                <w:szCs w:val="22"/>
              </w:rPr>
            </w:pPr>
            <w:r w:rsidRPr="6D8B1CA6">
              <w:rPr>
                <w:b w:val="0"/>
                <w:bCs w:val="0"/>
                <w:sz w:val="22"/>
                <w:szCs w:val="22"/>
              </w:rPr>
              <w:t>Version 2.6</w:t>
            </w:r>
          </w:p>
          <w:p w14:paraId="5BD8ACF3" w14:textId="6888B776" w:rsidR="003F15B0" w:rsidRPr="006A3850" w:rsidRDefault="003F15B0" w:rsidP="00846490">
            <w:pPr>
              <w:pStyle w:val="TableHeaderRow"/>
              <w:spacing w:after="0" w:line="240" w:lineRule="auto"/>
              <w:rPr>
                <w:b w:val="0"/>
                <w:bCs w:val="0"/>
                <w:sz w:val="22"/>
                <w:szCs w:val="22"/>
              </w:rPr>
            </w:pPr>
            <w:r w:rsidRPr="6D8B1CA6">
              <w:rPr>
                <w:b w:val="0"/>
                <w:bCs w:val="0"/>
                <w:sz w:val="22"/>
                <w:szCs w:val="22"/>
              </w:rPr>
              <w:t>October 2025</w:t>
            </w:r>
          </w:p>
        </w:tc>
        <w:tc>
          <w:tcPr>
            <w:tcW w:w="6806" w:type="dxa"/>
            <w:tcBorders>
              <w:top w:val="single" w:sz="4" w:space="0" w:color="auto"/>
              <w:left w:val="single" w:sz="4" w:space="0" w:color="auto"/>
              <w:bottom w:val="single" w:sz="4" w:space="0" w:color="auto"/>
              <w:right w:val="single" w:sz="4" w:space="0" w:color="auto"/>
            </w:tcBorders>
          </w:tcPr>
          <w:p w14:paraId="226FCC1B" w14:textId="3C70D768" w:rsidR="003F15B0" w:rsidRPr="003F15B0" w:rsidRDefault="003F15B0" w:rsidP="00846490">
            <w:pPr>
              <w:pStyle w:val="Tabletext"/>
              <w:spacing w:after="0"/>
            </w:pPr>
            <w:r w:rsidRPr="003F15B0">
              <w:t xml:space="preserve">Strengthened information on UPA-EC place if missed pill scenario to align with wording in V3 COC and V3 and V2.3 UPA-EC national templates. Contraindication with interacting Hep C medicines added. Updated reference to FSRH to CoSRH. </w:t>
            </w:r>
          </w:p>
        </w:tc>
      </w:tr>
      <w:tr w:rsidR="005C38B5" w:rsidRPr="00404E02" w14:paraId="56DC1409"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112B26BB" w14:textId="77777777" w:rsidR="00846490" w:rsidRDefault="00846490" w:rsidP="00846490">
            <w:pPr>
              <w:pStyle w:val="TableHeaderRow"/>
              <w:spacing w:after="0" w:line="240" w:lineRule="auto"/>
              <w:rPr>
                <w:b w:val="0"/>
                <w:bCs w:val="0"/>
                <w:sz w:val="22"/>
                <w:szCs w:val="22"/>
              </w:rPr>
            </w:pPr>
          </w:p>
          <w:p w14:paraId="5D9D97A1" w14:textId="70B2A9DB" w:rsidR="005C38B5" w:rsidRPr="006A3850" w:rsidRDefault="005C38B5" w:rsidP="00846490">
            <w:pPr>
              <w:pStyle w:val="TableHeaderRow"/>
              <w:spacing w:after="0" w:line="240" w:lineRule="auto"/>
              <w:rPr>
                <w:b w:val="0"/>
                <w:bCs w:val="0"/>
                <w:sz w:val="22"/>
                <w:szCs w:val="22"/>
              </w:rPr>
            </w:pPr>
            <w:r w:rsidRPr="6D8B1CA6">
              <w:rPr>
                <w:b w:val="0"/>
                <w:bCs w:val="0"/>
                <w:sz w:val="22"/>
                <w:szCs w:val="22"/>
              </w:rPr>
              <w:t>Version 3.0</w:t>
            </w:r>
          </w:p>
          <w:p w14:paraId="3998D9CA" w14:textId="736BF649" w:rsidR="005C38B5" w:rsidRPr="006A3850" w:rsidRDefault="005C38B5" w:rsidP="00846490">
            <w:pPr>
              <w:pStyle w:val="TableHeaderRow"/>
              <w:spacing w:after="0" w:line="240" w:lineRule="auto"/>
              <w:rPr>
                <w:b w:val="0"/>
                <w:bCs w:val="0"/>
                <w:sz w:val="22"/>
                <w:szCs w:val="22"/>
              </w:rPr>
            </w:pPr>
            <w:r w:rsidRPr="6D8B1CA6">
              <w:rPr>
                <w:b w:val="0"/>
                <w:bCs w:val="0"/>
                <w:sz w:val="22"/>
                <w:szCs w:val="22"/>
              </w:rPr>
              <w:t>October 2025</w:t>
            </w:r>
          </w:p>
        </w:tc>
        <w:tc>
          <w:tcPr>
            <w:tcW w:w="6806" w:type="dxa"/>
            <w:tcBorders>
              <w:top w:val="single" w:sz="4" w:space="0" w:color="auto"/>
              <w:left w:val="single" w:sz="4" w:space="0" w:color="auto"/>
              <w:bottom w:val="single" w:sz="4" w:space="0" w:color="auto"/>
              <w:right w:val="single" w:sz="4" w:space="0" w:color="auto"/>
            </w:tcBorders>
          </w:tcPr>
          <w:p w14:paraId="37E7E8D5" w14:textId="29D182FB" w:rsidR="005C38B5" w:rsidRPr="003F15B0" w:rsidRDefault="005C38B5" w:rsidP="00846490">
            <w:pPr>
              <w:pStyle w:val="Tabletext"/>
              <w:spacing w:after="0"/>
            </w:pPr>
            <w:r w:rsidRPr="005C38B5">
              <w:rPr>
                <w:lang w:val="en-GB"/>
              </w:rPr>
              <w:t>Planned end of life review. Updated reference to FSRH to CoSRH.</w:t>
            </w:r>
            <w:r>
              <w:rPr>
                <w:lang w:val="en-GB"/>
              </w:rPr>
              <w:t xml:space="preserve"> </w:t>
            </w:r>
            <w:r w:rsidRPr="005C38B5">
              <w:rPr>
                <w:lang w:val="en-GB"/>
              </w:rPr>
              <w:t>Minor rewording to align the RH PGDs content, and update</w:t>
            </w:r>
            <w:r>
              <w:rPr>
                <w:lang w:val="en-GB"/>
              </w:rPr>
              <w:t xml:space="preserve"> </w:t>
            </w:r>
            <w:r w:rsidRPr="005C38B5">
              <w:rPr>
                <w:lang w:val="en-GB"/>
              </w:rPr>
              <w:t>terminology.</w:t>
            </w:r>
            <w:r>
              <w:rPr>
                <w:lang w:val="en-GB"/>
              </w:rPr>
              <w:t xml:space="preserve"> </w:t>
            </w:r>
            <w:r w:rsidRPr="005C38B5">
              <w:rPr>
                <w:lang w:val="en-GB"/>
              </w:rPr>
              <w:t>Contraindication with interacting Hep C medicines added. Clarified statement on restarting. Update SLWG and references.</w:t>
            </w:r>
          </w:p>
        </w:tc>
      </w:tr>
      <w:tr w:rsidR="00232366" w:rsidRPr="00232366" w14:paraId="02CF86B9"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6D5B76C7" w14:textId="0C500ACF" w:rsidR="6D8B1CA6" w:rsidRPr="00232366" w:rsidRDefault="6D8B1CA6" w:rsidP="00846490">
            <w:pPr>
              <w:spacing w:after="0" w:line="240" w:lineRule="auto"/>
              <w:rPr>
                <w:rFonts w:ascii="Arial" w:eastAsia="Arial" w:hAnsi="Arial" w:cs="Arial"/>
                <w:sz w:val="22"/>
                <w:szCs w:val="22"/>
              </w:rPr>
            </w:pPr>
            <w:r w:rsidRPr="00232366">
              <w:rPr>
                <w:rFonts w:ascii="Arial" w:eastAsia="Arial" w:hAnsi="Arial" w:cs="Arial"/>
                <w:sz w:val="22"/>
                <w:szCs w:val="22"/>
              </w:rPr>
              <w:t>Version 3.1</w:t>
            </w:r>
          </w:p>
          <w:p w14:paraId="2903071D" w14:textId="56CDE484" w:rsidR="6D8B1CA6" w:rsidRPr="00232366" w:rsidRDefault="00232366" w:rsidP="00846490">
            <w:pPr>
              <w:spacing w:line="240" w:lineRule="auto"/>
              <w:rPr>
                <w:rFonts w:ascii="Arial" w:eastAsia="Arial" w:hAnsi="Arial" w:cs="Arial"/>
                <w:sz w:val="22"/>
                <w:szCs w:val="22"/>
              </w:rPr>
            </w:pPr>
            <w:r w:rsidRPr="4B9C1818">
              <w:rPr>
                <w:rFonts w:ascii="Arial" w:eastAsia="Arial" w:hAnsi="Arial" w:cs="Arial"/>
                <w:sz w:val="22"/>
                <w:szCs w:val="22"/>
              </w:rPr>
              <w:t xml:space="preserve">January </w:t>
            </w:r>
            <w:r w:rsidR="6D8B1CA6" w:rsidRPr="4B9C1818">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1C421290" w14:textId="54A930EE" w:rsidR="6D8B1CA6" w:rsidRPr="00232366" w:rsidRDefault="6D8B1CA6" w:rsidP="6D8B1CA6">
            <w:pPr>
              <w:rPr>
                <w:rFonts w:ascii="Arial" w:eastAsia="Arial" w:hAnsi="Arial" w:cs="Arial"/>
                <w:sz w:val="22"/>
                <w:szCs w:val="22"/>
              </w:rPr>
            </w:pPr>
            <w:r w:rsidRPr="00232366">
              <w:rPr>
                <w:rFonts w:ascii="Arial" w:eastAsia="Arial" w:hAnsi="Arial" w:cs="Arial"/>
                <w:sz w:val="22"/>
                <w:szCs w:val="22"/>
              </w:rPr>
              <w:t>Updated in line with UKMEC (2025), updated reference.</w:t>
            </w:r>
          </w:p>
        </w:tc>
      </w:tr>
      <w:tr w:rsidR="007D797D" w:rsidRPr="00295A52" w14:paraId="155BC538"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608F49EA" w14:textId="77777777" w:rsidR="007D797D" w:rsidRPr="00295A52" w:rsidRDefault="007D797D" w:rsidP="00846490">
            <w:pPr>
              <w:pStyle w:val="Tabletext"/>
              <w:spacing w:after="0"/>
              <w:rPr>
                <w:rFonts w:cs="Arial"/>
                <w:color w:val="000000" w:themeColor="text1"/>
                <w:szCs w:val="22"/>
              </w:rPr>
            </w:pPr>
            <w:r w:rsidRPr="00295A52">
              <w:rPr>
                <w:rFonts w:cs="Arial"/>
                <w:color w:val="000000" w:themeColor="text1"/>
                <w:szCs w:val="22"/>
              </w:rPr>
              <w:t>Version 3.2</w:t>
            </w:r>
          </w:p>
          <w:p w14:paraId="734C688E" w14:textId="74137158" w:rsidR="007D797D" w:rsidRPr="00295A52" w:rsidRDefault="007D797D" w:rsidP="00846490">
            <w:pPr>
              <w:spacing w:after="0" w:line="240" w:lineRule="auto"/>
              <w:rPr>
                <w:rFonts w:ascii="Arial" w:eastAsia="Arial" w:hAnsi="Arial" w:cs="Arial"/>
                <w:color w:val="000000" w:themeColor="text1"/>
                <w:sz w:val="22"/>
                <w:szCs w:val="22"/>
              </w:rPr>
            </w:pPr>
            <w:r w:rsidRPr="00295A52">
              <w:rPr>
                <w:rFonts w:ascii="Arial" w:hAnsi="Arial" w:cs="Arial"/>
                <w:color w:val="000000" w:themeColor="text1"/>
                <w:sz w:val="22"/>
                <w:szCs w:val="22"/>
              </w:rPr>
              <w:t>July 2026</w:t>
            </w:r>
          </w:p>
        </w:tc>
        <w:tc>
          <w:tcPr>
            <w:tcW w:w="6806" w:type="dxa"/>
            <w:tcBorders>
              <w:top w:val="single" w:sz="4" w:space="0" w:color="auto"/>
              <w:left w:val="single" w:sz="4" w:space="0" w:color="auto"/>
              <w:bottom w:val="single" w:sz="4" w:space="0" w:color="auto"/>
              <w:right w:val="single" w:sz="4" w:space="0" w:color="auto"/>
            </w:tcBorders>
          </w:tcPr>
          <w:p w14:paraId="555412A2" w14:textId="77BEE9E4" w:rsidR="007D797D" w:rsidRPr="00295A52" w:rsidRDefault="007D797D" w:rsidP="00846490">
            <w:pPr>
              <w:spacing w:after="0" w:line="240" w:lineRule="auto"/>
              <w:rPr>
                <w:rFonts w:ascii="Arial" w:eastAsia="Arial" w:hAnsi="Arial" w:cs="Arial"/>
                <w:color w:val="000000" w:themeColor="text1"/>
                <w:sz w:val="22"/>
                <w:szCs w:val="22"/>
              </w:rPr>
            </w:pPr>
            <w:r w:rsidRPr="00295A52">
              <w:rPr>
                <w:rFonts w:ascii="Arial" w:hAnsi="Arial" w:cs="Arial"/>
                <w:color w:val="000000" w:themeColor="text1"/>
                <w:sz w:val="22"/>
                <w:szCs w:val="22"/>
              </w:rPr>
              <w:t>Progestogen-containing contraceptives and risk of meningioma added to Criteria for Exclusion and Further Advice to be Given to Individual</w:t>
            </w:r>
            <w:r w:rsidR="47AC82E7" w:rsidRPr="00295A52">
              <w:rPr>
                <w:rFonts w:ascii="Arial" w:hAnsi="Arial" w:cs="Arial"/>
                <w:color w:val="000000" w:themeColor="text1"/>
                <w:sz w:val="22"/>
                <w:szCs w:val="22"/>
              </w:rPr>
              <w:t xml:space="preserve"> </w:t>
            </w:r>
            <w:r w:rsidR="47AC82E7" w:rsidRPr="00295A52">
              <w:rPr>
                <w:rFonts w:ascii="Arial" w:eastAsia="Arial" w:hAnsi="Arial" w:cs="Arial"/>
                <w:color w:val="000000" w:themeColor="text1"/>
                <w:sz w:val="22"/>
                <w:szCs w:val="22"/>
              </w:rPr>
              <w:t>reflecting CoSRH statement July 2026</w:t>
            </w:r>
            <w:r w:rsidRPr="00295A52">
              <w:rPr>
                <w:rFonts w:ascii="Arial" w:hAnsi="Arial" w:cs="Arial"/>
                <w:color w:val="000000" w:themeColor="text1"/>
                <w:sz w:val="22"/>
                <w:szCs w:val="22"/>
              </w:rPr>
              <w:t>.</w:t>
            </w:r>
            <w:r w:rsidR="00746A87" w:rsidRPr="00295A52">
              <w:rPr>
                <w:rFonts w:ascii="Arial" w:hAnsi="Arial" w:cs="Arial"/>
                <w:color w:val="000000" w:themeColor="text1"/>
                <w:sz w:val="22"/>
                <w:szCs w:val="22"/>
              </w:rPr>
              <w:t xml:space="preserve"> Removed specific reference to Zoely® and desogestrel and meningioma</w:t>
            </w:r>
            <w:r w:rsidR="00632230" w:rsidRPr="00295A52">
              <w:rPr>
                <w:rFonts w:ascii="Arial" w:hAnsi="Arial" w:cs="Arial"/>
                <w:color w:val="000000" w:themeColor="text1"/>
                <w:sz w:val="22"/>
                <w:szCs w:val="22"/>
              </w:rPr>
              <w:t xml:space="preserve"> risk</w:t>
            </w:r>
            <w:r w:rsidR="00746A87" w:rsidRPr="00295A52">
              <w:rPr>
                <w:rFonts w:ascii="Arial" w:hAnsi="Arial" w:cs="Arial"/>
                <w:color w:val="000000" w:themeColor="text1"/>
                <w:sz w:val="22"/>
                <w:szCs w:val="22"/>
              </w:rPr>
              <w:t>. References updated.</w:t>
            </w:r>
          </w:p>
        </w:tc>
      </w:tr>
    </w:tbl>
    <w:p w14:paraId="5B7948A5" w14:textId="7A1B77AD" w:rsidR="00F14FB8" w:rsidRDefault="00F14FB8" w:rsidP="00763E7A">
      <w:pPr>
        <w:pStyle w:val="PGDNormal"/>
        <w:rPr>
          <w:highlight w:val="yellow"/>
          <w:lang w:val="en-GB"/>
        </w:rPr>
      </w:pPr>
    </w:p>
    <w:p w14:paraId="2CBBA5EF" w14:textId="0ACB1519" w:rsidR="00813399" w:rsidRPr="00DF77C7" w:rsidRDefault="00F14FB8" w:rsidP="00763E7A">
      <w:pPr>
        <w:pStyle w:val="PGDNormal"/>
        <w:rPr>
          <w:lang w:val="en-GB"/>
        </w:rPr>
      </w:pPr>
      <w:r>
        <w:rPr>
          <w:highlight w:val="yellow"/>
          <w:lang w:val="en-GB"/>
        </w:rPr>
        <w:t>[[E</w:t>
      </w:r>
      <w:r w:rsidR="00813399" w:rsidRPr="00DF77C7">
        <w:rPr>
          <w:highlight w:val="yellow"/>
          <w:lang w:val="en-GB"/>
        </w:rPr>
        <w:t>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00813399" w:rsidRPr="00A87ADE">
        <w:rPr>
          <w:highlight w:val="yellow"/>
          <w:lang w:val="en-GB"/>
        </w:rPr>
        <w:t>.</w:t>
      </w:r>
      <w:r w:rsidR="00E46E97" w:rsidRPr="00A87ADE">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90"/>
        <w:gridCol w:w="4215"/>
      </w:tblGrid>
      <w:tr w:rsidR="009C4917" w:rsidRPr="00DF77C7" w14:paraId="2D1BCEA8" w14:textId="77777777" w:rsidTr="6D8B1CA6">
        <w:tc>
          <w:tcPr>
            <w:tcW w:w="4290" w:type="dxa"/>
          </w:tcPr>
          <w:p w14:paraId="68303232" w14:textId="77777777" w:rsidR="003F15B0" w:rsidRPr="00DF77C7" w:rsidRDefault="003F15B0" w:rsidP="003F15B0">
            <w:pPr>
              <w:pStyle w:val="Tabletext"/>
              <w:rPr>
                <w:lang w:val="en-GB"/>
              </w:rPr>
            </w:pPr>
            <w:r w:rsidRPr="00DF77C7">
              <w:rPr>
                <w:lang w:val="en-GB"/>
              </w:rPr>
              <w:t xml:space="preserve">Date PGD template comes into effect: </w:t>
            </w:r>
          </w:p>
        </w:tc>
        <w:tc>
          <w:tcPr>
            <w:tcW w:w="4215" w:type="dxa"/>
            <w:tcBorders>
              <w:top w:val="single" w:sz="4" w:space="0" w:color="auto"/>
              <w:left w:val="single" w:sz="4" w:space="0" w:color="auto"/>
              <w:bottom w:val="single" w:sz="4" w:space="0" w:color="auto"/>
              <w:right w:val="single" w:sz="4" w:space="0" w:color="auto"/>
            </w:tcBorders>
          </w:tcPr>
          <w:p w14:paraId="1C02A90B" w14:textId="43497A40"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April 202</w:t>
            </w:r>
            <w:r w:rsidR="005C38B5">
              <w:t>6</w:t>
            </w:r>
          </w:p>
        </w:tc>
      </w:tr>
      <w:tr w:rsidR="009C4917" w:rsidRPr="00DF77C7" w14:paraId="18F33630" w14:textId="77777777" w:rsidTr="6D8B1CA6">
        <w:tc>
          <w:tcPr>
            <w:tcW w:w="4290" w:type="dxa"/>
          </w:tcPr>
          <w:p w14:paraId="40ECC743" w14:textId="7F4BD51B" w:rsidR="003F15B0" w:rsidRPr="00DF77C7" w:rsidRDefault="003F15B0" w:rsidP="003F15B0">
            <w:pPr>
              <w:pStyle w:val="Tabletext"/>
              <w:rPr>
                <w:lang w:val="en-GB"/>
              </w:rPr>
            </w:pPr>
            <w:r w:rsidRPr="00DF77C7">
              <w:rPr>
                <w:lang w:val="en-GB"/>
              </w:rPr>
              <w:t>Review date</w:t>
            </w:r>
          </w:p>
        </w:tc>
        <w:tc>
          <w:tcPr>
            <w:tcW w:w="4215" w:type="dxa"/>
            <w:tcBorders>
              <w:top w:val="single" w:sz="4" w:space="0" w:color="auto"/>
              <w:left w:val="single" w:sz="4" w:space="0" w:color="auto"/>
              <w:bottom w:val="single" w:sz="4" w:space="0" w:color="auto"/>
              <w:right w:val="single" w:sz="4" w:space="0" w:color="auto"/>
            </w:tcBorders>
          </w:tcPr>
          <w:p w14:paraId="56A527C3" w14:textId="0E1DDBA8"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September 202</w:t>
            </w:r>
            <w:r w:rsidR="005C38B5">
              <w:t>8</w:t>
            </w:r>
          </w:p>
        </w:tc>
      </w:tr>
      <w:tr w:rsidR="009C4917" w:rsidRPr="00DF77C7" w14:paraId="0FB80BBA" w14:textId="77777777" w:rsidTr="6D8B1CA6">
        <w:tc>
          <w:tcPr>
            <w:tcW w:w="4290" w:type="dxa"/>
          </w:tcPr>
          <w:p w14:paraId="45729AD1" w14:textId="77777777" w:rsidR="003F15B0" w:rsidRPr="00DF77C7" w:rsidRDefault="003F15B0" w:rsidP="003F15B0">
            <w:pPr>
              <w:pStyle w:val="Tabletext"/>
              <w:rPr>
                <w:lang w:val="en-GB"/>
              </w:rPr>
            </w:pPr>
            <w:r w:rsidRPr="00DF77C7">
              <w:rPr>
                <w:lang w:val="en-GB"/>
              </w:rPr>
              <w:t xml:space="preserve">Expiry date: </w:t>
            </w:r>
          </w:p>
        </w:tc>
        <w:tc>
          <w:tcPr>
            <w:tcW w:w="4215" w:type="dxa"/>
            <w:tcBorders>
              <w:top w:val="single" w:sz="4" w:space="0" w:color="auto"/>
              <w:left w:val="single" w:sz="4" w:space="0" w:color="auto"/>
              <w:bottom w:val="single" w:sz="4" w:space="0" w:color="auto"/>
              <w:right w:val="single" w:sz="4" w:space="0" w:color="auto"/>
            </w:tcBorders>
          </w:tcPr>
          <w:p w14:paraId="58AA136C" w14:textId="4D193BC7" w:rsidR="003F15B0" w:rsidRPr="00AE42D7" w:rsidRDefault="00187B60" w:rsidP="003F15B0">
            <w:pPr>
              <w:pStyle w:val="Tabletext"/>
              <w:rPr>
                <w:lang w:val="en-GB"/>
              </w:rPr>
            </w:pPr>
            <w:r>
              <w:t>31</w:t>
            </w:r>
            <w:r w:rsidR="006A3850" w:rsidRPr="006A3850">
              <w:rPr>
                <w:vertAlign w:val="superscript"/>
              </w:rPr>
              <w:t>st</w:t>
            </w:r>
            <w:r>
              <w:t xml:space="preserve"> </w:t>
            </w:r>
            <w:r w:rsidR="003F15B0" w:rsidRPr="009418FD">
              <w:t>March 202</w:t>
            </w:r>
            <w:r w:rsidR="005C38B5">
              <w:t>9</w:t>
            </w:r>
            <w:r w:rsidR="00D23423">
              <w:t xml:space="preserve">   </w:t>
            </w:r>
          </w:p>
        </w:tc>
      </w:tr>
    </w:tbl>
    <w:p w14:paraId="22A68ADB" w14:textId="77777777" w:rsidR="00050C45" w:rsidRPr="00DF77C7" w:rsidRDefault="00050C45" w:rsidP="00F57606">
      <w:pPr>
        <w:pStyle w:val="Tabletext"/>
      </w:pPr>
    </w:p>
    <w:p w14:paraId="613C79FC" w14:textId="0BD1BEFC" w:rsidR="00AB5250" w:rsidRDefault="00AB5250" w:rsidP="4D59EADA">
      <w:pPr>
        <w:pStyle w:val="PGDNormal"/>
      </w:pPr>
      <w:r>
        <w:t xml:space="preserve">This PGD template has been peer reviewed by the Reproductive Health PGDs Short Life Working Group in accordance with their Terms of Reference. </w:t>
      </w:r>
      <w:r w:rsidR="35E81C5A" w:rsidRPr="4D59EADA">
        <w:rPr>
          <w:rFonts w:eastAsia="Arial" w:cs="Arial"/>
          <w:color w:val="000000" w:themeColor="text1"/>
          <w:szCs w:val="22"/>
          <w:lang w:val="en-GB"/>
        </w:rPr>
        <w:t>It has been approved by the College of Sexual and Reproductive Health</w:t>
      </w:r>
      <w:r w:rsidR="002E3F96">
        <w:rPr>
          <w:rFonts w:eastAsia="Arial" w:cs="Arial"/>
          <w:color w:val="000000" w:themeColor="text1"/>
          <w:szCs w:val="22"/>
          <w:lang w:val="en-GB"/>
        </w:rPr>
        <w:t>care</w:t>
      </w:r>
      <w:r w:rsidR="35E81C5A" w:rsidRPr="4D59EADA">
        <w:rPr>
          <w:rFonts w:eastAsia="Arial" w:cs="Arial"/>
          <w:color w:val="000000" w:themeColor="text1"/>
          <w:szCs w:val="22"/>
          <w:lang w:val="en-GB"/>
        </w:rPr>
        <w:t xml:space="preserve"> (CoSRH) </w:t>
      </w:r>
      <w:r w:rsidR="35E81C5A" w:rsidRPr="4D59EADA">
        <w:rPr>
          <w:rFonts w:eastAsia="Arial" w:cs="Arial"/>
          <w:color w:val="000000" w:themeColor="text1"/>
          <w:szCs w:val="22"/>
        </w:rPr>
        <w:t xml:space="preserve">in January 2026. </w:t>
      </w:r>
      <w:r w:rsidR="35E81C5A" w:rsidRPr="4D59EADA">
        <w:t xml:space="preserve"> </w:t>
      </w:r>
    </w:p>
    <w:p w14:paraId="58CD625E" w14:textId="5CCC2CED" w:rsidR="00050C45" w:rsidRPr="00F6120B" w:rsidRDefault="00050C45" w:rsidP="4FE02DEE">
      <w:pPr>
        <w:pStyle w:val="PGDNormal"/>
        <w:rPr>
          <w:lang w:val="en-GB"/>
        </w:rPr>
      </w:pPr>
      <w:r w:rsidRPr="4FE02DEE">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0F7F3E3A" w:rsidRPr="4FE02DEE">
        <w:rPr>
          <w:lang w:val="en-GB"/>
        </w:rPr>
        <w:t xml:space="preserve">The most up to date version of the template is available from the </w:t>
      </w:r>
      <w:hyperlink r:id="rId8">
        <w:r w:rsidR="0F7F3E3A" w:rsidRPr="4FE02DEE">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6D8B1CA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B637DB">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B637DB">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6D8B1CA6">
        <w:trPr>
          <w:trHeight w:val="413"/>
        </w:trPr>
        <w:tc>
          <w:tcPr>
            <w:tcW w:w="2297" w:type="dxa"/>
            <w:vAlign w:val="center"/>
          </w:tcPr>
          <w:p w14:paraId="239390D1" w14:textId="77777777" w:rsidR="00064511" w:rsidRPr="00DF59C5" w:rsidRDefault="00064511" w:rsidP="00B637DB">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B637DB">
            <w:pPr>
              <w:pStyle w:val="Tabletext"/>
              <w:rPr>
                <w:rFonts w:eastAsia="Calibri"/>
                <w:lang w:val="en-GB"/>
              </w:rPr>
            </w:pPr>
            <w:r w:rsidRPr="0050579C">
              <w:rPr>
                <w:rFonts w:cs="Arial"/>
              </w:rPr>
              <w:t>Community pharmacist</w:t>
            </w:r>
          </w:p>
        </w:tc>
      </w:tr>
      <w:tr w:rsidR="00064511" w:rsidRPr="00DF77C7" w14:paraId="16AFD468" w14:textId="77777777" w:rsidTr="6D8B1CA6">
        <w:trPr>
          <w:trHeight w:val="413"/>
        </w:trPr>
        <w:tc>
          <w:tcPr>
            <w:tcW w:w="2297" w:type="dxa"/>
            <w:vAlign w:val="center"/>
          </w:tcPr>
          <w:p w14:paraId="22BC4D5A" w14:textId="77777777" w:rsidR="00064511" w:rsidRPr="00DF59C5" w:rsidRDefault="00064511" w:rsidP="00B637DB">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B637DB">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064511" w:rsidRPr="00DF77C7" w14:paraId="0E01679B" w14:textId="77777777" w:rsidTr="6D8B1CA6">
        <w:trPr>
          <w:trHeight w:val="413"/>
        </w:trPr>
        <w:tc>
          <w:tcPr>
            <w:tcW w:w="2297" w:type="dxa"/>
            <w:vAlign w:val="center"/>
          </w:tcPr>
          <w:p w14:paraId="72745439" w14:textId="77777777" w:rsidR="00064511" w:rsidRPr="00DF59C5" w:rsidRDefault="00064511" w:rsidP="00B637DB">
            <w:pPr>
              <w:pStyle w:val="Tabletext"/>
              <w:rPr>
                <w:lang w:val="en-GB"/>
              </w:rPr>
            </w:pPr>
            <w:r w:rsidRPr="00C749BF">
              <w:t>Carmel Lloyd</w:t>
            </w:r>
          </w:p>
        </w:tc>
        <w:tc>
          <w:tcPr>
            <w:tcW w:w="6912" w:type="dxa"/>
            <w:vAlign w:val="center"/>
          </w:tcPr>
          <w:p w14:paraId="73D0029E" w14:textId="77777777" w:rsidR="00064511" w:rsidRPr="002416AD" w:rsidRDefault="00064511" w:rsidP="00B637DB">
            <w:pPr>
              <w:pStyle w:val="Tabletext"/>
              <w:rPr>
                <w:lang w:val="en-GB"/>
              </w:rPr>
            </w:pPr>
            <w:r w:rsidRPr="00D10926">
              <w:rPr>
                <w:rFonts w:cs="Arial"/>
              </w:rPr>
              <w:t>Royal College of Midwives (RCM)</w:t>
            </w:r>
          </w:p>
        </w:tc>
      </w:tr>
      <w:tr w:rsidR="00064511" w:rsidRPr="00DF77C7" w14:paraId="3F58FB80" w14:textId="77777777" w:rsidTr="6D8B1CA6">
        <w:trPr>
          <w:trHeight w:val="382"/>
        </w:trPr>
        <w:tc>
          <w:tcPr>
            <w:tcW w:w="2297" w:type="dxa"/>
            <w:vAlign w:val="center"/>
          </w:tcPr>
          <w:p w14:paraId="66F050B1" w14:textId="77777777" w:rsidR="00064511" w:rsidRPr="00DF59C5" w:rsidRDefault="00064511" w:rsidP="00B637DB">
            <w:pPr>
              <w:pStyle w:val="Tabletext"/>
              <w:rPr>
                <w:lang w:val="en-GB"/>
              </w:rPr>
            </w:pPr>
            <w:r w:rsidRPr="00C749BF">
              <w:t>Dr Cindy Farmer</w:t>
            </w:r>
          </w:p>
        </w:tc>
        <w:tc>
          <w:tcPr>
            <w:tcW w:w="6912" w:type="dxa"/>
            <w:vAlign w:val="center"/>
          </w:tcPr>
          <w:p w14:paraId="2C5476A9" w14:textId="77777777" w:rsidR="00064511" w:rsidRPr="002416AD" w:rsidRDefault="00064511" w:rsidP="00B637DB">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6D8B1CA6">
        <w:trPr>
          <w:trHeight w:val="383"/>
        </w:trPr>
        <w:tc>
          <w:tcPr>
            <w:tcW w:w="2297" w:type="dxa"/>
            <w:vAlign w:val="center"/>
          </w:tcPr>
          <w:p w14:paraId="53B529A0" w14:textId="77777777" w:rsidR="00064511" w:rsidRPr="00DF59C5" w:rsidRDefault="00064511" w:rsidP="00B637DB">
            <w:pPr>
              <w:pStyle w:val="Tabletext"/>
              <w:rPr>
                <w:lang w:val="en-GB"/>
              </w:rPr>
            </w:pPr>
            <w:r w:rsidRPr="00C749BF">
              <w:t>Clare Livingstone</w:t>
            </w:r>
          </w:p>
        </w:tc>
        <w:tc>
          <w:tcPr>
            <w:tcW w:w="6912" w:type="dxa"/>
            <w:vAlign w:val="center"/>
          </w:tcPr>
          <w:p w14:paraId="680ACDF1" w14:textId="77777777" w:rsidR="00064511" w:rsidRPr="002416AD" w:rsidRDefault="00064511" w:rsidP="00B637DB">
            <w:pPr>
              <w:pStyle w:val="Tabletext"/>
              <w:rPr>
                <w:lang w:val="en-GB"/>
              </w:rPr>
            </w:pPr>
            <w:r w:rsidRPr="00D10926">
              <w:rPr>
                <w:rFonts w:cs="Arial"/>
              </w:rPr>
              <w:t>Royal College of Midwives (RCM)</w:t>
            </w:r>
          </w:p>
        </w:tc>
      </w:tr>
      <w:tr w:rsidR="00064511" w:rsidRPr="00DF77C7" w14:paraId="63CC4C22" w14:textId="77777777" w:rsidTr="6D8B1CA6">
        <w:trPr>
          <w:trHeight w:val="383"/>
        </w:trPr>
        <w:tc>
          <w:tcPr>
            <w:tcW w:w="2297" w:type="dxa"/>
            <w:vAlign w:val="center"/>
          </w:tcPr>
          <w:p w14:paraId="611AF331" w14:textId="77777777" w:rsidR="00064511" w:rsidRPr="00DF59C5" w:rsidRDefault="00064511" w:rsidP="00B637DB">
            <w:pPr>
              <w:pStyle w:val="Tabletext"/>
              <w:rPr>
                <w:lang w:val="en-GB"/>
              </w:rPr>
            </w:pPr>
            <w:r w:rsidRPr="00C749BF">
              <w:t>Dipti Patel</w:t>
            </w:r>
          </w:p>
        </w:tc>
        <w:tc>
          <w:tcPr>
            <w:tcW w:w="6912" w:type="dxa"/>
            <w:vAlign w:val="center"/>
          </w:tcPr>
          <w:p w14:paraId="61F08933" w14:textId="77777777" w:rsidR="00064511" w:rsidRPr="002416AD" w:rsidRDefault="00064511" w:rsidP="00B637DB">
            <w:pPr>
              <w:pStyle w:val="Tabletext"/>
              <w:rPr>
                <w:lang w:val="en-GB"/>
              </w:rPr>
            </w:pPr>
            <w:r w:rsidRPr="00D10926">
              <w:t xml:space="preserve">Local authority pharmacist </w:t>
            </w:r>
          </w:p>
        </w:tc>
      </w:tr>
      <w:tr w:rsidR="00064511" w:rsidRPr="00DF77C7" w14:paraId="4E26A429" w14:textId="77777777" w:rsidTr="6D8B1CA6">
        <w:trPr>
          <w:trHeight w:val="383"/>
        </w:trPr>
        <w:tc>
          <w:tcPr>
            <w:tcW w:w="2297" w:type="dxa"/>
            <w:vAlign w:val="center"/>
          </w:tcPr>
          <w:p w14:paraId="2F918FB1" w14:textId="77777777" w:rsidR="00064511" w:rsidRPr="00DF59C5" w:rsidRDefault="00064511" w:rsidP="00B637DB">
            <w:pPr>
              <w:pStyle w:val="Tabletext"/>
              <w:rPr>
                <w:lang w:val="en-GB"/>
              </w:rPr>
            </w:pPr>
            <w:r w:rsidRPr="00C749BF">
              <w:t>Emma Anderson</w:t>
            </w:r>
          </w:p>
        </w:tc>
        <w:tc>
          <w:tcPr>
            <w:tcW w:w="6912" w:type="dxa"/>
            <w:vAlign w:val="center"/>
          </w:tcPr>
          <w:p w14:paraId="7E423CE2" w14:textId="77777777" w:rsidR="00064511" w:rsidRPr="002416AD" w:rsidRDefault="00064511" w:rsidP="00B637DB">
            <w:pPr>
              <w:pStyle w:val="Tabletext"/>
              <w:rPr>
                <w:lang w:val="en-GB"/>
              </w:rPr>
            </w:pPr>
            <w:r w:rsidRPr="00D10926">
              <w:t>Centre for Postgraduate Pharmacy Education (CPPE)</w:t>
            </w:r>
          </w:p>
        </w:tc>
      </w:tr>
      <w:tr w:rsidR="00064511" w:rsidRPr="00DF77C7" w14:paraId="781A3862" w14:textId="77777777" w:rsidTr="6D8B1CA6">
        <w:trPr>
          <w:trHeight w:val="383"/>
        </w:trPr>
        <w:tc>
          <w:tcPr>
            <w:tcW w:w="2297" w:type="dxa"/>
            <w:vAlign w:val="center"/>
          </w:tcPr>
          <w:p w14:paraId="3B748EB0" w14:textId="77777777" w:rsidR="00064511" w:rsidRPr="00DF59C5" w:rsidRDefault="00064511" w:rsidP="00B637DB">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B637DB">
            <w:pPr>
              <w:pStyle w:val="Tabletext"/>
              <w:rPr>
                <w:rFonts w:eastAsia="Calibri"/>
                <w:lang w:val="en-GB"/>
              </w:rPr>
            </w:pPr>
            <w:r w:rsidRPr="00121A81">
              <w:t>Royal College of Nursing</w:t>
            </w:r>
          </w:p>
        </w:tc>
      </w:tr>
      <w:tr w:rsidR="00064511" w:rsidRPr="00DF77C7" w14:paraId="37FA6C30" w14:textId="77777777" w:rsidTr="6D8B1CA6">
        <w:trPr>
          <w:trHeight w:val="383"/>
        </w:trPr>
        <w:tc>
          <w:tcPr>
            <w:tcW w:w="2297" w:type="dxa"/>
            <w:vAlign w:val="center"/>
          </w:tcPr>
          <w:p w14:paraId="20F20E53" w14:textId="77777777" w:rsidR="00064511" w:rsidRPr="00DF59C5" w:rsidRDefault="00064511" w:rsidP="00B637DB">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B637DB">
            <w:pPr>
              <w:pStyle w:val="Tabletext"/>
              <w:rPr>
                <w:rFonts w:eastAsia="Calibri"/>
                <w:lang w:val="en-GB"/>
              </w:rPr>
            </w:pPr>
            <w:r w:rsidRPr="0050579C">
              <w:t>Clinical Nurse Specialist</w:t>
            </w:r>
          </w:p>
        </w:tc>
      </w:tr>
      <w:tr w:rsidR="00064511" w:rsidRPr="00094B2C" w14:paraId="50668E9D" w14:textId="77777777" w:rsidTr="6D8B1CA6">
        <w:trPr>
          <w:trHeight w:val="383"/>
        </w:trPr>
        <w:tc>
          <w:tcPr>
            <w:tcW w:w="2297" w:type="dxa"/>
            <w:vAlign w:val="center"/>
          </w:tcPr>
          <w:p w14:paraId="1D15476E" w14:textId="77777777" w:rsidR="00064511" w:rsidRPr="00094B2C" w:rsidRDefault="00064511" w:rsidP="00B637DB">
            <w:pPr>
              <w:pStyle w:val="Tabletext"/>
              <w:rPr>
                <w:kern w:val="2"/>
              </w:rPr>
            </w:pPr>
            <w:r w:rsidRPr="00C749BF">
              <w:t>Kate Devonport</w:t>
            </w:r>
          </w:p>
        </w:tc>
        <w:tc>
          <w:tcPr>
            <w:tcW w:w="6912" w:type="dxa"/>
            <w:vAlign w:val="center"/>
          </w:tcPr>
          <w:p w14:paraId="54620BAB" w14:textId="77777777" w:rsidR="00064511" w:rsidRPr="00094B2C" w:rsidRDefault="00064511" w:rsidP="00B637DB">
            <w:pPr>
              <w:pStyle w:val="Tabletext"/>
              <w:rPr>
                <w:kern w:val="2"/>
              </w:rPr>
            </w:pPr>
            <w:r w:rsidRPr="00D04FDD">
              <w:t>National Unplanned Pregnancy Association (NUPAS)</w:t>
            </w:r>
          </w:p>
        </w:tc>
      </w:tr>
      <w:tr w:rsidR="00064511" w:rsidRPr="00DF77C7" w14:paraId="6A965301" w14:textId="77777777" w:rsidTr="6D8B1CA6">
        <w:trPr>
          <w:trHeight w:val="383"/>
        </w:trPr>
        <w:tc>
          <w:tcPr>
            <w:tcW w:w="2297" w:type="dxa"/>
            <w:vAlign w:val="center"/>
          </w:tcPr>
          <w:p w14:paraId="097A01AB" w14:textId="77777777" w:rsidR="00064511" w:rsidRPr="00DF59C5" w:rsidRDefault="00064511" w:rsidP="00B637DB">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B637DB">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6D8B1CA6">
        <w:trPr>
          <w:trHeight w:val="383"/>
        </w:trPr>
        <w:tc>
          <w:tcPr>
            <w:tcW w:w="2297" w:type="dxa"/>
            <w:vAlign w:val="center"/>
          </w:tcPr>
          <w:p w14:paraId="23FB2B2D" w14:textId="77777777" w:rsidR="00064511" w:rsidRPr="00DF59C5" w:rsidRDefault="00064511" w:rsidP="00B637DB">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B637DB">
            <w:pPr>
              <w:pStyle w:val="Tabletext"/>
              <w:rPr>
                <w:rFonts w:eastAsia="Calibri"/>
                <w:color w:val="000000"/>
                <w:lang w:val="en-GB"/>
              </w:rPr>
            </w:pPr>
            <w:r w:rsidRPr="00D10926">
              <w:t xml:space="preserve">Community Health Services pharmacist </w:t>
            </w:r>
          </w:p>
        </w:tc>
      </w:tr>
      <w:tr w:rsidR="00064511" w:rsidRPr="00DF77C7" w14:paraId="5423EC55" w14:textId="77777777" w:rsidTr="6D8B1CA6">
        <w:trPr>
          <w:trHeight w:val="428"/>
        </w:trPr>
        <w:tc>
          <w:tcPr>
            <w:tcW w:w="2297" w:type="dxa"/>
            <w:vAlign w:val="center"/>
          </w:tcPr>
          <w:p w14:paraId="2F5E3A83" w14:textId="77777777" w:rsidR="00064511" w:rsidRPr="00C749BF" w:rsidRDefault="00064511" w:rsidP="00B637DB">
            <w:pPr>
              <w:pStyle w:val="Tabletext"/>
            </w:pPr>
            <w:r w:rsidRPr="00C749BF">
              <w:t>Michelle Jenkins</w:t>
            </w:r>
          </w:p>
          <w:p w14:paraId="4CF79273" w14:textId="77777777" w:rsidR="00064511" w:rsidRPr="00DF59C5" w:rsidRDefault="00064511" w:rsidP="00B637DB">
            <w:pPr>
              <w:pStyle w:val="Tabletext"/>
              <w:rPr>
                <w:rFonts w:eastAsia="Calibri"/>
                <w:lang w:val="en-GB"/>
              </w:rPr>
            </w:pPr>
          </w:p>
        </w:tc>
        <w:tc>
          <w:tcPr>
            <w:tcW w:w="6912" w:type="dxa"/>
            <w:vAlign w:val="center"/>
          </w:tcPr>
          <w:p w14:paraId="50BA1DF8" w14:textId="77777777" w:rsidR="00064511" w:rsidRDefault="00064511" w:rsidP="00B637DB">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B637DB">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6D8B1CA6">
        <w:trPr>
          <w:trHeight w:val="331"/>
        </w:trPr>
        <w:tc>
          <w:tcPr>
            <w:tcW w:w="2297" w:type="dxa"/>
            <w:vAlign w:val="center"/>
          </w:tcPr>
          <w:p w14:paraId="012E653B" w14:textId="77777777" w:rsidR="00064511" w:rsidRPr="00900916" w:rsidRDefault="00064511" w:rsidP="00B637DB">
            <w:pPr>
              <w:pStyle w:val="Tabletext"/>
            </w:pPr>
            <w:r w:rsidRPr="00C749BF">
              <w:t>Portia Jackson</w:t>
            </w:r>
          </w:p>
        </w:tc>
        <w:tc>
          <w:tcPr>
            <w:tcW w:w="6912" w:type="dxa"/>
            <w:vAlign w:val="center"/>
          </w:tcPr>
          <w:p w14:paraId="6BEE2E92" w14:textId="6C4C84D1" w:rsidR="00064511" w:rsidRPr="00900916" w:rsidRDefault="001B0CCA" w:rsidP="00B637DB">
            <w:pPr>
              <w:pStyle w:val="Tabletext"/>
            </w:pPr>
            <w:r w:rsidRPr="00C8140C">
              <w:rPr>
                <w:rFonts w:cs="Arial"/>
                <w:szCs w:val="22"/>
              </w:rPr>
              <w:t xml:space="preserve">Deputy Chief Pharmacist and Lead for iCaSH </w:t>
            </w:r>
            <w:r>
              <w:rPr>
                <w:rFonts w:cs="Arial"/>
                <w:szCs w:val="22"/>
              </w:rPr>
              <w:br/>
            </w:r>
            <w:r w:rsidRPr="00C8140C">
              <w:rPr>
                <w:rFonts w:cs="Arial"/>
                <w:szCs w:val="22"/>
              </w:rPr>
              <w:t>East of England Community Health and Care NHS Trust</w:t>
            </w:r>
          </w:p>
        </w:tc>
      </w:tr>
      <w:tr w:rsidR="00064511" w:rsidRPr="00DF77C7" w14:paraId="1C13EA67" w14:textId="77777777" w:rsidTr="6D8B1CA6">
        <w:trPr>
          <w:trHeight w:val="331"/>
        </w:trPr>
        <w:tc>
          <w:tcPr>
            <w:tcW w:w="2297" w:type="dxa"/>
            <w:vAlign w:val="center"/>
          </w:tcPr>
          <w:p w14:paraId="08FE06D2" w14:textId="77777777" w:rsidR="00064511" w:rsidRPr="00900916" w:rsidRDefault="00064511" w:rsidP="00B637DB">
            <w:pPr>
              <w:pStyle w:val="Tabletext"/>
            </w:pPr>
            <w:r w:rsidRPr="00121A81">
              <w:t>Rachel Logan</w:t>
            </w:r>
          </w:p>
        </w:tc>
        <w:tc>
          <w:tcPr>
            <w:tcW w:w="6912" w:type="dxa"/>
            <w:vAlign w:val="center"/>
          </w:tcPr>
          <w:p w14:paraId="14585725" w14:textId="77777777" w:rsidR="00064511" w:rsidRPr="00900916" w:rsidRDefault="00064511" w:rsidP="00B637DB">
            <w:pPr>
              <w:pStyle w:val="Tabletext"/>
            </w:pPr>
            <w:r w:rsidRPr="00121A81">
              <w:t>Senior Pharmacist, BPAS</w:t>
            </w:r>
          </w:p>
        </w:tc>
      </w:tr>
      <w:tr w:rsidR="00064511" w:rsidRPr="00DF77C7" w14:paraId="5B1601CC" w14:textId="77777777" w:rsidTr="6D8B1CA6">
        <w:trPr>
          <w:trHeight w:val="331"/>
        </w:trPr>
        <w:tc>
          <w:tcPr>
            <w:tcW w:w="2297" w:type="dxa"/>
            <w:vAlign w:val="center"/>
          </w:tcPr>
          <w:p w14:paraId="43144197" w14:textId="77777777" w:rsidR="00064511" w:rsidRPr="00900916" w:rsidRDefault="00064511" w:rsidP="00B637DB">
            <w:pPr>
              <w:pStyle w:val="Tabletext"/>
            </w:pPr>
            <w:r>
              <w:t>Tanya Lane</w:t>
            </w:r>
          </w:p>
        </w:tc>
        <w:tc>
          <w:tcPr>
            <w:tcW w:w="6912" w:type="dxa"/>
            <w:vAlign w:val="center"/>
          </w:tcPr>
          <w:p w14:paraId="7B252554" w14:textId="20279025" w:rsidR="00064511" w:rsidRPr="00900916" w:rsidRDefault="660A24C1" w:rsidP="00B637DB">
            <w:pPr>
              <w:pStyle w:val="Tabletext"/>
            </w:pPr>
            <w:r>
              <w:t>CoSRH Registered Trainer</w:t>
            </w:r>
            <w:r w:rsidR="551A6F10">
              <w:t>,</w:t>
            </w:r>
            <w:r>
              <w:t xml:space="preserve"> MSI </w:t>
            </w:r>
            <w:r w:rsidR="003D38E9">
              <w:t>R</w:t>
            </w:r>
            <w:r>
              <w:t>eproductive Choices</w:t>
            </w:r>
          </w:p>
        </w:tc>
      </w:tr>
      <w:tr w:rsidR="00064511" w:rsidRPr="00DF77C7" w14:paraId="4BBE6253" w14:textId="77777777" w:rsidTr="6D8B1CA6">
        <w:trPr>
          <w:trHeight w:val="394"/>
        </w:trPr>
        <w:tc>
          <w:tcPr>
            <w:tcW w:w="2297" w:type="dxa"/>
            <w:vAlign w:val="center"/>
          </w:tcPr>
          <w:p w14:paraId="764FD9BB" w14:textId="77777777" w:rsidR="00064511" w:rsidRPr="00900916" w:rsidRDefault="00064511" w:rsidP="00B637DB">
            <w:pPr>
              <w:pStyle w:val="Tabletext"/>
            </w:pPr>
            <w:r w:rsidRPr="00D10926">
              <w:lastRenderedPageBreak/>
              <w:t xml:space="preserve">Jo Jenkins </w:t>
            </w:r>
          </w:p>
        </w:tc>
        <w:tc>
          <w:tcPr>
            <w:tcW w:w="6912" w:type="dxa"/>
            <w:vAlign w:val="center"/>
          </w:tcPr>
          <w:p w14:paraId="7060C6FA" w14:textId="77777777" w:rsidR="00064511" w:rsidRPr="00900916" w:rsidRDefault="00064511" w:rsidP="00B637DB">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6D8B1CA6">
        <w:trPr>
          <w:trHeight w:val="436"/>
        </w:trPr>
        <w:tc>
          <w:tcPr>
            <w:tcW w:w="2297" w:type="dxa"/>
            <w:vAlign w:val="center"/>
          </w:tcPr>
          <w:p w14:paraId="61CEED95" w14:textId="77777777" w:rsidR="00064511" w:rsidRPr="00900916" w:rsidRDefault="00064511" w:rsidP="00B637DB">
            <w:pPr>
              <w:pStyle w:val="Tabletext"/>
            </w:pPr>
            <w:r w:rsidRPr="00C749BF">
              <w:t>Kieran Reynolds</w:t>
            </w:r>
          </w:p>
        </w:tc>
        <w:tc>
          <w:tcPr>
            <w:tcW w:w="6912" w:type="dxa"/>
            <w:vAlign w:val="center"/>
          </w:tcPr>
          <w:p w14:paraId="5A7D4864" w14:textId="77777777" w:rsidR="00064511" w:rsidRPr="00900916" w:rsidRDefault="00064511" w:rsidP="00B637DB">
            <w:pPr>
              <w:pStyle w:val="Tabletext"/>
            </w:pPr>
            <w:r w:rsidRPr="00121A81">
              <w:t>Advanced Specialist Pharmacist - Medicines Governance</w:t>
            </w:r>
            <w:r>
              <w:t>,</w:t>
            </w:r>
            <w:r w:rsidRPr="00121A81">
              <w:t> </w:t>
            </w:r>
            <w:r w:rsidRPr="00D10926">
              <w:t>Specialist Pharmacy Service</w:t>
            </w:r>
          </w:p>
        </w:tc>
      </w:tr>
      <w:tr w:rsidR="00064511" w:rsidRPr="00DF77C7" w14:paraId="0119032F" w14:textId="77777777" w:rsidTr="6D8B1CA6">
        <w:trPr>
          <w:trHeight w:val="458"/>
        </w:trPr>
        <w:tc>
          <w:tcPr>
            <w:tcW w:w="2297" w:type="dxa"/>
            <w:vAlign w:val="center"/>
          </w:tcPr>
          <w:p w14:paraId="59D83984" w14:textId="77777777" w:rsidR="00064511" w:rsidRPr="008B4094" w:rsidRDefault="00064511" w:rsidP="00B637DB">
            <w:pPr>
              <w:pStyle w:val="Tabletext"/>
              <w:rPr>
                <w:i/>
                <w:iCs/>
              </w:rPr>
            </w:pPr>
            <w:r w:rsidRPr="00C749BF">
              <w:t>Rosie Furner (Working Group Co-Ordinator)</w:t>
            </w:r>
          </w:p>
        </w:tc>
        <w:tc>
          <w:tcPr>
            <w:tcW w:w="6912" w:type="dxa"/>
            <w:vAlign w:val="center"/>
          </w:tcPr>
          <w:p w14:paraId="5723524C" w14:textId="77777777" w:rsidR="00064511" w:rsidRPr="00900916" w:rsidRDefault="00064511" w:rsidP="00B637DB">
            <w:pPr>
              <w:pStyle w:val="Tabletext"/>
            </w:pPr>
            <w:r w:rsidRPr="00121A81">
              <w:t>Advanced Specialist Pharmacist</w:t>
            </w:r>
            <w:r>
              <w:t>,</w:t>
            </w:r>
            <w:r w:rsidRPr="00121A81">
              <w:t xml:space="preserve"> PGDs and Medicine Mechanisms, Specialist Pharmacy Service</w:t>
            </w:r>
          </w:p>
        </w:tc>
      </w:tr>
      <w:tr w:rsidR="00064511" w:rsidRPr="00DF77C7" w14:paraId="354768C1" w14:textId="77777777" w:rsidTr="6D8B1CA6">
        <w:trPr>
          <w:trHeight w:val="362"/>
        </w:trPr>
        <w:tc>
          <w:tcPr>
            <w:tcW w:w="2297" w:type="dxa"/>
            <w:vAlign w:val="center"/>
          </w:tcPr>
          <w:p w14:paraId="379BBFD2" w14:textId="77777777" w:rsidR="00064511" w:rsidRPr="00900916" w:rsidRDefault="00064511" w:rsidP="00B637DB">
            <w:pPr>
              <w:pStyle w:val="Tabletext"/>
            </w:pPr>
            <w:r w:rsidRPr="00D10926">
              <w:t xml:space="preserve">Sandra Wolper </w:t>
            </w:r>
          </w:p>
        </w:tc>
        <w:tc>
          <w:tcPr>
            <w:tcW w:w="6912" w:type="dxa"/>
            <w:vAlign w:val="center"/>
          </w:tcPr>
          <w:p w14:paraId="6D1AB966" w14:textId="77777777" w:rsidR="00064511" w:rsidRPr="00900916" w:rsidRDefault="00064511" w:rsidP="00B637DB">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813399" w:rsidRPr="00A87ADE">
        <w:rPr>
          <w:highlight w:val="yellow"/>
          <w:lang w:val="en-GB"/>
        </w:rPr>
        <w:t>.</w:t>
      </w:r>
      <w:r w:rsidRPr="00A87ADE">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A87ADE">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sidRPr="00A87ADE">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940D04"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940D04"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940D04"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940D04"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940D04"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0"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87ADE">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lastRenderedPageBreak/>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87ADE">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180DC5C8" w:rsidR="00B81529" w:rsidRPr="002125E8" w:rsidRDefault="002125E8" w:rsidP="00311DC1">
            <w:pPr>
              <w:pStyle w:val="Tabletext"/>
            </w:pPr>
            <w:r w:rsidRPr="002125E8">
              <w:t xml:space="preserve">Registered healthcare professional </w:t>
            </w:r>
            <w:r>
              <w:t xml:space="preserve">(HCP) </w:t>
            </w:r>
            <w:r w:rsidRPr="002125E8">
              <w:t xml:space="preserve">listed in  </w:t>
            </w:r>
            <w:hyperlink r:id="rId11" w:tgtFrame="_blank" w:history="1">
              <w:r w:rsidRPr="002125E8">
                <w:rPr>
                  <w:rStyle w:val="Hyperlink"/>
                </w:rPr>
                <w:t>The Human Medicines Regulation 2012, Schedule 16 Part 4 legislation</w:t>
              </w:r>
            </w:hyperlink>
            <w:r w:rsidRPr="002125E8">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1849607" w:rsidR="00446FC4" w:rsidRDefault="00446FC4" w:rsidP="00FE6E1E">
            <w:pPr>
              <w:pStyle w:val="Tabletext"/>
            </w:pPr>
            <w:r w:rsidRPr="00446FC4">
              <w:t xml:space="preserve">The registered </w:t>
            </w:r>
            <w:r w:rsidR="002125E8">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20A95C6" w:rsidR="00A61B14" w:rsidRDefault="002125E8" w:rsidP="00FE6E1E">
            <w:pPr>
              <w:pStyle w:val="Tabletext"/>
              <w:rPr>
                <w:rStyle w:val="Hyperlink"/>
              </w:rPr>
            </w:pPr>
            <w:r>
              <w:t xml:space="preserve">The registered HCP </w:t>
            </w:r>
            <w:r w:rsidR="00FE6E1E">
              <w:t xml:space="preserve">has undertaken appropriate training for working under PGDs for the supply and administration of medicines.  Recommended training - </w:t>
            </w:r>
            <w:hyperlink r:id="rId12"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07EF7719" w:rsidR="00B81529" w:rsidRPr="00DF77C7" w:rsidRDefault="00446FC4" w:rsidP="00A61B14">
            <w:pPr>
              <w:pStyle w:val="Tabletext"/>
              <w:rPr>
                <w:lang w:val="en-GB"/>
              </w:rPr>
            </w:pPr>
            <w:r w:rsidRPr="00446FC4">
              <w:t xml:space="preserve">The </w:t>
            </w:r>
            <w:r w:rsidR="002125E8">
              <w:t>HCP</w:t>
            </w:r>
            <w:r w:rsidRPr="00446FC4">
              <w:t xml:space="preserve"> has completed training and is up to date with </w:t>
            </w:r>
            <w:r w:rsidRPr="00A87ADE">
              <w:rPr>
                <w:highlight w:val="cyan"/>
              </w:rP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rsidRPr="00A87ADE">
              <w:rPr>
                <w:highlight w:val="cyan"/>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51CADE9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contraception supply</w:t>
            </w:r>
          </w:p>
          <w:p w14:paraId="594FC6AB" w14:textId="77777777" w:rsidR="00655155" w:rsidRDefault="00655155" w:rsidP="008762B8">
            <w:pPr>
              <w:pStyle w:val="Tabletext"/>
              <w:rPr>
                <w:lang w:val="en-GB"/>
              </w:rPr>
            </w:pPr>
          </w:p>
          <w:p w14:paraId="5719D930" w14:textId="0114E24B"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87ADE">
              <w:rPr>
                <w:highlight w:val="cyan"/>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sidRPr="00A87ADE">
              <w:rPr>
                <w:highlight w:val="cyan"/>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512F225B">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D51690">
            <w:pPr>
              <w:pStyle w:val="Bulletindent1"/>
            </w:pPr>
            <w:r w:rsidRPr="00D51690">
              <w:t xml:space="preserve">Contraception </w:t>
            </w:r>
          </w:p>
          <w:p w14:paraId="622A2C8E" w14:textId="62745B90" w:rsidR="00D36D23" w:rsidRDefault="6BC28419" w:rsidP="00D51690">
            <w:pPr>
              <w:pStyle w:val="Bulletindent1"/>
            </w:pPr>
            <w:r>
              <w:t xml:space="preserve">Individuals requiring control of problematic bleeding caused by the subdermal implant, </w:t>
            </w:r>
            <w:r w:rsidR="001E5CA4">
              <w:t>LNG-</w:t>
            </w:r>
            <w:r>
              <w:t>IU</w:t>
            </w:r>
            <w:r w:rsidR="1A343DBC">
              <w:t>D</w:t>
            </w:r>
            <w:r>
              <w:t xml:space="preserve"> or medroxyprogesterone injection for up to three months.  </w:t>
            </w:r>
          </w:p>
        </w:tc>
      </w:tr>
      <w:tr w:rsidR="00AE4F4B" w14:paraId="423D958D" w14:textId="77777777" w:rsidTr="512F225B">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6BF4A4B2" w14:textId="77777777" w:rsidR="00D51690" w:rsidRPr="00E269B0" w:rsidRDefault="00D51690" w:rsidP="00D51690">
            <w:pPr>
              <w:pStyle w:val="Bulletindent1"/>
            </w:pPr>
            <w:r w:rsidRPr="00E269B0">
              <w:t>Individual (age from menarche to up to 50 years) presenting for contraception.</w:t>
            </w:r>
          </w:p>
          <w:p w14:paraId="235F2598" w14:textId="359E696B" w:rsidR="00D51690" w:rsidRPr="00E269B0" w:rsidRDefault="1D13EDE0" w:rsidP="00D51690">
            <w:pPr>
              <w:pStyle w:val="Bulletindent1"/>
            </w:pPr>
            <w:r>
              <w:t xml:space="preserve">Individuals requiring control of problematic bleeding caused by the subdermal implant, </w:t>
            </w:r>
            <w:r w:rsidR="001E5CA4">
              <w:t>LNG-</w:t>
            </w:r>
            <w:r>
              <w:t>IU</w:t>
            </w:r>
            <w:r w:rsidR="27AA46DC">
              <w:t>D</w:t>
            </w:r>
            <w:r>
              <w:t xml:space="preserve"> or medroxyprogesterone injection for up to three months</w:t>
            </w:r>
            <w:r w:rsidR="5ED76772">
              <w:t>.</w:t>
            </w:r>
            <w:r>
              <w:t xml:space="preserve">  </w:t>
            </w:r>
          </w:p>
          <w:p w14:paraId="14320579" w14:textId="18050F12" w:rsidR="00D51690" w:rsidRPr="001071E6" w:rsidRDefault="00D51690" w:rsidP="00D51690">
            <w:pPr>
              <w:pStyle w:val="Bulletindent1"/>
              <w:rPr>
                <w:rFonts w:ascii="Calibri" w:hAnsi="Calibri" w:cs="Calibri"/>
              </w:rPr>
            </w:pPr>
            <w:r w:rsidRPr="001071E6">
              <w:t xml:space="preserve">Consent given  </w:t>
            </w:r>
          </w:p>
          <w:p w14:paraId="02A2FFD7" w14:textId="31BB24F5" w:rsidR="00AE4F4B" w:rsidRDefault="00D51690" w:rsidP="00D51690">
            <w:pPr>
              <w:pStyle w:val="Bulletindent1"/>
            </w:pPr>
            <w:r w:rsidRPr="001071E6">
              <w:rPr>
                <w:rFonts w:eastAsia="Calibri"/>
              </w:rPr>
              <w:t>A recent, accurate blood pressure recording and BMI should be documented for all individuals prior to first C</w:t>
            </w:r>
            <w:r w:rsidR="00F825C4">
              <w:rPr>
                <w:rFonts w:eastAsia="Calibri"/>
              </w:rPr>
              <w:t>O</w:t>
            </w:r>
            <w:r w:rsidRPr="001071E6">
              <w:rPr>
                <w:rFonts w:eastAsia="Calibri"/>
              </w:rPr>
              <w:t xml:space="preserve">C supply and repeated for each subsequent supply.  In exceptional circumstances, such as a pandemic, where a remote consultation </w:t>
            </w:r>
            <w:proofErr w:type="gramStart"/>
            <w:r w:rsidRPr="001071E6">
              <w:rPr>
                <w:rFonts w:eastAsia="Calibri"/>
              </w:rPr>
              <w:t>has to</w:t>
            </w:r>
            <w:proofErr w:type="gramEnd"/>
            <w:r w:rsidRPr="001071E6">
              <w:rPr>
                <w:rFonts w:eastAsia="Calibri"/>
              </w:rPr>
              <w:t xml:space="preserve"> take place and it is not possible to obtain a </w:t>
            </w:r>
            <w:r>
              <w:rPr>
                <w:rFonts w:eastAsia="Calibri"/>
              </w:rPr>
              <w:t xml:space="preserve">blood pressure </w:t>
            </w:r>
            <w:r w:rsidRPr="001071E6">
              <w:rPr>
                <w:rFonts w:eastAsia="Calibri"/>
              </w:rPr>
              <w:t>or BMI then then please refer to advice</w:t>
            </w:r>
            <w:r w:rsidR="00617AA0">
              <w:rPr>
                <w:rFonts w:eastAsia="Calibri"/>
              </w:rPr>
              <w:t xml:space="preserve"> in</w:t>
            </w:r>
            <w:r w:rsidRPr="001071E6">
              <w:rPr>
                <w:rFonts w:eastAsia="Calibri"/>
              </w:rPr>
              <w:t xml:space="preserve"> the </w:t>
            </w:r>
            <w:hyperlink r:id="rId14" w:history="1">
              <w:r w:rsidR="00980866">
                <w:rPr>
                  <w:rStyle w:val="Hyperlink"/>
                  <w:rFonts w:eastAsia="Calibri"/>
                </w:rPr>
                <w:t>Co</w:t>
              </w:r>
              <w:r w:rsidRPr="00617AA0">
                <w:rPr>
                  <w:rStyle w:val="Hyperlink"/>
                  <w:rFonts w:eastAsia="Calibri"/>
                </w:rPr>
                <w:t>SRH Guideline Combined Hormonal Contraception Section 12.1.1</w:t>
              </w:r>
            </w:hyperlink>
          </w:p>
        </w:tc>
      </w:tr>
      <w:tr w:rsidR="00AE4F4B" w14:paraId="6FC007A9" w14:textId="77777777" w:rsidTr="512F225B">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139F631" w14:textId="1667E026" w:rsidR="00617AA0" w:rsidRPr="00AF42D9" w:rsidRDefault="00617AA0" w:rsidP="00617AA0">
            <w:pPr>
              <w:pStyle w:val="Bulletindent1"/>
            </w:pPr>
            <w:r w:rsidRPr="00AF42D9">
              <w:t xml:space="preserve">Consent not given  </w:t>
            </w:r>
          </w:p>
          <w:p w14:paraId="07A69171" w14:textId="77777777" w:rsidR="00617AA0" w:rsidRPr="00AF42D9" w:rsidRDefault="00617AA0" w:rsidP="00617AA0">
            <w:pPr>
              <w:pStyle w:val="Bulletindent1"/>
            </w:pPr>
            <w:r w:rsidRPr="00AF42D9">
              <w:t>Individuals under 16 years of age and assessed as not competent using Fraser Guidelines.</w:t>
            </w:r>
          </w:p>
          <w:p w14:paraId="1C265526" w14:textId="77777777" w:rsidR="00617AA0" w:rsidRPr="00AF42D9" w:rsidRDefault="00617AA0" w:rsidP="00617AA0">
            <w:pPr>
              <w:pStyle w:val="Bulletindent1"/>
            </w:pPr>
            <w:r w:rsidRPr="00AF42D9">
              <w:t>Individuals 16 years of age and over and assessed as lacking capacity to consent.</w:t>
            </w:r>
          </w:p>
          <w:p w14:paraId="059D5605" w14:textId="1A158829" w:rsidR="00617AA0" w:rsidRPr="00583C3F" w:rsidRDefault="00617AA0" w:rsidP="00617AA0">
            <w:pPr>
              <w:pStyle w:val="Bulletindent1"/>
            </w:pPr>
            <w:r w:rsidRPr="00583C3F">
              <w:t>Established pregnancy. Note - risk of pregnancy with a negative pregnancy test is not an exclusion</w:t>
            </w:r>
            <w:r w:rsidR="00F825C4">
              <w:t>.</w:t>
            </w:r>
          </w:p>
          <w:p w14:paraId="7FF9AEAB" w14:textId="6933554C" w:rsidR="00617AA0" w:rsidRPr="001643D3" w:rsidRDefault="00617AA0" w:rsidP="00617AA0">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 </w:t>
            </w:r>
            <w:r w:rsidRPr="00AF42D9">
              <w:t xml:space="preserve"> </w:t>
            </w:r>
            <w:hyperlink r:id="rId15" w:history="1">
              <w:r>
                <w:rPr>
                  <w:color w:val="0000FF"/>
                  <w:u w:val="single"/>
                </w:rPr>
                <w:t>Summary of Product Characteristics which can be accessed on the EMC website</w:t>
              </w:r>
            </w:hyperlink>
          </w:p>
          <w:p w14:paraId="28AEC072" w14:textId="77777777" w:rsidR="00617AA0" w:rsidRPr="00545341" w:rsidRDefault="00617AA0" w:rsidP="00617AA0">
            <w:pPr>
              <w:pStyle w:val="Bulletindent1"/>
              <w:rPr>
                <w:rFonts w:eastAsia="Arial"/>
              </w:rPr>
            </w:pPr>
            <w:r w:rsidRPr="00545341">
              <w:t xml:space="preserve">Some COC products contain lactose/sucrose – individuals with rare hereditary problems of galactose intolerance, total lactase deficiency, fructose intolerance or glucose-galactose malabsorption or sucrase-isomaltase </w:t>
            </w:r>
            <w:r>
              <w:t xml:space="preserve">deficiency </w:t>
            </w:r>
            <w:r w:rsidRPr="00545341">
              <w:t>should not take these medicines.  Where applicable, check product excipients before supplying.</w:t>
            </w:r>
          </w:p>
          <w:p w14:paraId="5319A5A9" w14:textId="2A88225A" w:rsidR="00617AA0" w:rsidRDefault="00617AA0" w:rsidP="00617AA0">
            <w:pPr>
              <w:pStyle w:val="Bulletindent1"/>
            </w:pPr>
            <w:r w:rsidRPr="00C9363A">
              <w:t xml:space="preserve">Less </w:t>
            </w:r>
            <w:r>
              <w:t xml:space="preserve">than </w:t>
            </w:r>
            <w:r w:rsidRPr="00C9363A">
              <w:t>21 days after childbirth (for deliveries over 24 weeks gestation)</w:t>
            </w:r>
            <w:r w:rsidR="00F825C4">
              <w:t>.</w:t>
            </w:r>
          </w:p>
          <w:p w14:paraId="19F532D7" w14:textId="77777777" w:rsidR="00617AA0" w:rsidRPr="00BF62D2" w:rsidRDefault="00617AA0" w:rsidP="00617AA0">
            <w:pPr>
              <w:pStyle w:val="Bulletindent1"/>
            </w:pPr>
            <w:r w:rsidRPr="00AF42D9">
              <w:lastRenderedPageBreak/>
              <w:t xml:space="preserve">Breastfeeding and less than six weeks </w:t>
            </w:r>
            <w:r w:rsidRPr="00BF62D2">
              <w:t xml:space="preserve">postpartum.  </w:t>
            </w:r>
          </w:p>
          <w:p w14:paraId="6EAC31E7" w14:textId="77777777" w:rsidR="00617AA0" w:rsidRPr="00BF62D2" w:rsidRDefault="00617AA0" w:rsidP="00617AA0">
            <w:pPr>
              <w:pStyle w:val="Bulletindent1"/>
            </w:pPr>
            <w:r w:rsidRPr="00BF62D2">
              <w:t xml:space="preserve">Not breastfeeding and less than 6 weeks post-partum with other risk factors for venous thromboembolism (VTE). </w:t>
            </w:r>
          </w:p>
          <w:p w14:paraId="5F0355EA" w14:textId="77777777" w:rsidR="00617AA0" w:rsidRDefault="00617AA0" w:rsidP="00617AA0">
            <w:pPr>
              <w:pStyle w:val="Bulletindent1"/>
            </w:pPr>
            <w:r w:rsidRPr="00AF42D9">
              <w:t>Individuals aged 50 years and over.</w:t>
            </w:r>
          </w:p>
          <w:p w14:paraId="3542AFC4" w14:textId="72D4AD74" w:rsidR="00617AA0" w:rsidRPr="00942C0F" w:rsidRDefault="013C0383" w:rsidP="6D8B1CA6">
            <w:pPr>
              <w:pStyle w:val="Bulletindent1"/>
            </w:pPr>
            <w:r>
              <w:t>Significant or prolonged immobility.</w:t>
            </w:r>
          </w:p>
          <w:p w14:paraId="07AF30C7" w14:textId="7DC106BD" w:rsidR="00617AA0" w:rsidRPr="00232366" w:rsidRDefault="538D8BB5" w:rsidP="6D8B1CA6">
            <w:pPr>
              <w:pStyle w:val="Bulletindent1"/>
            </w:pPr>
            <w:r w:rsidRPr="00232366">
              <w:rPr>
                <w:rFonts w:eastAsia="Arial" w:cs="Arial"/>
                <w:szCs w:val="22"/>
              </w:rPr>
              <w:t>Major surgery.</w:t>
            </w:r>
          </w:p>
          <w:p w14:paraId="676A50B3" w14:textId="54FC0543" w:rsidR="1B654422" w:rsidRPr="00232366" w:rsidRDefault="1B654422" w:rsidP="4D59EADA">
            <w:pPr>
              <w:pStyle w:val="Bulletindent1"/>
              <w:numPr>
                <w:ilvl w:val="0"/>
                <w:numId w:val="0"/>
              </w:numPr>
              <w:ind w:left="720"/>
            </w:pPr>
            <w:r w:rsidRPr="00232366">
              <w:rPr>
                <w:rFonts w:eastAsia="Arial" w:cs="Arial"/>
                <w:szCs w:val="22"/>
              </w:rPr>
              <w:t xml:space="preserve">NB: </w:t>
            </w:r>
            <w:r w:rsidR="38CAA7CC" w:rsidRPr="00232366">
              <w:rPr>
                <w:szCs w:val="22"/>
              </w:rPr>
              <w:t>Within 4 weeks before or until 2 weeks after full mobilisation following major elective surgery (&gt;30 minutes duration) or any surgery on the legs or surgery which involves prolonged immobilisation of a lower limb.</w:t>
            </w:r>
          </w:p>
          <w:p w14:paraId="0C581408" w14:textId="370C039F" w:rsidR="56DD2639" w:rsidRDefault="56DD2639" w:rsidP="15C10A53">
            <w:pPr>
              <w:pStyle w:val="Bulletindent1"/>
              <w:numPr>
                <w:ilvl w:val="0"/>
                <w:numId w:val="0"/>
              </w:numPr>
              <w:rPr>
                <w:rFonts w:eastAsia="Arial" w:cs="Arial"/>
                <w:color w:val="FF0000"/>
                <w:szCs w:val="22"/>
              </w:rPr>
            </w:pPr>
          </w:p>
          <w:p w14:paraId="53F71D12" w14:textId="77777777" w:rsidR="00CB4A2B" w:rsidRDefault="00617AA0" w:rsidP="00617AA0">
            <w:pPr>
              <w:pStyle w:val="Tabletext"/>
              <w:rPr>
                <w:b/>
                <w:bCs/>
              </w:rPr>
            </w:pPr>
            <w:r w:rsidRPr="00617AA0">
              <w:rPr>
                <w:b/>
                <w:bCs/>
              </w:rPr>
              <w:t>Cardiovascular disease</w:t>
            </w:r>
          </w:p>
          <w:p w14:paraId="4ACF673E" w14:textId="77777777" w:rsidR="00617AA0" w:rsidRPr="0038247A" w:rsidRDefault="00617AA0" w:rsidP="00617AA0">
            <w:pPr>
              <w:pStyle w:val="Bulletindent1"/>
            </w:pPr>
            <w:r w:rsidRPr="0038247A">
              <w:t xml:space="preserve">Individuals aged 35 years or more </w:t>
            </w:r>
            <w:r>
              <w:t>who currently smoke</w:t>
            </w:r>
            <w:r w:rsidRPr="0038247A">
              <w:t xml:space="preserve"> or stopped smoking less than one year ago (this includes vaping and the use of e-cigarettes)</w:t>
            </w:r>
          </w:p>
          <w:p w14:paraId="11B898A8" w14:textId="77777777" w:rsidR="00617AA0" w:rsidRPr="0038247A" w:rsidRDefault="00617AA0" w:rsidP="00617AA0">
            <w:pPr>
              <w:pStyle w:val="Bulletindent1"/>
            </w:pPr>
            <w:r w:rsidRPr="0038247A">
              <w:t>Body Mass Index (BMI) equal to or greater than 35kg/m</w:t>
            </w:r>
            <w:r w:rsidRPr="0038247A">
              <w:rPr>
                <w:vertAlign w:val="superscript"/>
              </w:rPr>
              <w:t>2</w:t>
            </w:r>
          </w:p>
          <w:p w14:paraId="71C5246B" w14:textId="067A4C20" w:rsidR="00617AA0" w:rsidRPr="0038247A" w:rsidRDefault="00617AA0" w:rsidP="00617AA0">
            <w:pPr>
              <w:pStyle w:val="Bulletindent1"/>
            </w:pPr>
            <w:r>
              <w:t xml:space="preserve">Blood pressure </w:t>
            </w:r>
            <w:r w:rsidR="4F4EA054" w:rsidRPr="00232366">
              <w:t xml:space="preserve">measurement (in clinic) </w:t>
            </w:r>
            <w:r>
              <w:t>greater than 140/90mmHg or controlled hypertension</w:t>
            </w:r>
          </w:p>
          <w:p w14:paraId="33131056" w14:textId="1E58C9D5" w:rsidR="00617AA0" w:rsidRPr="00232366" w:rsidRDefault="006F0D0F" w:rsidP="6D8B1CA6">
            <w:pPr>
              <w:pStyle w:val="Bulletindent1"/>
            </w:pPr>
            <w:r w:rsidRPr="15CC22C3">
              <w:rPr>
                <w:lang w:val="en-US"/>
              </w:rPr>
              <w:t xml:space="preserve">Individuals with </w:t>
            </w:r>
            <w:r w:rsidRPr="57C7922A">
              <w:rPr>
                <w:rFonts w:eastAsia="Arial" w:cs="Arial"/>
                <w:szCs w:val="22"/>
              </w:rPr>
              <w:t xml:space="preserve">multiple </w:t>
            </w:r>
            <w:r w:rsidR="00D1150C" w:rsidRPr="57C7922A">
              <w:rPr>
                <w:rFonts w:eastAsia="Arial" w:cs="Arial"/>
                <w:szCs w:val="22"/>
              </w:rPr>
              <w:t xml:space="preserve">risk factors (defined as more than one risk factor) </w:t>
            </w:r>
            <w:r w:rsidR="013C0383">
              <w:t xml:space="preserve">for cardiovascular disease (CVD) (such as smoking </w:t>
            </w:r>
            <w:r w:rsidR="72A70FEB">
              <w:t xml:space="preserve">which </w:t>
            </w:r>
            <w:r w:rsidR="013C0383">
              <w:t>includes vaping/use of e-cigarettes)</w:t>
            </w:r>
            <w:r w:rsidR="21743AAC">
              <w:t>,</w:t>
            </w:r>
            <w:r w:rsidR="013C0383">
              <w:t xml:space="preserve"> diabetes, hypertension, obesity and dyslipidaemias)</w:t>
            </w:r>
            <w:r w:rsidR="1669373E">
              <w:t xml:space="preserve">. </w:t>
            </w:r>
            <w:r w:rsidR="1669373E" w:rsidRPr="00232366">
              <w:rPr>
                <w:rFonts w:eastAsia="Arial" w:cs="Arial"/>
                <w:szCs w:val="22"/>
              </w:rPr>
              <w:t>Where more than one risk factor is present, clinical judgement must be applied.</w:t>
            </w:r>
          </w:p>
          <w:p w14:paraId="7D6689A2" w14:textId="77777777" w:rsidR="00617AA0" w:rsidRPr="00AF42D9" w:rsidRDefault="00617AA0" w:rsidP="00617AA0">
            <w:pPr>
              <w:pStyle w:val="Bulletindent1"/>
            </w:pPr>
            <w:r>
              <w:t xml:space="preserve">Current or </w:t>
            </w:r>
            <w:bookmarkStart w:id="4" w:name="_Int_ta4M5Hg4"/>
            <w:proofErr w:type="gramStart"/>
            <w:r>
              <w:t>past history</w:t>
            </w:r>
            <w:bookmarkEnd w:id="4"/>
            <w:proofErr w:type="gramEnd"/>
            <w:r>
              <w:t xml:space="preserve"> of ischaemic heart disease, vascular disease, stroke or transient ischaemic attack</w:t>
            </w:r>
          </w:p>
          <w:p w14:paraId="61BAF63F" w14:textId="77777777" w:rsidR="00617AA0" w:rsidRPr="00AF42D9" w:rsidRDefault="00617AA0" w:rsidP="00617AA0">
            <w:pPr>
              <w:pStyle w:val="Bulletindent1"/>
            </w:pPr>
            <w:r>
              <w:t xml:space="preserve">Current or </w:t>
            </w:r>
            <w:bookmarkStart w:id="5" w:name="_Int_00tvfuBv"/>
            <w:proofErr w:type="gramStart"/>
            <w:r>
              <w:t>past history</w:t>
            </w:r>
            <w:bookmarkEnd w:id="5"/>
            <w:proofErr w:type="gramEnd"/>
            <w:r>
              <w:t xml:space="preserve"> of venous thromboembolism</w:t>
            </w:r>
          </w:p>
          <w:p w14:paraId="41B29C20" w14:textId="59C92B26" w:rsidR="72447DB3" w:rsidRPr="00232366" w:rsidRDefault="72447DB3" w:rsidP="4D59EADA">
            <w:pPr>
              <w:pStyle w:val="Bulletindent1"/>
              <w:rPr>
                <w:rFonts w:eastAsia="Arial" w:cs="Arial"/>
                <w:szCs w:val="22"/>
              </w:rPr>
            </w:pPr>
            <w:r w:rsidRPr="00232366">
              <w:rPr>
                <w:rFonts w:eastAsia="Arial" w:cs="Arial"/>
                <w:szCs w:val="22"/>
              </w:rPr>
              <w:t xml:space="preserve">Individuals with multiple risk factors (defined as more than one risk factor) for VTE are excluded. Clinical judgement should be applied and advice from a prescriber sought. </w:t>
            </w:r>
          </w:p>
          <w:p w14:paraId="49DC4F6E" w14:textId="677A8E3B" w:rsidR="72447DB3" w:rsidRPr="00232366" w:rsidRDefault="72447DB3" w:rsidP="4D59EADA">
            <w:pPr>
              <w:pStyle w:val="Bulletindent1"/>
              <w:numPr>
                <w:ilvl w:val="0"/>
                <w:numId w:val="0"/>
              </w:numPr>
              <w:spacing w:before="0" w:after="0"/>
              <w:ind w:left="720"/>
              <w:rPr>
                <w:rFonts w:eastAsia="Arial" w:cs="Arial"/>
                <w:szCs w:val="22"/>
              </w:rPr>
            </w:pPr>
            <w:r w:rsidRPr="00232366">
              <w:rPr>
                <w:rFonts w:eastAsia="Arial" w:cs="Arial"/>
                <w:szCs w:val="22"/>
              </w:rPr>
              <w:t xml:space="preserve">Examples of VTE risk factors include (but not exclusively) </w:t>
            </w:r>
          </w:p>
          <w:p w14:paraId="3E7678E5" w14:textId="21D1E074" w:rsidR="72447DB3" w:rsidRPr="00232366" w:rsidRDefault="2FF214C3" w:rsidP="00D62EA1">
            <w:pPr>
              <w:pStyle w:val="Bulletindent1"/>
              <w:numPr>
                <w:ilvl w:val="1"/>
                <w:numId w:val="16"/>
              </w:numPr>
              <w:spacing w:before="0" w:after="0"/>
              <w:rPr>
                <w:rFonts w:eastAsia="Arial" w:cs="Arial"/>
              </w:rPr>
            </w:pPr>
            <w:r w:rsidRPr="512F225B">
              <w:rPr>
                <w:rFonts w:eastAsia="Arial" w:cs="Arial"/>
              </w:rPr>
              <w:t>family history of VTE,</w:t>
            </w:r>
          </w:p>
          <w:p w14:paraId="39349648" w14:textId="023DF021"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immobility, </w:t>
            </w:r>
          </w:p>
          <w:p w14:paraId="01710882" w14:textId="37A876FA"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BMI&gt; </w:t>
            </w:r>
            <w:r w:rsidR="2C9BF166" w:rsidRPr="512F225B">
              <w:rPr>
                <w:rFonts w:eastAsia="Arial" w:cs="Arial"/>
              </w:rPr>
              <w:t>35kg/m</w:t>
            </w:r>
            <w:r w:rsidR="2C9BF166" w:rsidRPr="512F225B">
              <w:rPr>
                <w:rFonts w:eastAsia="Arial" w:cs="Arial"/>
                <w:vertAlign w:val="superscript"/>
              </w:rPr>
              <w:t>2</w:t>
            </w:r>
            <w:r w:rsidRPr="512F225B">
              <w:rPr>
                <w:rFonts w:eastAsia="Arial" w:cs="Arial"/>
              </w:rPr>
              <w:t xml:space="preserve">, </w:t>
            </w:r>
          </w:p>
          <w:p w14:paraId="55790ABA" w14:textId="1CFA3E3E"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superficial VTE, </w:t>
            </w:r>
          </w:p>
          <w:p w14:paraId="43577442" w14:textId="54F462E1"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ovarian and endometrial cancer, </w:t>
            </w:r>
          </w:p>
          <w:p w14:paraId="7138F689" w14:textId="244DC74E"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inflammatory bowel disease, </w:t>
            </w:r>
          </w:p>
          <w:p w14:paraId="152D6336" w14:textId="7E9009EA" w:rsidR="51A4535A" w:rsidRPr="00232366" w:rsidRDefault="50C26269" w:rsidP="00D62EA1">
            <w:pPr>
              <w:pStyle w:val="Bulletindent1"/>
              <w:numPr>
                <w:ilvl w:val="1"/>
                <w:numId w:val="16"/>
              </w:numPr>
              <w:spacing w:before="0" w:after="0"/>
              <w:rPr>
                <w:rFonts w:eastAsia="Arial" w:cs="Arial"/>
              </w:rPr>
            </w:pPr>
            <w:r w:rsidRPr="512F225B">
              <w:rPr>
                <w:rFonts w:eastAsia="Arial" w:cs="Arial"/>
              </w:rPr>
              <w:t>s</w:t>
            </w:r>
            <w:r w:rsidR="2FF214C3" w:rsidRPr="512F225B">
              <w:rPr>
                <w:rFonts w:eastAsia="Arial" w:cs="Arial"/>
              </w:rPr>
              <w:t>ickle cell disease</w:t>
            </w:r>
          </w:p>
          <w:p w14:paraId="5C85CC64" w14:textId="2C6553AD" w:rsidR="00617AA0" w:rsidRPr="00AF42D9" w:rsidRDefault="013C0383" w:rsidP="00617AA0">
            <w:pPr>
              <w:pStyle w:val="Bulletindent1"/>
            </w:pPr>
            <w:r>
              <w:lastRenderedPageBreak/>
              <w:t xml:space="preserve">Complicated valvular or congenital heart disease e.g. pulmonary hypertension, history of subacute bacterial endocarditis </w:t>
            </w:r>
          </w:p>
          <w:p w14:paraId="13FEFBB0" w14:textId="58A9A7B8" w:rsidR="00617AA0" w:rsidRPr="00232366" w:rsidRDefault="013C0383" w:rsidP="4D59EADA">
            <w:pPr>
              <w:pStyle w:val="Bulletindent1"/>
              <w:rPr>
                <w:rFonts w:eastAsia="Arial" w:cs="Arial"/>
                <w:szCs w:val="22"/>
              </w:rPr>
            </w:pPr>
            <w:r w:rsidRPr="00232366">
              <w:t>First degree relative with venous thromboembolism</w:t>
            </w:r>
            <w:r w:rsidR="12A0A1A3" w:rsidRPr="00232366">
              <w:t xml:space="preserve"> at any age</w:t>
            </w:r>
            <w:r w:rsidRPr="00232366">
              <w:t xml:space="preserve"> </w:t>
            </w:r>
          </w:p>
          <w:p w14:paraId="5AECDE95" w14:textId="77777777" w:rsidR="00617AA0" w:rsidRPr="00AF42D9" w:rsidRDefault="00617AA0" w:rsidP="00617AA0">
            <w:pPr>
              <w:pStyle w:val="Bulletindent1"/>
            </w:pPr>
            <w:r w:rsidRPr="00AF42D9">
              <w:t xml:space="preserve">Known thrombogenic mutations e.g. factor V Leiden, prothrombin mutation, protein S, protein C and antithrombin deficiencies </w:t>
            </w:r>
          </w:p>
          <w:p w14:paraId="4C23F2D7" w14:textId="77777777" w:rsidR="00617AA0" w:rsidRPr="00AF42D9" w:rsidRDefault="00617AA0" w:rsidP="00617AA0">
            <w:pPr>
              <w:pStyle w:val="Bulletindent1"/>
            </w:pPr>
            <w:r w:rsidRPr="00AF42D9">
              <w:t>Cardiomyopathy with impaired cardiac function</w:t>
            </w:r>
          </w:p>
          <w:p w14:paraId="1A27ED7C" w14:textId="77777777" w:rsidR="00617AA0" w:rsidRDefault="013C0383" w:rsidP="00617AA0">
            <w:pPr>
              <w:pStyle w:val="Bulletindent1"/>
            </w:pPr>
            <w:r>
              <w:t>Atrial fibrillation</w:t>
            </w:r>
          </w:p>
          <w:p w14:paraId="7CD4B22F" w14:textId="77777777" w:rsidR="00617AA0" w:rsidRPr="00617AA0" w:rsidRDefault="013C0383" w:rsidP="00617AA0">
            <w:pPr>
              <w:pStyle w:val="Tabletext"/>
              <w:rPr>
                <w:b/>
                <w:bCs/>
              </w:rPr>
            </w:pPr>
            <w:r w:rsidRPr="10C656D9">
              <w:rPr>
                <w:b/>
                <w:bCs/>
              </w:rPr>
              <w:t>Neurological Conditions</w:t>
            </w:r>
          </w:p>
          <w:p w14:paraId="139E7F1C" w14:textId="1DC321D6" w:rsidR="522FDC35" w:rsidRDefault="522FDC35" w:rsidP="10C656D9">
            <w:pPr>
              <w:pStyle w:val="Bulletindent1"/>
              <w:rPr>
                <w:rFonts w:eastAsia="Arial" w:cs="Arial"/>
                <w:szCs w:val="22"/>
              </w:rPr>
            </w:pPr>
            <w:r w:rsidRPr="10C656D9">
              <w:rPr>
                <w:rFonts w:eastAsia="Arial" w:cs="Arial"/>
                <w:szCs w:val="22"/>
              </w:rPr>
              <w:t xml:space="preserve">Current or </w:t>
            </w:r>
            <w:bookmarkStart w:id="6" w:name="_Int_DbBJzeoP"/>
            <w:proofErr w:type="gramStart"/>
            <w:r w:rsidRPr="10C656D9">
              <w:rPr>
                <w:rFonts w:eastAsia="Arial" w:cs="Arial"/>
                <w:szCs w:val="22"/>
              </w:rPr>
              <w:t>past history</w:t>
            </w:r>
            <w:bookmarkEnd w:id="6"/>
            <w:proofErr w:type="gramEnd"/>
            <w:r w:rsidRPr="10C656D9">
              <w:rPr>
                <w:rFonts w:eastAsia="Arial" w:cs="Arial"/>
                <w:szCs w:val="22"/>
              </w:rPr>
              <w:t xml:space="preserve"> of migraine with aura at any age</w:t>
            </w:r>
          </w:p>
          <w:p w14:paraId="74E59AE2" w14:textId="517D167F" w:rsidR="522FDC35" w:rsidRDefault="522FDC35" w:rsidP="10C656D9">
            <w:pPr>
              <w:pStyle w:val="Bulletindent1"/>
              <w:spacing w:before="0" w:after="0"/>
              <w:rPr>
                <w:rFonts w:eastAsia="Arial" w:cs="Arial"/>
                <w:szCs w:val="22"/>
              </w:rPr>
            </w:pPr>
            <w:r w:rsidRPr="10C656D9">
              <w:rPr>
                <w:rFonts w:eastAsia="Arial" w:cs="Arial"/>
                <w:szCs w:val="22"/>
              </w:rPr>
              <w:t>Migraine without aura; when first attack occurred on a method of contraception containing an estrogen</w:t>
            </w:r>
          </w:p>
          <w:p w14:paraId="2359807E" w14:textId="1658C9E2" w:rsidR="00617AA0" w:rsidRPr="00232366" w:rsidRDefault="224D35D0" w:rsidP="6D8B1CA6">
            <w:pPr>
              <w:pStyle w:val="Bulletindent1"/>
            </w:pPr>
            <w:r w:rsidRPr="00232366">
              <w:rPr>
                <w:rFonts w:eastAsia="Arial" w:cs="Arial"/>
                <w:szCs w:val="22"/>
              </w:rPr>
              <w:t>Multiple Sclerosis with prolonged immobility</w:t>
            </w:r>
          </w:p>
          <w:p w14:paraId="576D3FFF" w14:textId="77777777" w:rsidR="00617AA0" w:rsidRPr="00617AA0" w:rsidRDefault="00617AA0" w:rsidP="00617AA0">
            <w:pPr>
              <w:pStyle w:val="Tabletext"/>
              <w:rPr>
                <w:b/>
                <w:bCs/>
              </w:rPr>
            </w:pPr>
            <w:r w:rsidRPr="10C656D9">
              <w:rPr>
                <w:b/>
                <w:bCs/>
              </w:rPr>
              <w:t>Cancers</w:t>
            </w:r>
          </w:p>
          <w:p w14:paraId="77B8CE1D" w14:textId="06B4E5ED" w:rsidR="0B5A79CE" w:rsidRDefault="0B5A79CE" w:rsidP="10C656D9">
            <w:pPr>
              <w:pStyle w:val="Bulletindent1"/>
              <w:rPr>
                <w:rFonts w:eastAsia="Arial" w:cs="Arial"/>
                <w:szCs w:val="22"/>
              </w:rPr>
            </w:pPr>
            <w:r w:rsidRPr="10C656D9">
              <w:rPr>
                <w:rFonts w:eastAsia="Arial" w:cs="Arial"/>
                <w:szCs w:val="22"/>
              </w:rPr>
              <w:t>Past or current history of breast cancer, or currently being treated for breast cancer</w:t>
            </w:r>
          </w:p>
          <w:p w14:paraId="60DF03C3" w14:textId="77777777" w:rsidR="00617AA0" w:rsidRPr="00AF42D9" w:rsidRDefault="00617AA0" w:rsidP="00617AA0">
            <w:pPr>
              <w:pStyle w:val="Bulletindent1"/>
            </w:pPr>
            <w:r w:rsidRPr="00AF42D9">
              <w:t>Undiagnosed breast mass (for initiation of method only)</w:t>
            </w:r>
          </w:p>
          <w:p w14:paraId="66A044F3" w14:textId="69FD704C" w:rsidR="00617AA0" w:rsidRPr="00AF42D9" w:rsidRDefault="00617AA0" w:rsidP="00617AA0">
            <w:pPr>
              <w:pStyle w:val="Bulletindent1"/>
            </w:pPr>
            <w:r w:rsidRPr="00AF42D9">
              <w:t>Carrier of known gene mutations associated with breast cancer e.g. BRCA1</w:t>
            </w:r>
            <w:r w:rsidR="00981017">
              <w:t xml:space="preserve"> </w:t>
            </w:r>
            <w:r w:rsidRPr="00AF42D9">
              <w:t>or 2</w:t>
            </w:r>
          </w:p>
          <w:p w14:paraId="2D821ACF" w14:textId="77777777" w:rsidR="00617AA0" w:rsidRPr="008D7D0B" w:rsidRDefault="00617AA0" w:rsidP="00617AA0">
            <w:pPr>
              <w:pStyle w:val="Bulletindent1"/>
              <w:rPr>
                <w:color w:val="000000" w:themeColor="text1"/>
              </w:rPr>
            </w:pPr>
            <w:r w:rsidRPr="008D7D0B">
              <w:rPr>
                <w:color w:val="000000" w:themeColor="text1"/>
              </w:rPr>
              <w:t>Malignant liver tumour (hepatocellular carcinoma)</w:t>
            </w:r>
          </w:p>
          <w:p w14:paraId="010D0186" w14:textId="0355878B" w:rsidR="0011042C" w:rsidRPr="008D7D0B" w:rsidRDefault="0011042C" w:rsidP="0011042C">
            <w:pPr>
              <w:pStyle w:val="Bulletindent1"/>
              <w:rPr>
                <w:color w:val="000000" w:themeColor="text1"/>
                <w:lang w:val="en-US"/>
              </w:rPr>
            </w:pPr>
            <w:r w:rsidRPr="008D7D0B">
              <w:rPr>
                <w:color w:val="000000" w:themeColor="text1"/>
              </w:rPr>
              <w:t>Individuals with a current meningioma or a history of meningioma</w:t>
            </w:r>
          </w:p>
          <w:p w14:paraId="2ACA05CF" w14:textId="77777777" w:rsidR="00617AA0" w:rsidRPr="00617AA0" w:rsidRDefault="00617AA0" w:rsidP="00617AA0">
            <w:pPr>
              <w:pStyle w:val="Tabletext"/>
              <w:rPr>
                <w:b/>
                <w:bCs/>
              </w:rPr>
            </w:pPr>
            <w:r w:rsidRPr="00617AA0">
              <w:rPr>
                <w:b/>
                <w:bCs/>
              </w:rPr>
              <w:t>Gastro-intestinal Conditions</w:t>
            </w:r>
          </w:p>
          <w:p w14:paraId="234D9212" w14:textId="23B9D6F2" w:rsidR="00617AA0" w:rsidRPr="00617AA0" w:rsidRDefault="00617AA0" w:rsidP="00617AA0">
            <w:pPr>
              <w:pStyle w:val="Bulletindent1"/>
            </w:pPr>
            <w:r w:rsidRPr="00617AA0">
              <w:t>Viral hepatitis, acute or flare (for initiation only)</w:t>
            </w:r>
          </w:p>
          <w:p w14:paraId="71E97508" w14:textId="487AA3A1" w:rsidR="00617AA0" w:rsidRPr="00617AA0" w:rsidRDefault="00617AA0" w:rsidP="00617AA0">
            <w:pPr>
              <w:pStyle w:val="Bulletindent1"/>
            </w:pPr>
            <w:r w:rsidRPr="00617AA0">
              <w:t>Benign liver tumour (hepatocellular adenoma)</w:t>
            </w:r>
          </w:p>
          <w:p w14:paraId="243BB276" w14:textId="60499AF3" w:rsidR="00617AA0" w:rsidRPr="00617AA0" w:rsidRDefault="00617AA0" w:rsidP="00617AA0">
            <w:pPr>
              <w:pStyle w:val="Bulletindent1"/>
            </w:pPr>
            <w:r w:rsidRPr="00617AA0">
              <w:t>Severe decompensated cirrhosis</w:t>
            </w:r>
          </w:p>
          <w:p w14:paraId="213A2AC4" w14:textId="77777777" w:rsidR="00617AA0" w:rsidRPr="00617AA0" w:rsidRDefault="00617AA0" w:rsidP="00617AA0">
            <w:pPr>
              <w:pStyle w:val="Bulletindent1"/>
            </w:pPr>
            <w:r w:rsidRPr="00617AA0">
              <w:t xml:space="preserve">Gallbladder disease; currently symptomatic or medically managed. </w:t>
            </w:r>
          </w:p>
          <w:p w14:paraId="4F876922" w14:textId="77777777" w:rsidR="00617AA0" w:rsidRPr="00617AA0" w:rsidRDefault="00617AA0" w:rsidP="00617AA0">
            <w:pPr>
              <w:pStyle w:val="Bulletindent1"/>
            </w:pPr>
            <w:r w:rsidRPr="00617AA0">
              <w:t>Any bariatric or other surgery resulting in malabsorption.</w:t>
            </w:r>
          </w:p>
          <w:p w14:paraId="18D92594" w14:textId="4A216706" w:rsidR="00617AA0" w:rsidRPr="00617AA0" w:rsidRDefault="00617AA0" w:rsidP="00617AA0">
            <w:pPr>
              <w:pStyle w:val="Bulletindent1"/>
            </w:pPr>
            <w:r w:rsidRPr="00617AA0">
              <w:t>Cholestasis (related to past combined hormonal contraceptive use)</w:t>
            </w:r>
          </w:p>
          <w:p w14:paraId="15C55A5B" w14:textId="77777777" w:rsidR="00617AA0" w:rsidRPr="00617AA0" w:rsidRDefault="00617AA0" w:rsidP="00617AA0">
            <w:pPr>
              <w:widowControl w:val="0"/>
              <w:rPr>
                <w:rFonts w:ascii="Arial" w:eastAsia="Times New Roman" w:hAnsi="Arial"/>
                <w:b/>
                <w:bCs/>
                <w:kern w:val="0"/>
                <w:sz w:val="22"/>
                <w:lang w:val="en-US"/>
                <w14:ligatures w14:val="none"/>
              </w:rPr>
            </w:pPr>
            <w:r w:rsidRPr="00617AA0">
              <w:rPr>
                <w:rFonts w:ascii="Arial" w:eastAsia="Times New Roman" w:hAnsi="Arial"/>
                <w:b/>
                <w:bCs/>
                <w:kern w:val="0"/>
                <w:sz w:val="22"/>
                <w:lang w:val="en-US"/>
                <w14:ligatures w14:val="none"/>
              </w:rPr>
              <w:t>Other conditions</w:t>
            </w:r>
          </w:p>
          <w:p w14:paraId="4F281E7D" w14:textId="77777777" w:rsidR="00617AA0" w:rsidRPr="00617AA0" w:rsidRDefault="00617AA0" w:rsidP="00617AA0">
            <w:pPr>
              <w:pStyle w:val="Bulletindent1"/>
            </w:pPr>
            <w:r w:rsidRPr="00617AA0">
              <w:lastRenderedPageBreak/>
              <w:t>Imminent planned major surgery (COC should be stopped at least 4 weeks prior to planned major surgery or expected period of limited mobility).</w:t>
            </w:r>
          </w:p>
          <w:p w14:paraId="51267B8C" w14:textId="77777777" w:rsidR="00617AA0" w:rsidRPr="00617AA0" w:rsidRDefault="00617AA0" w:rsidP="00617AA0">
            <w:pPr>
              <w:pStyle w:val="Bulletindent1"/>
            </w:pPr>
            <w:r w:rsidRPr="00617AA0">
              <w:t>Diabetes with end organ disease (retinopathy, nephropathy, neuropathy)</w:t>
            </w:r>
          </w:p>
          <w:p w14:paraId="4C5E9767" w14:textId="77777777" w:rsidR="00617AA0" w:rsidRPr="00617AA0" w:rsidRDefault="00617AA0" w:rsidP="00617AA0">
            <w:pPr>
              <w:pStyle w:val="Bulletindent1"/>
            </w:pPr>
            <w:r w:rsidRPr="00617AA0">
              <w:t>Positive anti-phospholipid antibodies (with or without systemic lupus erythematosus)</w:t>
            </w:r>
          </w:p>
          <w:p w14:paraId="63E339AF" w14:textId="77777777" w:rsidR="00617AA0" w:rsidRPr="00617AA0" w:rsidRDefault="00617AA0" w:rsidP="00617AA0">
            <w:pPr>
              <w:pStyle w:val="Bulletindent1"/>
            </w:pPr>
            <w:r w:rsidRPr="00617AA0">
              <w:t>Organ transplant, with complications</w:t>
            </w:r>
          </w:p>
          <w:p w14:paraId="1F28E4AA" w14:textId="73F20832" w:rsidR="00617AA0" w:rsidRPr="00617AA0" w:rsidRDefault="013C0383" w:rsidP="00617AA0">
            <w:pPr>
              <w:pStyle w:val="Bulletindent1"/>
            </w:pPr>
            <w:r>
              <w:t xml:space="preserve">Known </w:t>
            </w:r>
            <w:r w:rsidR="451A4B2C" w:rsidRPr="00232366">
              <w:rPr>
                <w:rFonts w:eastAsia="Arial" w:cs="Arial"/>
                <w:szCs w:val="22"/>
                <w:lang w:val="en-US"/>
              </w:rPr>
              <w:t xml:space="preserve">chronic kidney disease (all stages) </w:t>
            </w:r>
            <w:r>
              <w:t>or acute renal failure</w:t>
            </w:r>
          </w:p>
          <w:p w14:paraId="7ED90B6C" w14:textId="77777777" w:rsidR="00617AA0" w:rsidRPr="00617AA0" w:rsidRDefault="00617AA0" w:rsidP="00617AA0">
            <w:pPr>
              <w:pStyle w:val="Bulletindent1"/>
            </w:pPr>
            <w:r w:rsidRPr="00617AA0">
              <w:t xml:space="preserve">Acute porphyria </w:t>
            </w:r>
          </w:p>
          <w:p w14:paraId="67981AE1" w14:textId="018B0974" w:rsidR="00617AA0" w:rsidRPr="00617AA0" w:rsidRDefault="057FEFB9" w:rsidP="00617AA0">
            <w:pPr>
              <w:pStyle w:val="Bulletindent1"/>
            </w:pPr>
            <w:r>
              <w:t xml:space="preserve">Individuals requiring control of problematic bleeding caused by the subdermal implant, </w:t>
            </w:r>
            <w:r w:rsidR="00B30D34">
              <w:t>LNG-</w:t>
            </w:r>
            <w:r>
              <w:t>IU</w:t>
            </w:r>
            <w:r w:rsidR="679B754C">
              <w:t>D</w:t>
            </w:r>
            <w:r>
              <w:t xml:space="preserve"> or medroxyprogesterone injection for longer than 3 months (maximum period of supply under this PGD for this condition)   </w:t>
            </w:r>
          </w:p>
          <w:p w14:paraId="6E657D16" w14:textId="77777777" w:rsidR="00617AA0" w:rsidRPr="00AE7DC7" w:rsidRDefault="00617AA0" w:rsidP="00617AA0">
            <w:pPr>
              <w:widowControl w:val="0"/>
              <w:rPr>
                <w:rFonts w:ascii="Arial" w:hAnsi="Arial" w:cs="Arial"/>
                <w:b/>
                <w:bCs/>
                <w:lang w:val="en-US"/>
              </w:rPr>
            </w:pPr>
            <w:r w:rsidRPr="00AE7DC7">
              <w:rPr>
                <w:rFonts w:ascii="Arial" w:hAnsi="Arial" w:cs="Arial"/>
                <w:b/>
                <w:bCs/>
                <w:lang w:val="en-US"/>
              </w:rPr>
              <w:t>M</w:t>
            </w:r>
            <w:r w:rsidRPr="00617AA0">
              <w:rPr>
                <w:rFonts w:ascii="Arial" w:eastAsia="Times New Roman" w:hAnsi="Arial"/>
                <w:b/>
                <w:bCs/>
                <w:kern w:val="0"/>
                <w:sz w:val="22"/>
                <w:lang w:val="en-US"/>
                <w14:ligatures w14:val="none"/>
              </w:rPr>
              <w:t>edicines</w:t>
            </w:r>
          </w:p>
          <w:p w14:paraId="467CB2A6" w14:textId="77777777" w:rsidR="00617AA0" w:rsidRPr="00617AA0" w:rsidRDefault="00617AA0" w:rsidP="007043FB">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14:paraId="2DBDF545" w14:textId="3033A869" w:rsidR="00863134" w:rsidRDefault="009A0C30" w:rsidP="00617AA0">
            <w:pPr>
              <w:pStyle w:val="Bulletindent1"/>
            </w:pPr>
            <w:r>
              <w:t>Individuals taking any i</w:t>
            </w:r>
            <w:r w:rsidR="00617AA0" w:rsidRPr="00617AA0">
              <w:t xml:space="preserve">nteracting medicines (other than enzyme inducers), including any medicines purchased– </w:t>
            </w:r>
            <w:hyperlink r:id="rId16" w:history="1">
              <w:r w:rsidRPr="00863134">
                <w:rPr>
                  <w:rStyle w:val="Hyperlink"/>
                </w:rPr>
                <w:t>– see current British National Formulary (BNF)</w:t>
              </w:r>
            </w:hyperlink>
            <w:r w:rsidR="00863134">
              <w:t xml:space="preserve"> or </w:t>
            </w:r>
            <w:r w:rsidRPr="009A0C30">
              <w:t xml:space="preserve"> </w:t>
            </w:r>
            <w:hyperlink r:id="rId17" w:history="1">
              <w:r w:rsidRPr="00863134">
                <w:rPr>
                  <w:rStyle w:val="Hyperlink"/>
                </w:rPr>
                <w:t>individual product S</w:t>
              </w:r>
              <w:r w:rsidR="00863134" w:rsidRPr="00863134">
                <w:rPr>
                  <w:rStyle w:val="Hyperlink"/>
                </w:rPr>
                <w:t>m</w:t>
              </w:r>
              <w:r w:rsidRPr="00863134">
                <w:rPr>
                  <w:rStyle w:val="Hyperlink"/>
                </w:rPr>
                <w:t xml:space="preserve">PC </w:t>
              </w:r>
              <w:r w:rsidR="00863134" w:rsidRPr="00863134">
                <w:rPr>
                  <w:rStyle w:val="Hyperlink"/>
                </w:rPr>
                <w:t>which is available on the EMC website</w:t>
              </w:r>
            </w:hyperlink>
            <w:r w:rsidR="00863134">
              <w:t xml:space="preserve"> </w:t>
            </w:r>
          </w:p>
          <w:p w14:paraId="242D0FB3" w14:textId="1D505447" w:rsidR="00617AA0" w:rsidRPr="00617AA0" w:rsidRDefault="00617AA0" w:rsidP="00617AA0">
            <w:pPr>
              <w:pStyle w:val="Bulletindent1"/>
            </w:pPr>
            <w:r w:rsidRPr="009A0C30">
              <w:t>Contraindicated in</w:t>
            </w:r>
            <w:r w:rsidRPr="00617AA0">
              <w:t xml:space="preserve"> concomitant use with the medicinal products containing glecaprevir/pibrentasvir or sofosbuvir/velpatasvir/voxilaprevir</w:t>
            </w:r>
            <w:r w:rsidRPr="001857CB">
              <w:rPr>
                <w:rFonts w:cs="Arial"/>
              </w:rPr>
              <w:t>.</w:t>
            </w:r>
          </w:p>
        </w:tc>
      </w:tr>
      <w:tr w:rsidR="007043FB" w14:paraId="2086F951" w14:textId="77777777" w:rsidTr="512F225B">
        <w:tc>
          <w:tcPr>
            <w:tcW w:w="2689" w:type="dxa"/>
          </w:tcPr>
          <w:p w14:paraId="34F2E318" w14:textId="7E1AEDD6" w:rsidR="007043FB" w:rsidRPr="005A6168" w:rsidRDefault="007043FB" w:rsidP="00D131FF">
            <w:pPr>
              <w:pStyle w:val="TableHeaderRow"/>
              <w:rPr>
                <w:rStyle w:val="TableHeaderColumn"/>
              </w:rPr>
            </w:pPr>
            <w:bookmarkStart w:id="7" w:name="Cautions"/>
            <w:bookmarkEnd w:id="7"/>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043FB">
            <w:pPr>
              <w:pStyle w:val="Bulletindent1"/>
            </w:pPr>
            <w:r w:rsidRPr="00E269B0">
              <w:t xml:space="preserve">If the individual is less than 16 years of age an assessment based on Fraser guidelines must be made and documented. </w:t>
            </w:r>
          </w:p>
          <w:p w14:paraId="07296B6F" w14:textId="77777777" w:rsidR="007043FB" w:rsidRPr="00E269B0" w:rsidRDefault="007043FB" w:rsidP="007043FB">
            <w:pPr>
              <w:pStyle w:val="Bulletindent1"/>
            </w:pPr>
            <w:r w:rsidRPr="00E269B0">
              <w:t>If the individual is less than 13 years of age the healthcare professional should speak to local safeguarding lead and follow the local safeguarding policy.</w:t>
            </w:r>
          </w:p>
          <w:p w14:paraId="5B0B3CE4" w14:textId="77777777" w:rsidR="007043FB" w:rsidRPr="00E269B0" w:rsidRDefault="007043FB" w:rsidP="007043FB">
            <w:pPr>
              <w:pStyle w:val="Bulletindent1"/>
            </w:pPr>
            <w:r w:rsidRPr="00E269B0">
              <w:t>Discuss with appropriate medical/independent non-medical prescriber any medical condition or medication of which the healthcare professional is uncertain.</w:t>
            </w:r>
          </w:p>
          <w:p w14:paraId="592BE02D" w14:textId="77777777" w:rsidR="007043FB" w:rsidRPr="00E269B0" w:rsidRDefault="007043FB" w:rsidP="007043FB">
            <w:pPr>
              <w:pStyle w:val="Bulletindent1"/>
            </w:pPr>
            <w:r w:rsidRPr="00E269B0">
              <w:t>Individuals taking lamotrigine should be advised that COC may interact with lamotrigine; this could result in reduced seizure control or lamotrigine toxicity.</w:t>
            </w:r>
          </w:p>
          <w:p w14:paraId="03440707" w14:textId="77777777" w:rsidR="007043FB" w:rsidRPr="00E269B0" w:rsidRDefault="007043FB" w:rsidP="007043FB">
            <w:pPr>
              <w:pStyle w:val="Bulletindent1"/>
            </w:pPr>
            <w:r w:rsidRPr="00E269B0">
              <w:lastRenderedPageBreak/>
              <w:t xml:space="preserve">Consideration should be given to the current disease status of those with severe malabsorption syndromes, such as acute/active inflammatory bowel disease or Crohn’s disease. Although the use of oral contraception is not contra-indicated it may be less effective and so these individuals should be advised to consider </w:t>
            </w:r>
            <w:proofErr w:type="gramStart"/>
            <w:r w:rsidRPr="00E269B0">
              <w:t>Long Acting</w:t>
            </w:r>
            <w:proofErr w:type="gramEnd"/>
            <w:r w:rsidRPr="00E269B0">
              <w:t xml:space="preserve"> Reversible Contraception (LARC).</w:t>
            </w:r>
          </w:p>
          <w:p w14:paraId="63CE4180" w14:textId="77777777" w:rsidR="007043FB" w:rsidRPr="00B315F8" w:rsidRDefault="007043FB" w:rsidP="007043FB">
            <w:pPr>
              <w:pStyle w:val="Bulletindent1"/>
            </w:pPr>
            <w:r w:rsidRPr="00E269B0">
              <w:t xml:space="preserve">Individuals should be advised that it is possible that </w:t>
            </w:r>
            <w:r w:rsidRPr="00B315F8">
              <w:t>medications that induce diarrhoea and/or vomiting (e.g. orlistat, laxatives, GLP-1 agonists) could reduce the effectiveness of COC.</w:t>
            </w:r>
          </w:p>
          <w:p w14:paraId="5DA072E5" w14:textId="77777777" w:rsidR="009E32F3" w:rsidRDefault="007043FB" w:rsidP="009E32F3">
            <w:pPr>
              <w:pStyle w:val="Bulletindent1"/>
            </w:pPr>
            <w:r w:rsidRPr="00B315F8">
              <w:t>Individuals receiving GLP-1 agonists must use effective contraception.</w:t>
            </w:r>
          </w:p>
          <w:p w14:paraId="5CFCB3B0" w14:textId="5A332535" w:rsidR="007043FB" w:rsidRPr="00B315F8" w:rsidRDefault="320850A1" w:rsidP="009E32F3">
            <w:pPr>
              <w:pStyle w:val="Bulletindent1"/>
              <w:numPr>
                <w:ilvl w:val="0"/>
                <w:numId w:val="0"/>
              </w:numPr>
              <w:ind w:left="720"/>
            </w:pPr>
            <w:r>
              <w:t xml:space="preserve">Note some GLP-1 agonists may reduce the effectiveness of oral contraception and additional barrier methods are recommended - refer to the </w:t>
            </w:r>
            <w:hyperlink r:id="rId18">
              <w:r w:rsidRPr="6D8B1CA6">
                <w:rPr>
                  <w:rStyle w:val="Hyperlink"/>
                </w:rPr>
                <w:t>specific product SmPC which can be accessed on the EMC</w:t>
              </w:r>
            </w:hyperlink>
            <w:r>
              <w:t xml:space="preserve"> and </w:t>
            </w:r>
            <w:hyperlink r:id="rId19">
              <w:r w:rsidRPr="6D8B1CA6">
                <w:rPr>
                  <w:rStyle w:val="Hyperlink"/>
                </w:rPr>
                <w:t>CoSRH advice regarding GLP 1 agonists and contraception.</w:t>
              </w:r>
            </w:hyperlink>
            <w:r>
              <w:t xml:space="preserve"> Provide CoSRH patient information leaflet (PIL).</w:t>
            </w:r>
          </w:p>
          <w:p w14:paraId="3B33FB47" w14:textId="33A196CA" w:rsidR="6473F2B6" w:rsidRPr="00232366" w:rsidRDefault="6473F2B6" w:rsidP="6D8B1CA6">
            <w:pPr>
              <w:pStyle w:val="ListParagraph"/>
              <w:numPr>
                <w:ilvl w:val="0"/>
                <w:numId w:val="1"/>
              </w:numPr>
              <w:rPr>
                <w:rFonts w:ascii="Arial" w:eastAsia="Arial" w:hAnsi="Arial" w:cs="Arial"/>
                <w:sz w:val="22"/>
                <w:szCs w:val="22"/>
              </w:rPr>
            </w:pPr>
            <w:r w:rsidRPr="00232366">
              <w:rPr>
                <w:rFonts w:ascii="Arial" w:eastAsia="Arial" w:hAnsi="Arial" w:cs="Arial"/>
                <w:sz w:val="22"/>
                <w:szCs w:val="22"/>
              </w:rPr>
              <w:t>Sickle cell trait - there is a small increase in the risk of VTE with sickle cell trait, therefore alternatives to CHC should be prioritised.</w:t>
            </w:r>
          </w:p>
          <w:p w14:paraId="65864951" w14:textId="5809FEE0" w:rsidR="007043FB" w:rsidRPr="00E269B0" w:rsidRDefault="007043FB" w:rsidP="007043FB">
            <w:pPr>
              <w:pStyle w:val="Bulletindent1"/>
              <w:rPr>
                <w:b/>
              </w:rPr>
            </w:pPr>
            <w:r w:rsidRPr="00E269B0">
              <w:rPr>
                <w:b/>
              </w:rPr>
              <w:t>Offer</w:t>
            </w:r>
            <w:r>
              <w:rPr>
                <w:b/>
              </w:rPr>
              <w:t xml:space="preserve"> </w:t>
            </w:r>
            <w:r w:rsidRPr="00E269B0">
              <w:rPr>
                <w:b/>
              </w:rPr>
              <w:t xml:space="preserve">LARC to all individuals, </w:t>
            </w:r>
            <w:proofErr w:type="gramStart"/>
            <w:r w:rsidRPr="00E269B0">
              <w:rPr>
                <w:b/>
              </w:rPr>
              <w:t>in particular</w:t>
            </w:r>
            <w:proofErr w:type="gramEnd"/>
            <w:r w:rsidRPr="00E269B0">
              <w:rPr>
                <w:b/>
              </w:rPr>
              <w:t xml:space="preserve"> those with medical conditions for whom pregnancy presents an unacceptable risk and those on a pregnancy prevention plan.</w:t>
            </w:r>
          </w:p>
          <w:p w14:paraId="64FEDD91" w14:textId="25BF1C7B" w:rsidR="007043FB" w:rsidRDefault="007043FB" w:rsidP="007043FB">
            <w:pPr>
              <w:pStyle w:val="Bulletindent1"/>
            </w:pPr>
            <w:r w:rsidRPr="00E269B0">
              <w:rPr>
                <w:b/>
              </w:rPr>
              <w:t xml:space="preserve">If an individual is known to be taking a medication which is known to be harmful to pregnancy, a highly effective form of contraception is recommended.  Highly effective methods include the LARC methods: </w:t>
            </w:r>
            <w:r w:rsidRPr="00583C3F">
              <w:rPr>
                <w:b/>
              </w:rPr>
              <w:t>copper IUD, LNG-IUD and implant</w:t>
            </w:r>
            <w:r w:rsidRPr="00E269B0">
              <w:rPr>
                <w:b/>
              </w:rPr>
              <w:t xml:space="preserve">.  If a LARC method is unacceptable/unsuitable and a COC is </w:t>
            </w:r>
            <w:proofErr w:type="gramStart"/>
            <w:r w:rsidRPr="00E269B0">
              <w:rPr>
                <w:b/>
              </w:rPr>
              <w:t>chosen</w:t>
            </w:r>
            <w:proofErr w:type="gramEnd"/>
            <w:r w:rsidRPr="00E269B0">
              <w:rPr>
                <w:b/>
              </w:rPr>
              <w:t xml:space="preserve"> then an additional barrier method of contraception is advised. See</w:t>
            </w:r>
            <w:r>
              <w:rPr>
                <w:b/>
              </w:rPr>
              <w:t xml:space="preserve"> </w:t>
            </w:r>
            <w:hyperlink r:id="rId20" w:history="1">
              <w:r w:rsidR="00980866">
                <w:rPr>
                  <w:rStyle w:val="Hyperlink"/>
                  <w:rFonts w:cs="Arial"/>
                  <w:b/>
                  <w:color w:val="3333FF"/>
                </w:rPr>
                <w:t>Co</w:t>
              </w:r>
              <w:r w:rsidR="000D13FD">
                <w:rPr>
                  <w:rStyle w:val="Hyperlink"/>
                  <w:rFonts w:cs="Arial"/>
                  <w:b/>
                  <w:color w:val="3333FF"/>
                </w:rPr>
                <w:t>SRH statement: Contraception for women using known teratogenic drugs (Feb 2018) FSRH</w:t>
              </w:r>
            </w:hyperlink>
            <w:r w:rsidRPr="00E269B0">
              <w:rPr>
                <w:b/>
              </w:rPr>
              <w:t>.</w:t>
            </w:r>
          </w:p>
        </w:tc>
      </w:tr>
      <w:tr w:rsidR="007043FB" w14:paraId="6142EA67" w14:textId="77777777" w:rsidTr="512F225B">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B351AEC" w14:textId="77777777" w:rsidTr="4AF6DD72">
        <w:tc>
          <w:tcPr>
            <w:tcW w:w="3397" w:type="dxa"/>
          </w:tcPr>
          <w:p w14:paraId="6EB1838B" w14:textId="461B0EDD" w:rsidR="00165DD9" w:rsidRPr="005A6168" w:rsidRDefault="00165DD9" w:rsidP="00D131FF">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400313EF" w14:textId="77777777" w:rsidR="00332380" w:rsidRPr="00AF42D9" w:rsidRDefault="00332380" w:rsidP="00332380">
            <w:pPr>
              <w:pStyle w:val="Bulletindent1"/>
            </w:pPr>
            <w:r w:rsidRPr="00AF42D9">
              <w:t>This is a list of generic combined oral contraceptive pills.</w:t>
            </w:r>
          </w:p>
          <w:p w14:paraId="512082D4" w14:textId="1A0560C6" w:rsidR="00332380" w:rsidRPr="00AF42D9" w:rsidRDefault="00332380" w:rsidP="00332380">
            <w:pPr>
              <w:pStyle w:val="Bulletindent1"/>
            </w:pPr>
            <w:r w:rsidRPr="00AF42D9">
              <w:t>This PGD does not restrict which brands can be supplied –</w:t>
            </w:r>
            <w:r w:rsidR="00A87ADE">
              <w:t xml:space="preserve"> </w:t>
            </w:r>
            <w:r w:rsidR="00863134" w:rsidRPr="00A87ADE">
              <w:rPr>
                <w:highlight w:val="cyan"/>
              </w:rPr>
              <w:t>[</w:t>
            </w:r>
            <w:r w:rsidRPr="00863134">
              <w:rPr>
                <w:highlight w:val="cyan"/>
              </w:rPr>
              <w:t>local formularies/restrictions should be referred to</w:t>
            </w:r>
            <w:r w:rsidRPr="00A87ADE">
              <w:rPr>
                <w:highlight w:val="cyan"/>
              </w:rPr>
              <w:t>.</w:t>
            </w:r>
            <w:r w:rsidR="00863134" w:rsidRPr="00A87ADE">
              <w:rPr>
                <w:highlight w:val="cyan"/>
              </w:rPr>
              <w:t>]</w:t>
            </w:r>
            <w:r w:rsidRPr="00AF42D9">
              <w:t xml:space="preserve"> </w:t>
            </w:r>
          </w:p>
          <w:p w14:paraId="6747D209" w14:textId="4024B0F2" w:rsidR="00332380" w:rsidRPr="00AF42D9" w:rsidRDefault="00332380" w:rsidP="00332380">
            <w:pPr>
              <w:pStyle w:val="Bulletindent1"/>
            </w:pPr>
            <w:r>
              <w:t>F</w:t>
            </w:r>
            <w:r w:rsidRPr="00AF42D9">
              <w:t>or further information and further brand information including full details of adverse effects and interactions</w:t>
            </w:r>
            <w:r w:rsidR="009E32F3">
              <w:t>, s</w:t>
            </w:r>
            <w:r w:rsidRPr="00AF42D9">
              <w:t xml:space="preserve">ee </w:t>
            </w:r>
            <w:hyperlink r:id="rId21" w:history="1">
              <w:r w:rsidRPr="00332380">
                <w:rPr>
                  <w:rStyle w:val="Hyperlink"/>
                </w:rPr>
                <w:t>MHRA products search</w:t>
              </w:r>
            </w:hyperlink>
            <w:r>
              <w:t xml:space="preserve"> </w:t>
            </w:r>
            <w:r w:rsidRPr="00AF42D9">
              <w:t xml:space="preserve">or </w:t>
            </w:r>
            <w:hyperlink r:id="rId22" w:history="1">
              <w:r>
                <w:rPr>
                  <w:color w:val="0000FF"/>
                  <w:u w:val="single"/>
                </w:rPr>
                <w:t>the EMC website</w:t>
              </w:r>
            </w:hyperlink>
          </w:p>
          <w:p w14:paraId="49518700" w14:textId="1ED47F10" w:rsidR="00332380" w:rsidRPr="007A474D" w:rsidRDefault="00332380" w:rsidP="00332380">
            <w:pPr>
              <w:pStyle w:val="Bulletindent1"/>
              <w:rPr>
                <w:b/>
                <w:u w:val="single"/>
              </w:rPr>
            </w:pPr>
            <w:r w:rsidRPr="00AF42D9">
              <w:t>COC containing ≤30micrograms ethinylestradiol in combination with levonorgestrel or norethisterone is a reasonable first-line choice of C</w:t>
            </w:r>
            <w:r w:rsidR="009E32F3">
              <w:t>O</w:t>
            </w:r>
            <w:r w:rsidRPr="00AF42D9">
              <w:t>C to minimise cardiovascular risk.</w:t>
            </w:r>
          </w:p>
          <w:p w14:paraId="5C0CFD06" w14:textId="77777777" w:rsidR="00332380" w:rsidRPr="00332380" w:rsidRDefault="00332380" w:rsidP="00332380">
            <w:pPr>
              <w:pStyle w:val="Tabletext"/>
              <w:rPr>
                <w:b/>
                <w:bCs/>
                <w:u w:val="single"/>
              </w:rPr>
            </w:pPr>
            <w:r w:rsidRPr="00332380">
              <w:rPr>
                <w:b/>
                <w:bCs/>
              </w:rPr>
              <w:t>Monophasic</w:t>
            </w:r>
          </w:p>
          <w:p w14:paraId="7953BCB9" w14:textId="77777777" w:rsidR="00332380" w:rsidRPr="00AF42D9" w:rsidRDefault="00332380" w:rsidP="00332380">
            <w:pPr>
              <w:pStyle w:val="Bulletindent1"/>
            </w:pPr>
            <w:r w:rsidRPr="00AF42D9">
              <w:t>Ethinylestradiol 20micrograms and desogestrel 150micrograms</w:t>
            </w:r>
          </w:p>
          <w:p w14:paraId="1C7BF47A" w14:textId="77777777" w:rsidR="00332380" w:rsidRPr="00AF42D9" w:rsidRDefault="00332380" w:rsidP="00332380">
            <w:pPr>
              <w:pStyle w:val="Bulletindent1"/>
            </w:pPr>
            <w:r w:rsidRPr="00AF42D9">
              <w:t>Ethinylestradiol 20micrograms and drospirenone 3mg</w:t>
            </w:r>
          </w:p>
          <w:p w14:paraId="5A5EBC1E" w14:textId="77777777" w:rsidR="00332380" w:rsidRDefault="00332380" w:rsidP="00332380">
            <w:pPr>
              <w:pStyle w:val="Bulletindent1"/>
            </w:pPr>
            <w:r w:rsidRPr="00AF42D9">
              <w:t>Ethinylestradiol 20micrograms and gestodene 75micrograms</w:t>
            </w:r>
          </w:p>
          <w:p w14:paraId="2B369B41" w14:textId="77777777" w:rsidR="00332380" w:rsidRPr="00AF42D9" w:rsidRDefault="00332380" w:rsidP="00332380">
            <w:pPr>
              <w:pStyle w:val="Bulletindent1"/>
            </w:pPr>
            <w:r w:rsidRPr="00AF42D9">
              <w:t>Ethinylestradiol 30micrograms and desogestrel 150micrograms</w:t>
            </w:r>
          </w:p>
          <w:p w14:paraId="68EEDB5C" w14:textId="77777777" w:rsidR="00332380" w:rsidRPr="00AF42D9" w:rsidRDefault="00332380" w:rsidP="00332380">
            <w:pPr>
              <w:pStyle w:val="Bulletindent1"/>
            </w:pPr>
            <w:r w:rsidRPr="00AF42D9">
              <w:t>Ethinylestradiol 30micrograms and drospirenone 3mg</w:t>
            </w:r>
          </w:p>
          <w:p w14:paraId="2E6254F4" w14:textId="77777777" w:rsidR="00332380" w:rsidRPr="00AF42D9" w:rsidRDefault="00332380" w:rsidP="00332380">
            <w:pPr>
              <w:pStyle w:val="Bulletindent1"/>
            </w:pPr>
            <w:r w:rsidRPr="00AF42D9">
              <w:t xml:space="preserve">Ethinylestradiol 30micrograms and gestodene 75micrograms </w:t>
            </w:r>
          </w:p>
          <w:p w14:paraId="0D61EA23" w14:textId="77777777" w:rsidR="00332380" w:rsidRPr="00AF42D9" w:rsidRDefault="00332380" w:rsidP="00332380">
            <w:pPr>
              <w:pStyle w:val="Bulletindent1"/>
            </w:pPr>
            <w:r w:rsidRPr="00AF42D9">
              <w:t xml:space="preserve">Ethinylestradiol 30micrograms and levonorgestrel 150micrograms </w:t>
            </w:r>
          </w:p>
          <w:p w14:paraId="005FFDDC" w14:textId="77777777" w:rsidR="00332380" w:rsidRPr="00AF42D9" w:rsidRDefault="00332380" w:rsidP="00332380">
            <w:pPr>
              <w:pStyle w:val="Bulletindent1"/>
            </w:pPr>
            <w:r w:rsidRPr="00AF42D9">
              <w:t xml:space="preserve">Ethinylestradiol 35micrograms and norgestimate 250micrograms </w:t>
            </w:r>
          </w:p>
          <w:p w14:paraId="7D9A9CC9" w14:textId="591B5144" w:rsidR="00332380" w:rsidRPr="00AF42D9" w:rsidRDefault="00332380" w:rsidP="00332380">
            <w:pPr>
              <w:pStyle w:val="Bulletindent1"/>
            </w:pPr>
            <w:r w:rsidRPr="00AF42D9">
              <w:t xml:space="preserve">Ethinylestradiol 35micrograms and norethisterone 500micrograms </w:t>
            </w:r>
          </w:p>
          <w:p w14:paraId="2F7DD03F" w14:textId="77777777" w:rsidR="00332380" w:rsidRDefault="00332380" w:rsidP="00332380">
            <w:pPr>
              <w:pStyle w:val="Bulletindent1"/>
            </w:pPr>
            <w:r w:rsidRPr="00AF42D9">
              <w:t>Ethinylestradiol 35micrograms and norethisterone 1mg</w:t>
            </w:r>
          </w:p>
          <w:p w14:paraId="08AAC11B" w14:textId="77777777" w:rsidR="00332380" w:rsidRPr="00AF42D9" w:rsidRDefault="00332380" w:rsidP="00332380">
            <w:pPr>
              <w:pStyle w:val="Bulletindent1"/>
            </w:pPr>
            <w:r w:rsidRPr="008C223A">
              <w:t>Mestranol 50microgram</w:t>
            </w:r>
            <w:r>
              <w:t xml:space="preserve"> and n</w:t>
            </w:r>
            <w:r w:rsidRPr="008C223A">
              <w:t>orethisterone 1mg tablets</w:t>
            </w:r>
          </w:p>
          <w:p w14:paraId="10152731" w14:textId="77777777" w:rsidR="00332380" w:rsidRPr="00332380" w:rsidRDefault="00332380" w:rsidP="00332380">
            <w:pPr>
              <w:pStyle w:val="Tabletext"/>
              <w:rPr>
                <w:b/>
                <w:bCs/>
              </w:rPr>
            </w:pPr>
            <w:r w:rsidRPr="00332380">
              <w:rPr>
                <w:b/>
                <w:bCs/>
              </w:rPr>
              <w:lastRenderedPageBreak/>
              <w:t xml:space="preserve">Monophasic every day </w:t>
            </w:r>
          </w:p>
          <w:p w14:paraId="168D4E7B" w14:textId="77777777" w:rsidR="00332380" w:rsidRPr="00332380" w:rsidRDefault="00332380" w:rsidP="00332380">
            <w:pPr>
              <w:pStyle w:val="Bulletindent1"/>
            </w:pPr>
            <w:r w:rsidRPr="00332380">
              <w:t>Ethinylestradiol 20micrograms and drospirenone 3mg + 7 inactive</w:t>
            </w:r>
          </w:p>
          <w:p w14:paraId="460889B1" w14:textId="2A8066E5" w:rsidR="00332380" w:rsidRPr="00332380" w:rsidRDefault="00332380" w:rsidP="00332380">
            <w:pPr>
              <w:pStyle w:val="Bulletindent1"/>
            </w:pPr>
            <w:r w:rsidRPr="00332380">
              <w:t>Ethinylestradiol 30micrograms and gestodene 75micrograms + 7 inactive</w:t>
            </w:r>
          </w:p>
          <w:p w14:paraId="5097304E" w14:textId="77777777" w:rsidR="00332380" w:rsidRPr="00332380" w:rsidRDefault="00332380" w:rsidP="00332380">
            <w:pPr>
              <w:pStyle w:val="Bulletindent1"/>
            </w:pPr>
            <w:r w:rsidRPr="00332380">
              <w:t>Ethinylestradiol 30micrograms and levonorgestrel 150micrograms + 7 inactive</w:t>
            </w:r>
          </w:p>
          <w:p w14:paraId="5324F47B" w14:textId="77777777" w:rsidR="00332380" w:rsidRPr="00332380" w:rsidRDefault="00332380" w:rsidP="00332380">
            <w:pPr>
              <w:pStyle w:val="Bulletindent1"/>
            </w:pPr>
            <w:r w:rsidRPr="00332380">
              <w:t xml:space="preserve">Estradiol (as hemihydrate) 1.5mg and nomegestrol acetate 2.5mg + 4 inactive </w:t>
            </w:r>
          </w:p>
          <w:p w14:paraId="4BC3EBD9" w14:textId="77777777" w:rsidR="00332380" w:rsidRPr="00332380" w:rsidRDefault="00332380" w:rsidP="00332380">
            <w:pPr>
              <w:pStyle w:val="Tabletext"/>
              <w:rPr>
                <w:b/>
                <w:bCs/>
              </w:rPr>
            </w:pPr>
            <w:r w:rsidRPr="00332380">
              <w:rPr>
                <w:b/>
                <w:bCs/>
              </w:rPr>
              <w:t>Phasic</w:t>
            </w:r>
          </w:p>
          <w:p w14:paraId="363BC384" w14:textId="77777777" w:rsidR="00332380" w:rsidRPr="00332380" w:rsidRDefault="00332380" w:rsidP="00332380">
            <w:pPr>
              <w:pStyle w:val="Bulletindent1"/>
            </w:pPr>
            <w:r w:rsidRPr="00332380">
              <w:t>Ethinylestradiol 30/40/30micrograms and levonorgestrel 50/75/125micrograms</w:t>
            </w:r>
          </w:p>
          <w:p w14:paraId="2DC87712" w14:textId="77777777" w:rsidR="00332380" w:rsidRPr="00332380" w:rsidRDefault="00332380" w:rsidP="00332380">
            <w:pPr>
              <w:pStyle w:val="Bulletindent1"/>
            </w:pPr>
            <w:r w:rsidRPr="00332380">
              <w:t>Ethinylestradiol 35micrograms and norethisterone 0.5/1mg</w:t>
            </w:r>
          </w:p>
          <w:p w14:paraId="7E8CB864" w14:textId="77777777" w:rsidR="00332380" w:rsidRPr="00332380" w:rsidRDefault="00332380" w:rsidP="00332380">
            <w:pPr>
              <w:pStyle w:val="Tabletext"/>
              <w:rPr>
                <w:b/>
                <w:bCs/>
              </w:rPr>
            </w:pPr>
            <w:r w:rsidRPr="00332380">
              <w:rPr>
                <w:b/>
                <w:bCs/>
              </w:rPr>
              <w:t>Phasic every day</w:t>
            </w:r>
          </w:p>
          <w:p w14:paraId="778ABFC6" w14:textId="77777777" w:rsidR="00332380" w:rsidRPr="00332380" w:rsidRDefault="00332380" w:rsidP="00332380">
            <w:pPr>
              <w:pStyle w:val="Bulletindent1"/>
            </w:pPr>
            <w:r w:rsidRPr="00332380">
              <w:t>Estradiol valerate 3/2/2/1mg + dienogest 0/2/3/0mg + 2 inactive</w:t>
            </w:r>
          </w:p>
          <w:p w14:paraId="2B104BB5" w14:textId="446B8CD1" w:rsidR="00165DD9" w:rsidRPr="0012506B" w:rsidRDefault="00332380" w:rsidP="00590856">
            <w:pPr>
              <w:pStyle w:val="Bulletindent1"/>
            </w:pPr>
            <w:r w:rsidRPr="00332380">
              <w:t>Ethinylestradiol 30/40/30 micrograms and levonorgestrel 50/75/125micrograms + 7 inactive</w:t>
            </w:r>
          </w:p>
        </w:tc>
      </w:tr>
      <w:tr w:rsidR="00165DD9" w14:paraId="6DAA0645" w14:textId="77777777" w:rsidTr="4AF6DD72">
        <w:tc>
          <w:tcPr>
            <w:tcW w:w="3397" w:type="dxa"/>
          </w:tcPr>
          <w:p w14:paraId="2F56A41B" w14:textId="05091A78" w:rsidR="00165DD9" w:rsidRPr="005A6168" w:rsidRDefault="00165DD9" w:rsidP="00D131FF">
            <w:pPr>
              <w:pStyle w:val="TableHeaderRow"/>
              <w:rPr>
                <w:rStyle w:val="TableHeaderColumn"/>
              </w:rPr>
            </w:pPr>
            <w:r w:rsidRPr="00D131FF">
              <w:rPr>
                <w:rStyle w:val="TableHeaderColumn"/>
                <w:b/>
                <w:bCs/>
                <w:sz w:val="22"/>
              </w:rPr>
              <w:lastRenderedPageBreak/>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4AF6DD72">
        <w:tc>
          <w:tcPr>
            <w:tcW w:w="3397" w:type="dxa"/>
          </w:tcPr>
          <w:p w14:paraId="2EBF84AC" w14:textId="71F3565C" w:rsidR="004A295D" w:rsidRPr="004A295D" w:rsidRDefault="00165DD9" w:rsidP="00D131FF">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47BED888" w:rsidR="004A295D" w:rsidRDefault="00476781" w:rsidP="0012506B">
            <w:pPr>
              <w:pStyle w:val="Tabletext"/>
            </w:pPr>
            <w:r>
              <w:t>Oral</w:t>
            </w:r>
          </w:p>
        </w:tc>
      </w:tr>
      <w:tr w:rsidR="003E69CD" w14:paraId="264CA183" w14:textId="77777777" w:rsidTr="4AF6DD72">
        <w:tc>
          <w:tcPr>
            <w:tcW w:w="3397" w:type="dxa"/>
          </w:tcPr>
          <w:p w14:paraId="011DED45" w14:textId="0D334062" w:rsidR="003E69CD" w:rsidRPr="005A6168" w:rsidRDefault="003E69CD" w:rsidP="00D131FF">
            <w:pPr>
              <w:pStyle w:val="TableHeaderRow"/>
              <w:rPr>
                <w:rStyle w:val="TableHeaderColumn"/>
              </w:rPr>
            </w:pPr>
            <w:r w:rsidRPr="00D131FF">
              <w:rPr>
                <w:rStyle w:val="TableHeaderColumn"/>
                <w:b/>
                <w:bCs/>
                <w:sz w:val="22"/>
              </w:rPr>
              <w:t>Off label use</w:t>
            </w:r>
          </w:p>
        </w:tc>
        <w:tc>
          <w:tcPr>
            <w:tcW w:w="5245" w:type="dxa"/>
          </w:tcPr>
          <w:p w14:paraId="48165889" w14:textId="3ADC2289"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3" w:history="1">
              <w:r w:rsidR="00082163" w:rsidRPr="00082163">
                <w:rPr>
                  <w:rStyle w:val="Hyperlink"/>
                  <w:lang w:val="en-GB"/>
                </w:rPr>
                <w:t>Summary of Product Characteristics (SmPC) which can be accessed on the EMC website</w:t>
              </w:r>
            </w:hyperlink>
          </w:p>
          <w:p w14:paraId="41EF1189" w14:textId="77777777" w:rsidR="00770955" w:rsidRDefault="00770955" w:rsidP="00770955">
            <w:pPr>
              <w:pStyle w:val="Tabletext"/>
            </w:pPr>
          </w:p>
          <w:p w14:paraId="4B16137B" w14:textId="77777777" w:rsidR="00332380" w:rsidRDefault="00332380" w:rsidP="00332380">
            <w:pPr>
              <w:pStyle w:val="Tabletext"/>
            </w:pPr>
            <w:r w:rsidRPr="00AF42D9">
              <w:t xml:space="preserve">This PGD includes inclusion criteria, exclusion criteria 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  Specifically</w:t>
            </w:r>
            <w:r>
              <w:t>:</w:t>
            </w:r>
          </w:p>
          <w:p w14:paraId="28F62A6E" w14:textId="77777777" w:rsidR="00332380" w:rsidRPr="00E269B0" w:rsidRDefault="00332380" w:rsidP="00332380">
            <w:pPr>
              <w:pStyle w:val="Bulletindent1"/>
            </w:pPr>
            <w:r w:rsidRPr="00AF42D9">
              <w:t xml:space="preserve">the use of tailored COC </w:t>
            </w:r>
            <w:r w:rsidRPr="00E269B0">
              <w:t xml:space="preserve">regimen is outside the manufacturer’s licence but is supported by the </w:t>
            </w:r>
            <w:r>
              <w:t>College</w:t>
            </w:r>
            <w:r w:rsidRPr="00E269B0">
              <w:t xml:space="preserve"> of Sexual &amp; Reproductive Healthcare (</w:t>
            </w:r>
            <w:r>
              <w:t>Co</w:t>
            </w:r>
            <w:r w:rsidRPr="00E269B0">
              <w:t xml:space="preserve">SRH). The regimes detailed within this PGD are permitted under this PGD. </w:t>
            </w:r>
          </w:p>
          <w:p w14:paraId="06C68226" w14:textId="552F0C62" w:rsidR="00332380" w:rsidRPr="00E269B0" w:rsidRDefault="6AC33F91" w:rsidP="00332380">
            <w:pPr>
              <w:pStyle w:val="Bulletindent1"/>
            </w:pPr>
            <w:r>
              <w:t xml:space="preserve">Use for the control of problematic bleeding caused by the subdermal implant, </w:t>
            </w:r>
            <w:r w:rsidR="00B30D34">
              <w:t>LNG-</w:t>
            </w:r>
            <w:r>
              <w:t>IU</w:t>
            </w:r>
            <w:r w:rsidR="6ABEB2D6">
              <w:t>D</w:t>
            </w:r>
            <w:r>
              <w:t xml:space="preserve"> or medroxyprogesterone injection. </w:t>
            </w:r>
          </w:p>
          <w:p w14:paraId="2B5A6675" w14:textId="4CF988BD" w:rsidR="005F17C5" w:rsidRPr="005A6885" w:rsidRDefault="005F17C5" w:rsidP="005A6885">
            <w:pPr>
              <w:pStyle w:val="Tabletext"/>
            </w:pPr>
            <w:r w:rsidRPr="005A6885">
              <w:lastRenderedPageBreak/>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4AF6DD72">
        <w:tc>
          <w:tcPr>
            <w:tcW w:w="3397" w:type="dxa"/>
          </w:tcPr>
          <w:p w14:paraId="47CBA637" w14:textId="26C43375" w:rsidR="00165DD9" w:rsidRPr="005A6168" w:rsidRDefault="00165DD9" w:rsidP="00D131FF">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1AEED81" w14:textId="77777777" w:rsidR="00B65EE5" w:rsidRPr="00B65EE5" w:rsidRDefault="00B65EE5" w:rsidP="00B65EE5">
            <w:pPr>
              <w:pStyle w:val="Tabletext"/>
              <w:rPr>
                <w:b/>
                <w:bCs/>
              </w:rPr>
            </w:pPr>
            <w:r w:rsidRPr="00B65EE5">
              <w:rPr>
                <w:b/>
                <w:bCs/>
              </w:rPr>
              <w:t xml:space="preserve">Contraception </w:t>
            </w:r>
          </w:p>
          <w:p w14:paraId="6EDA47ED" w14:textId="77777777" w:rsidR="00B65EE5" w:rsidRPr="00E269B0" w:rsidRDefault="00B65EE5" w:rsidP="00B65EE5">
            <w:pPr>
              <w:pStyle w:val="Tabletext"/>
            </w:pPr>
          </w:p>
          <w:p w14:paraId="470635AD" w14:textId="77777777" w:rsidR="00B65EE5" w:rsidRPr="00E269B0" w:rsidRDefault="00B65EE5" w:rsidP="00B65EE5">
            <w:pPr>
              <w:pStyle w:val="Tabletext"/>
            </w:pPr>
            <w:r>
              <w:t>Co</w:t>
            </w:r>
            <w:r w:rsidRPr="00E269B0">
              <w:t xml:space="preserve">SRH guidance states that COC can either be taken following a standard or tailored regimen.  </w:t>
            </w:r>
          </w:p>
          <w:p w14:paraId="5445FAF3" w14:textId="77777777" w:rsidR="00B65EE5" w:rsidRPr="00E269B0" w:rsidRDefault="00B65EE5" w:rsidP="00B65EE5">
            <w:pPr>
              <w:pStyle w:val="Tabletext"/>
            </w:pPr>
          </w:p>
          <w:p w14:paraId="1BB91299" w14:textId="77777777" w:rsidR="00B65EE5" w:rsidRPr="00E269B0" w:rsidRDefault="00B65EE5" w:rsidP="00B65EE5">
            <w:pPr>
              <w:pStyle w:val="Tabletext"/>
            </w:pPr>
            <w:r w:rsidRPr="00E269B0">
              <w:t>Individuals should be given information about both standard and tailored COC regimen to broaden contraceptive choice.</w:t>
            </w:r>
          </w:p>
          <w:p w14:paraId="260B34A7" w14:textId="77777777" w:rsidR="00B65EE5" w:rsidRDefault="00B65EE5" w:rsidP="00B65EE5">
            <w:pPr>
              <w:overflowPunct w:val="0"/>
              <w:autoSpaceDE w:val="0"/>
              <w:autoSpaceDN w:val="0"/>
              <w:adjustRightInd w:val="0"/>
              <w:textAlignment w:val="baseline"/>
              <w:rPr>
                <w:rFonts w:ascii="Arial" w:hAnsi="Arial" w:cs="Arial"/>
              </w:rPr>
            </w:pPr>
          </w:p>
          <w:p w14:paraId="01C960A9" w14:textId="77777777" w:rsidR="00B65EE5" w:rsidRPr="00B65EE5" w:rsidRDefault="00B65EE5" w:rsidP="00B65EE5">
            <w:pPr>
              <w:pStyle w:val="Tabletext"/>
              <w:rPr>
                <w:b/>
                <w:bCs/>
              </w:rPr>
            </w:pPr>
            <w:r w:rsidRPr="00B65EE5">
              <w:rPr>
                <w:b/>
                <w:bCs/>
              </w:rPr>
              <w:t>Monophasic COC products/regimen</w:t>
            </w:r>
          </w:p>
          <w:p w14:paraId="4AD644F9" w14:textId="77777777" w:rsidR="0012506B" w:rsidRDefault="00B65EE5" w:rsidP="00B65EE5">
            <w:pPr>
              <w:pStyle w:val="Bulletindent1"/>
            </w:pPr>
            <w:r w:rsidRPr="00E269B0">
              <w:t>Monophasic COC can either be taken as a standard regimen or in a tailored regimen depending on the choice of the individual</w:t>
            </w:r>
          </w:p>
          <w:p w14:paraId="3CEFB246" w14:textId="09B9AB57" w:rsidR="00B65EE5" w:rsidRDefault="00B65EE5" w:rsidP="00B65EE5">
            <w:pPr>
              <w:pStyle w:val="Bulletindent1"/>
            </w:pPr>
            <w:r w:rsidRPr="00E269B0">
              <w:t>The regimens which can be advised are detailed</w:t>
            </w:r>
            <w:r>
              <w:t xml:space="preserve"> </w:t>
            </w:r>
            <w:hyperlink w:anchor="Regimens" w:history="1">
              <w:r w:rsidRPr="008039DB">
                <w:rPr>
                  <w:rStyle w:val="Hyperlink"/>
                </w:rPr>
                <w:t>in the table</w:t>
              </w:r>
              <w:r w:rsidR="006B5AF7" w:rsidRPr="008039DB">
                <w:rPr>
                  <w:rStyle w:val="Hyperlink"/>
                </w:rPr>
                <w:t>s</w:t>
              </w:r>
              <w:r w:rsidRPr="008039DB">
                <w:rPr>
                  <w:rStyle w:val="Hyperlink"/>
                </w:rPr>
                <w:t xml:space="preserve"> below</w:t>
              </w:r>
            </w:hyperlink>
          </w:p>
          <w:p w14:paraId="6D558191" w14:textId="439FEBF8" w:rsidR="00B65EE5" w:rsidRPr="00E269B0" w:rsidRDefault="00B65EE5" w:rsidP="00B65EE5">
            <w:pPr>
              <w:pStyle w:val="Bulletindent1"/>
            </w:pPr>
            <w:r w:rsidRPr="00E269B0">
              <w:t>For the monophasic regimen</w:t>
            </w:r>
            <w:r w:rsidR="008039DB">
              <w:t>s</w:t>
            </w:r>
            <w:r w:rsidRPr="00E269B0">
              <w:t xml:space="preserve"> </w:t>
            </w:r>
            <w:hyperlink w:anchor="Regimens" w:history="1">
              <w:r w:rsidRPr="002E3EBF">
                <w:rPr>
                  <w:rStyle w:val="Hyperlink"/>
                </w:rPr>
                <w:t xml:space="preserve">detailed </w:t>
              </w:r>
              <w:r w:rsidR="002E3EBF" w:rsidRPr="002E3EBF">
                <w:rPr>
                  <w:rStyle w:val="Hyperlink"/>
                </w:rPr>
                <w:t xml:space="preserve">in the tables </w:t>
              </w:r>
              <w:r w:rsidRPr="002E3EBF">
                <w:rPr>
                  <w:rStyle w:val="Hyperlink"/>
                </w:rPr>
                <w:t>below</w:t>
              </w:r>
            </w:hyperlink>
            <w:r w:rsidRPr="00E269B0">
              <w:t xml:space="preserve"> a single tablet is to be taken at the same time each day starting on day 1-5 of the menstrual cycle with no need for additional precautions. </w:t>
            </w:r>
          </w:p>
          <w:p w14:paraId="6AB47447" w14:textId="792CDA19" w:rsidR="00B65EE5" w:rsidRDefault="00B65EE5" w:rsidP="00B65EE5">
            <w:pPr>
              <w:pStyle w:val="Bulletindent1"/>
            </w:pPr>
            <w:r w:rsidRPr="00E269B0">
              <w:t xml:space="preserve">Individuals should have access to clear information (either written or digital) to support tailored COC use. </w:t>
            </w:r>
          </w:p>
        </w:tc>
      </w:tr>
    </w:tbl>
    <w:p w14:paraId="12BA1686" w14:textId="77777777" w:rsidR="006B5AF7" w:rsidRDefault="006B5AF7" w:rsidP="006B5AF7">
      <w:pPr>
        <w:pStyle w:val="Tabletitle"/>
      </w:pPr>
    </w:p>
    <w:p w14:paraId="00CE2D65" w14:textId="2E9612E4" w:rsidR="32B499CB" w:rsidRDefault="32B499CB" w:rsidP="32B499CB">
      <w:pPr>
        <w:pStyle w:val="NICEnormal"/>
      </w:pPr>
    </w:p>
    <w:p w14:paraId="091CEFA5" w14:textId="77777777" w:rsidR="006B5AF7" w:rsidRPr="006B5AF7" w:rsidRDefault="006B5AF7" w:rsidP="006B5AF7">
      <w:pPr>
        <w:pStyle w:val="Tabletitle"/>
        <w:rPr>
          <w:sz w:val="22"/>
          <w:szCs w:val="22"/>
        </w:rPr>
      </w:pPr>
      <w:bookmarkStart w:id="8" w:name="Regimens"/>
      <w:bookmarkEnd w:id="8"/>
      <w:r w:rsidRPr="006B5AF7">
        <w:rPr>
          <w:sz w:val="22"/>
          <w:szCs w:val="22"/>
        </w:rPr>
        <w:lastRenderedPageBreak/>
        <w:t>Monophasic COC regimens</w:t>
      </w:r>
    </w:p>
    <w:p w14:paraId="32B59089" w14:textId="77777777" w:rsidR="006B5AF7" w:rsidRPr="006B5AF7" w:rsidRDefault="006B5AF7" w:rsidP="006B5AF7">
      <w:pPr>
        <w:pStyle w:val="Tabletitle"/>
        <w:jc w:val="center"/>
        <w:rPr>
          <w:sz w:val="22"/>
          <w:szCs w:val="22"/>
        </w:rPr>
      </w:pPr>
      <w:r w:rsidRPr="006B5AF7">
        <w:rPr>
          <w:sz w:val="22"/>
          <w:szCs w:val="22"/>
        </w:rPr>
        <w:t>Standard use</w:t>
      </w:r>
    </w:p>
    <w:tbl>
      <w:tblPr>
        <w:tblStyle w:val="TableGrid"/>
        <w:tblW w:w="8642" w:type="dxa"/>
        <w:tblLayout w:type="fixed"/>
        <w:tblLook w:val="04A0" w:firstRow="1" w:lastRow="0" w:firstColumn="1" w:lastColumn="0" w:noHBand="0" w:noVBand="1"/>
        <w:tblCaption w:val="Monophasic COC regimen - standard"/>
        <w:tblDescription w:val="This table details period of COC use and homone free interval for standard use regimen"/>
      </w:tblPr>
      <w:tblGrid>
        <w:gridCol w:w="2831"/>
        <w:gridCol w:w="2832"/>
        <w:gridCol w:w="2979"/>
      </w:tblGrid>
      <w:tr w:rsidR="006B5AF7" w:rsidRPr="00E269B0" w14:paraId="59EE373D" w14:textId="77777777" w:rsidTr="00EE1A3A">
        <w:tc>
          <w:tcPr>
            <w:tcW w:w="2831" w:type="dxa"/>
          </w:tcPr>
          <w:p w14:paraId="73AD2164" w14:textId="77777777" w:rsidR="006B5AF7" w:rsidRPr="006B5AF7" w:rsidRDefault="006B5AF7" w:rsidP="006B5AF7">
            <w:pPr>
              <w:pStyle w:val="TableHeaderRow"/>
              <w:jc w:val="center"/>
              <w:rPr>
                <w:sz w:val="22"/>
                <w:szCs w:val="22"/>
              </w:rPr>
            </w:pPr>
            <w:r w:rsidRPr="006B5AF7">
              <w:rPr>
                <w:sz w:val="22"/>
                <w:szCs w:val="22"/>
              </w:rPr>
              <w:t>Type of regimen</w:t>
            </w:r>
          </w:p>
        </w:tc>
        <w:tc>
          <w:tcPr>
            <w:tcW w:w="2832" w:type="dxa"/>
          </w:tcPr>
          <w:p w14:paraId="53E6F230" w14:textId="77777777" w:rsidR="006B5AF7" w:rsidRPr="006B5AF7" w:rsidRDefault="006B5AF7" w:rsidP="006B5AF7">
            <w:pPr>
              <w:pStyle w:val="TableHeaderRow"/>
              <w:jc w:val="center"/>
              <w:rPr>
                <w:sz w:val="22"/>
                <w:szCs w:val="22"/>
              </w:rPr>
            </w:pPr>
            <w:r w:rsidRPr="006B5AF7">
              <w:rPr>
                <w:sz w:val="22"/>
                <w:szCs w:val="22"/>
              </w:rPr>
              <w:t>Period of COC use</w:t>
            </w:r>
          </w:p>
        </w:tc>
        <w:tc>
          <w:tcPr>
            <w:tcW w:w="2979" w:type="dxa"/>
          </w:tcPr>
          <w:p w14:paraId="5DE5F4D3" w14:textId="77777777" w:rsidR="006B5AF7" w:rsidRPr="006B5AF7" w:rsidRDefault="006B5AF7" w:rsidP="006B5AF7">
            <w:pPr>
              <w:pStyle w:val="TableHeaderRow"/>
              <w:jc w:val="center"/>
              <w:rPr>
                <w:sz w:val="22"/>
                <w:szCs w:val="22"/>
              </w:rPr>
            </w:pPr>
            <w:r w:rsidRPr="006B5AF7">
              <w:rPr>
                <w:sz w:val="22"/>
                <w:szCs w:val="22"/>
              </w:rPr>
              <w:t>Hormone (pill) free interval</w:t>
            </w:r>
          </w:p>
        </w:tc>
      </w:tr>
      <w:tr w:rsidR="006B5AF7" w:rsidRPr="00E269B0" w14:paraId="06DD6E9F" w14:textId="77777777" w:rsidTr="00EE1A3A">
        <w:tc>
          <w:tcPr>
            <w:tcW w:w="2831" w:type="dxa"/>
          </w:tcPr>
          <w:p w14:paraId="109D6B41" w14:textId="38DDDE10" w:rsidR="006B5AF7" w:rsidRPr="006B5AF7" w:rsidRDefault="006B5AF7" w:rsidP="00D131FF">
            <w:pPr>
              <w:pStyle w:val="TableHeaderRow"/>
            </w:pPr>
            <w:r w:rsidRPr="006B5AF7">
              <w:rPr>
                <w:sz w:val="22"/>
                <w:szCs w:val="22"/>
              </w:rPr>
              <w:t xml:space="preserve">Standard </w:t>
            </w:r>
            <w:r w:rsidRPr="00D131FF">
              <w:rPr>
                <w:rStyle w:val="TableHeaderColumn"/>
                <w:b/>
                <w:bCs/>
                <w:sz w:val="22"/>
              </w:rPr>
              <w:t>Use</w:t>
            </w:r>
          </w:p>
        </w:tc>
        <w:tc>
          <w:tcPr>
            <w:tcW w:w="2832" w:type="dxa"/>
          </w:tcPr>
          <w:p w14:paraId="02284767" w14:textId="578D6055" w:rsidR="006B5AF7" w:rsidRPr="00E269B0" w:rsidRDefault="006B5AF7" w:rsidP="006B5AF7">
            <w:pPr>
              <w:pStyle w:val="Tabletext"/>
              <w:jc w:val="center"/>
            </w:pPr>
            <w:r w:rsidRPr="00912ACA">
              <w:t>21 days (21 active pills)</w:t>
            </w:r>
          </w:p>
        </w:tc>
        <w:tc>
          <w:tcPr>
            <w:tcW w:w="2979" w:type="dxa"/>
          </w:tcPr>
          <w:p w14:paraId="5E47E307" w14:textId="65B56EC6" w:rsidR="006B5AF7" w:rsidRPr="00E269B0" w:rsidRDefault="006B5AF7" w:rsidP="006B5AF7">
            <w:pPr>
              <w:pStyle w:val="Tabletext"/>
              <w:jc w:val="center"/>
              <w:rPr>
                <w:b/>
                <w:sz w:val="18"/>
                <w:szCs w:val="18"/>
              </w:rPr>
            </w:pPr>
            <w:r w:rsidRPr="00912ACA">
              <w:t>7 days</w:t>
            </w:r>
          </w:p>
        </w:tc>
      </w:tr>
    </w:tbl>
    <w:p w14:paraId="7EE7A1CE" w14:textId="77777777" w:rsidR="006B5AF7" w:rsidRDefault="006B5AF7" w:rsidP="006B5AF7">
      <w:pPr>
        <w:pStyle w:val="Tabletitle"/>
        <w:jc w:val="both"/>
      </w:pPr>
    </w:p>
    <w:p w14:paraId="161CC5C1" w14:textId="77777777" w:rsidR="006B5AF7" w:rsidRPr="006B5AF7" w:rsidRDefault="006B5AF7" w:rsidP="006B5AF7">
      <w:pPr>
        <w:pStyle w:val="Tabletitle"/>
        <w:jc w:val="center"/>
        <w:rPr>
          <w:sz w:val="22"/>
          <w:szCs w:val="22"/>
        </w:rPr>
      </w:pPr>
      <w:r w:rsidRPr="006B5AF7">
        <w:rPr>
          <w:sz w:val="22"/>
          <w:szCs w:val="22"/>
        </w:rPr>
        <w:t>Tailored Use</w:t>
      </w:r>
    </w:p>
    <w:tbl>
      <w:tblPr>
        <w:tblStyle w:val="TableGrid"/>
        <w:tblW w:w="8642" w:type="dxa"/>
        <w:tblLook w:val="04A0" w:firstRow="1" w:lastRow="0" w:firstColumn="1" w:lastColumn="0" w:noHBand="0" w:noVBand="1"/>
        <w:tblCaption w:val="Monophasic COC regimens - tailored use"/>
        <w:tblDescription w:val="This table details the period of COC use and hormone free intervals for four standard regimens which are Shortened hormone free interval, extended use (tri-cycling), flexible extended use and continuous use."/>
      </w:tblPr>
      <w:tblGrid>
        <w:gridCol w:w="2831"/>
        <w:gridCol w:w="2832"/>
        <w:gridCol w:w="2979"/>
      </w:tblGrid>
      <w:tr w:rsidR="006B5AF7" w:rsidRPr="00863134" w14:paraId="3EE90A07" w14:textId="77777777" w:rsidTr="00EE1A3A">
        <w:tc>
          <w:tcPr>
            <w:tcW w:w="2831" w:type="dxa"/>
          </w:tcPr>
          <w:p w14:paraId="14B752FA" w14:textId="3E49D6E9" w:rsidR="006B5AF7" w:rsidRPr="006B5AF7" w:rsidRDefault="006B5AF7" w:rsidP="00863134">
            <w:pPr>
              <w:pStyle w:val="TableHeaderRow"/>
              <w:jc w:val="center"/>
              <w:rPr>
                <w:sz w:val="22"/>
                <w:szCs w:val="22"/>
              </w:rPr>
            </w:pPr>
            <w:r w:rsidRPr="006B5AF7">
              <w:rPr>
                <w:sz w:val="22"/>
                <w:szCs w:val="22"/>
              </w:rPr>
              <w:t>Type of regimen</w:t>
            </w:r>
          </w:p>
        </w:tc>
        <w:tc>
          <w:tcPr>
            <w:tcW w:w="2832" w:type="dxa"/>
          </w:tcPr>
          <w:p w14:paraId="57F6EC6D" w14:textId="31C674B3" w:rsidR="006B5AF7" w:rsidRPr="006B5AF7" w:rsidRDefault="006B5AF7" w:rsidP="00863134">
            <w:pPr>
              <w:pStyle w:val="TableHeaderRow"/>
              <w:jc w:val="center"/>
              <w:rPr>
                <w:sz w:val="22"/>
                <w:szCs w:val="22"/>
              </w:rPr>
            </w:pPr>
            <w:r w:rsidRPr="006B5AF7">
              <w:rPr>
                <w:sz w:val="22"/>
                <w:szCs w:val="22"/>
              </w:rPr>
              <w:t>Period of COC use</w:t>
            </w:r>
          </w:p>
        </w:tc>
        <w:tc>
          <w:tcPr>
            <w:tcW w:w="2979" w:type="dxa"/>
          </w:tcPr>
          <w:p w14:paraId="36D906DC" w14:textId="2577B884" w:rsidR="006B5AF7" w:rsidRPr="006B5AF7" w:rsidRDefault="006B5AF7" w:rsidP="00863134">
            <w:pPr>
              <w:pStyle w:val="TableHeaderRow"/>
              <w:jc w:val="center"/>
              <w:rPr>
                <w:sz w:val="22"/>
                <w:szCs w:val="22"/>
              </w:rPr>
            </w:pPr>
            <w:r w:rsidRPr="006B5AF7">
              <w:rPr>
                <w:sz w:val="22"/>
                <w:szCs w:val="22"/>
              </w:rPr>
              <w:t>Hormone (pill) free interval</w:t>
            </w:r>
          </w:p>
        </w:tc>
      </w:tr>
      <w:tr w:rsidR="006B5AF7" w14:paraId="6967D372" w14:textId="77777777" w:rsidTr="00EE1A3A">
        <w:tc>
          <w:tcPr>
            <w:tcW w:w="2831" w:type="dxa"/>
          </w:tcPr>
          <w:p w14:paraId="0D327BCC" w14:textId="22497C9D" w:rsidR="006B5AF7" w:rsidRPr="006B5AF7" w:rsidRDefault="006B5AF7" w:rsidP="006B5AF7">
            <w:pPr>
              <w:pStyle w:val="TableHeaderRow"/>
              <w:jc w:val="center"/>
              <w:rPr>
                <w:sz w:val="22"/>
                <w:szCs w:val="22"/>
              </w:rPr>
            </w:pPr>
            <w:r w:rsidRPr="006B5AF7">
              <w:rPr>
                <w:sz w:val="22"/>
                <w:szCs w:val="22"/>
              </w:rPr>
              <w:t>Shortened hormone-free interval</w:t>
            </w:r>
          </w:p>
        </w:tc>
        <w:tc>
          <w:tcPr>
            <w:tcW w:w="2832" w:type="dxa"/>
          </w:tcPr>
          <w:p w14:paraId="64C3FF00" w14:textId="783E50A0" w:rsidR="006B5AF7" w:rsidRDefault="006B5AF7" w:rsidP="006B5AF7">
            <w:pPr>
              <w:pStyle w:val="Tabletext"/>
              <w:jc w:val="center"/>
            </w:pPr>
            <w:r w:rsidRPr="00A75BF1">
              <w:t>21 days (21 active pills)</w:t>
            </w:r>
          </w:p>
        </w:tc>
        <w:tc>
          <w:tcPr>
            <w:tcW w:w="2979" w:type="dxa"/>
          </w:tcPr>
          <w:p w14:paraId="4E1A7E30" w14:textId="09A7EFCE" w:rsidR="006B5AF7" w:rsidRDefault="006B5AF7" w:rsidP="006B5AF7">
            <w:pPr>
              <w:pStyle w:val="Tabletext"/>
              <w:jc w:val="center"/>
            </w:pPr>
            <w:r w:rsidRPr="00A75BF1">
              <w:t>4 days</w:t>
            </w:r>
          </w:p>
        </w:tc>
      </w:tr>
      <w:tr w:rsidR="006B5AF7" w14:paraId="27E2205E" w14:textId="77777777" w:rsidTr="00EE1A3A">
        <w:tc>
          <w:tcPr>
            <w:tcW w:w="2831" w:type="dxa"/>
          </w:tcPr>
          <w:p w14:paraId="4F27BEB7" w14:textId="0AA7780C" w:rsidR="006B5AF7" w:rsidRPr="006B5AF7" w:rsidRDefault="006B5AF7" w:rsidP="006B5AF7">
            <w:pPr>
              <w:pStyle w:val="TableHeaderRow"/>
              <w:jc w:val="center"/>
              <w:rPr>
                <w:sz w:val="22"/>
                <w:szCs w:val="22"/>
              </w:rPr>
            </w:pPr>
            <w:r w:rsidRPr="006B5AF7">
              <w:rPr>
                <w:sz w:val="22"/>
                <w:szCs w:val="22"/>
              </w:rPr>
              <w:t>Extended use (</w:t>
            </w:r>
            <w:proofErr w:type="gramStart"/>
            <w:r w:rsidRPr="006B5AF7">
              <w:rPr>
                <w:sz w:val="22"/>
                <w:szCs w:val="22"/>
              </w:rPr>
              <w:t>tri-cycling</w:t>
            </w:r>
            <w:proofErr w:type="gramEnd"/>
            <w:r w:rsidRPr="006B5AF7">
              <w:rPr>
                <w:sz w:val="22"/>
                <w:szCs w:val="22"/>
              </w:rPr>
              <w:t>)</w:t>
            </w:r>
          </w:p>
        </w:tc>
        <w:tc>
          <w:tcPr>
            <w:tcW w:w="2832" w:type="dxa"/>
          </w:tcPr>
          <w:p w14:paraId="42CC4773" w14:textId="55B51F67" w:rsidR="006B5AF7" w:rsidRDefault="006B5AF7" w:rsidP="006B5AF7">
            <w:pPr>
              <w:pStyle w:val="Tabletext"/>
              <w:jc w:val="center"/>
            </w:pPr>
            <w:r w:rsidRPr="00A75BF1">
              <w:t>9 weeks (3x21 active pills)</w:t>
            </w:r>
          </w:p>
        </w:tc>
        <w:tc>
          <w:tcPr>
            <w:tcW w:w="2979" w:type="dxa"/>
          </w:tcPr>
          <w:p w14:paraId="31DDDFDE" w14:textId="2082915B" w:rsidR="006B5AF7" w:rsidRDefault="006B5AF7" w:rsidP="006B5AF7">
            <w:pPr>
              <w:pStyle w:val="Tabletext"/>
              <w:jc w:val="center"/>
            </w:pPr>
            <w:r w:rsidRPr="00A75BF1">
              <w:t>4 or 7 days</w:t>
            </w:r>
          </w:p>
        </w:tc>
      </w:tr>
      <w:tr w:rsidR="006B5AF7" w14:paraId="6E1E5236" w14:textId="77777777" w:rsidTr="00EE1A3A">
        <w:tc>
          <w:tcPr>
            <w:tcW w:w="2831" w:type="dxa"/>
          </w:tcPr>
          <w:p w14:paraId="29006C06" w14:textId="4C0F08DB" w:rsidR="006B5AF7" w:rsidRPr="006B5AF7" w:rsidRDefault="006B5AF7" w:rsidP="006B5AF7">
            <w:pPr>
              <w:pStyle w:val="TableHeaderRow"/>
              <w:jc w:val="center"/>
              <w:rPr>
                <w:sz w:val="22"/>
                <w:szCs w:val="22"/>
              </w:rPr>
            </w:pPr>
            <w:r w:rsidRPr="006B5AF7">
              <w:rPr>
                <w:sz w:val="22"/>
                <w:szCs w:val="22"/>
              </w:rPr>
              <w:t>Flexible extended use</w:t>
            </w:r>
          </w:p>
        </w:tc>
        <w:tc>
          <w:tcPr>
            <w:tcW w:w="2832" w:type="dxa"/>
          </w:tcPr>
          <w:p w14:paraId="103CECA9" w14:textId="77D38742" w:rsidR="006B5AF7" w:rsidRDefault="006B5AF7" w:rsidP="006B5AF7">
            <w:pPr>
              <w:pStyle w:val="Tabletext"/>
              <w:jc w:val="center"/>
            </w:pPr>
            <w:r w:rsidRPr="00A75BF1">
              <w:t>Continuous use (≥21 days) of active pills until breakthrough bleeding occurs for 3–4 days</w:t>
            </w:r>
          </w:p>
        </w:tc>
        <w:tc>
          <w:tcPr>
            <w:tcW w:w="2979" w:type="dxa"/>
          </w:tcPr>
          <w:p w14:paraId="0C4FD801" w14:textId="08F8D6AE" w:rsidR="006B5AF7" w:rsidRDefault="006B5AF7" w:rsidP="006B5AF7">
            <w:pPr>
              <w:pStyle w:val="Tabletext"/>
              <w:jc w:val="center"/>
            </w:pPr>
            <w:r w:rsidRPr="00A75BF1">
              <w:t>4 days</w:t>
            </w:r>
          </w:p>
        </w:tc>
      </w:tr>
      <w:tr w:rsidR="006B5AF7" w14:paraId="17CD3EF7" w14:textId="77777777" w:rsidTr="00EE1A3A">
        <w:tc>
          <w:tcPr>
            <w:tcW w:w="2831" w:type="dxa"/>
          </w:tcPr>
          <w:p w14:paraId="1C44D622" w14:textId="4D5093AC" w:rsidR="006B5AF7" w:rsidRPr="006B5AF7" w:rsidRDefault="006B5AF7" w:rsidP="006B5AF7">
            <w:pPr>
              <w:pStyle w:val="TableHeaderRow"/>
              <w:jc w:val="center"/>
              <w:rPr>
                <w:sz w:val="22"/>
                <w:szCs w:val="22"/>
              </w:rPr>
            </w:pPr>
            <w:r w:rsidRPr="006B5AF7">
              <w:rPr>
                <w:sz w:val="22"/>
                <w:szCs w:val="22"/>
              </w:rPr>
              <w:t>Continuous use</w:t>
            </w:r>
          </w:p>
        </w:tc>
        <w:tc>
          <w:tcPr>
            <w:tcW w:w="2832" w:type="dxa"/>
          </w:tcPr>
          <w:p w14:paraId="17D79B37" w14:textId="273E0BBF" w:rsidR="006B5AF7" w:rsidRDefault="006B5AF7" w:rsidP="006B5AF7">
            <w:pPr>
              <w:pStyle w:val="Tabletext"/>
              <w:jc w:val="center"/>
            </w:pPr>
            <w:r w:rsidRPr="00A75BF1">
              <w:t>Continuous use of active pills</w:t>
            </w:r>
          </w:p>
        </w:tc>
        <w:tc>
          <w:tcPr>
            <w:tcW w:w="2979" w:type="dxa"/>
          </w:tcPr>
          <w:p w14:paraId="456A3DAF" w14:textId="12556532" w:rsidR="006B5AF7" w:rsidRDefault="006B5AF7" w:rsidP="006B5AF7">
            <w:pPr>
              <w:pStyle w:val="Tabletext"/>
              <w:jc w:val="center"/>
            </w:pPr>
            <w:r w:rsidRPr="00A75BF1">
              <w:t>None</w:t>
            </w:r>
          </w:p>
        </w:tc>
      </w:tr>
    </w:tbl>
    <w:p w14:paraId="1A407725" w14:textId="0F027460" w:rsidR="00B65EE5" w:rsidRPr="006B5AF7" w:rsidRDefault="00B65EE5" w:rsidP="006B5AF7">
      <w:pPr>
        <w:pStyle w:val="Tabletitle"/>
      </w:pPr>
    </w:p>
    <w:p w14:paraId="25AAA4F5" w14:textId="77777777" w:rsidR="00B65EE5" w:rsidRDefault="00B65EE5"/>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5154B5D" w14:textId="77777777" w:rsidTr="4AF6DD72">
        <w:tc>
          <w:tcPr>
            <w:tcW w:w="3397" w:type="dxa"/>
          </w:tcPr>
          <w:p w14:paraId="01685DA9" w14:textId="1C39BB53" w:rsidR="00165DD9" w:rsidRPr="005A6168" w:rsidRDefault="008039DB" w:rsidP="00D131FF">
            <w:pPr>
              <w:pStyle w:val="TableHeaderRow"/>
              <w:rPr>
                <w:rStyle w:val="TableHeaderColumn"/>
              </w:rPr>
            </w:pPr>
            <w:r w:rsidRPr="00D131FF">
              <w:rPr>
                <w:rStyle w:val="TableHeaderColumn"/>
                <w:b/>
                <w:bCs/>
                <w:sz w:val="22"/>
              </w:rPr>
              <w:t>Dose and frequency of administration - continued</w:t>
            </w:r>
          </w:p>
        </w:tc>
        <w:tc>
          <w:tcPr>
            <w:tcW w:w="5245" w:type="dxa"/>
          </w:tcPr>
          <w:p w14:paraId="49F756AA" w14:textId="77777777" w:rsidR="008039DB" w:rsidRPr="008039DB" w:rsidRDefault="008039DB" w:rsidP="008039DB">
            <w:pPr>
              <w:pStyle w:val="Tabletext"/>
              <w:rPr>
                <w:b/>
                <w:bCs/>
              </w:rPr>
            </w:pPr>
            <w:r w:rsidRPr="008039DB">
              <w:rPr>
                <w:b/>
                <w:bCs/>
              </w:rPr>
              <w:t xml:space="preserve">Monophasic </w:t>
            </w:r>
            <w:proofErr w:type="spellStart"/>
            <w:r w:rsidRPr="008039DB">
              <w:rPr>
                <w:b/>
                <w:bCs/>
              </w:rPr>
              <w:t>everyday</w:t>
            </w:r>
            <w:proofErr w:type="spellEnd"/>
            <w:r w:rsidRPr="008039DB">
              <w:rPr>
                <w:b/>
                <w:bCs/>
              </w:rPr>
              <w:t xml:space="preserve">, phasic and phasic everyday COC products/regimens </w:t>
            </w:r>
          </w:p>
          <w:p w14:paraId="30C4A0CF" w14:textId="77777777" w:rsidR="008039DB" w:rsidRPr="00E269B0" w:rsidRDefault="008039DB" w:rsidP="008039DB">
            <w:pPr>
              <w:pStyle w:val="Bulletindent1"/>
            </w:pPr>
            <w:r w:rsidRPr="00E269B0">
              <w:t xml:space="preserve">For monophasic </w:t>
            </w:r>
            <w:proofErr w:type="spellStart"/>
            <w:r w:rsidRPr="00E269B0">
              <w:t>everyday</w:t>
            </w:r>
            <w:proofErr w:type="spellEnd"/>
            <w:r w:rsidRPr="00E269B0">
              <w:t>, phasic and phasic everyday regimens a single tablet is to be taken at the same time each day starting on day 1-5 of the menstrual cycle with no need for additional precautions. The exceptions to this are:</w:t>
            </w:r>
          </w:p>
          <w:p w14:paraId="0259F201" w14:textId="77777777" w:rsidR="008039DB" w:rsidRPr="00E269B0" w:rsidRDefault="008039DB" w:rsidP="008039DB">
            <w:pPr>
              <w:pStyle w:val="Bulletindent1"/>
              <w:numPr>
                <w:ilvl w:val="1"/>
                <w:numId w:val="16"/>
              </w:numPr>
            </w:pPr>
            <w:r w:rsidRPr="00E269B0">
              <w:t xml:space="preserve">Qlaira®, which should be started on day 1, or if not, additional precautions should be used for 9 days after starting.  </w:t>
            </w:r>
          </w:p>
          <w:p w14:paraId="4FA5CACF" w14:textId="0ED3D893" w:rsidR="008039DB" w:rsidRPr="00E269B0" w:rsidRDefault="008039DB" w:rsidP="008039DB">
            <w:pPr>
              <w:pStyle w:val="Bulletindent1"/>
              <w:numPr>
                <w:ilvl w:val="1"/>
                <w:numId w:val="16"/>
              </w:numPr>
            </w:pPr>
            <w:r w:rsidRPr="00E269B0">
              <w:t>Zoely®,</w:t>
            </w:r>
            <w:r w:rsidR="00A20DDD">
              <w:t xml:space="preserve"> </w:t>
            </w:r>
            <w:r w:rsidRPr="00E269B0">
              <w:t xml:space="preserve">which should be started on day 1, or if not, additional precautions should be used for 7 days after starting.  </w:t>
            </w:r>
          </w:p>
          <w:p w14:paraId="266234C1" w14:textId="77777777" w:rsidR="008039DB" w:rsidRPr="00E269B0" w:rsidRDefault="008039DB" w:rsidP="008039DB">
            <w:pPr>
              <w:pStyle w:val="Bulletindent1"/>
            </w:pPr>
            <w:r w:rsidRPr="00E269B0">
              <w:t>Thereafter follow manufacturer’s instructions for individual product use.</w:t>
            </w:r>
          </w:p>
          <w:p w14:paraId="208E9A85" w14:textId="77777777" w:rsidR="008039DB" w:rsidRPr="00E269B0" w:rsidRDefault="008039DB" w:rsidP="008039DB">
            <w:pPr>
              <w:overflowPunct w:val="0"/>
              <w:autoSpaceDE w:val="0"/>
              <w:autoSpaceDN w:val="0"/>
              <w:adjustRightInd w:val="0"/>
              <w:contextualSpacing/>
              <w:textAlignment w:val="baseline"/>
              <w:rPr>
                <w:rFonts w:ascii="Arial" w:hAnsi="Arial" w:cs="Arial"/>
              </w:rPr>
            </w:pPr>
          </w:p>
          <w:p w14:paraId="19CAA1F5" w14:textId="77777777" w:rsidR="008039DB" w:rsidRPr="008039DB" w:rsidRDefault="008039DB" w:rsidP="008039DB">
            <w:pPr>
              <w:pStyle w:val="Tabletext"/>
              <w:rPr>
                <w:b/>
                <w:bCs/>
              </w:rPr>
            </w:pPr>
            <w:r w:rsidRPr="008039DB">
              <w:rPr>
                <w:b/>
                <w:bCs/>
              </w:rPr>
              <w:lastRenderedPageBreak/>
              <w:t>For all COC products/regimens</w:t>
            </w:r>
          </w:p>
          <w:p w14:paraId="0DB3EBFB" w14:textId="77777777" w:rsidR="008039DB" w:rsidRPr="008039DB" w:rsidRDefault="008039DB" w:rsidP="008039DB">
            <w:pPr>
              <w:pStyle w:val="Bulletindent1"/>
            </w:pPr>
            <w:r w:rsidRPr="008039DB">
              <w:t>COC can be started at any time after day 5 of the menstrual cycle if it is reasonably certain that the individual is not pregnant. Additional precautions are then required for 7 days after starting (9 days for Qlaira®)</w:t>
            </w:r>
          </w:p>
          <w:p w14:paraId="4A70A398" w14:textId="1F44F1D3" w:rsidR="008039DB" w:rsidRPr="008039DB" w:rsidRDefault="008039DB" w:rsidP="008039DB">
            <w:pPr>
              <w:pStyle w:val="Bulletindent1"/>
            </w:pPr>
            <w:r w:rsidRPr="008039DB">
              <w:t>When starting or restarting the C</w:t>
            </w:r>
            <w:r w:rsidR="00A20DDD">
              <w:t>O</w:t>
            </w:r>
            <w:r w:rsidRPr="008039DB">
              <w:t xml:space="preserve">C as quick start after levonorgestrel emergency contraception, additional contraception is required for 7 </w:t>
            </w:r>
            <w:proofErr w:type="gramStart"/>
            <w:r w:rsidRPr="008039DB">
              <w:t>days</w:t>
            </w:r>
            <w:proofErr w:type="gramEnd"/>
            <w:r w:rsidRPr="008039DB">
              <w:t xml:space="preserve"> and a pregnancy test should be performed 21 days after the last unprotected sexual intercourse.</w:t>
            </w:r>
          </w:p>
          <w:p w14:paraId="340A5320" w14:textId="77777777" w:rsidR="008039DB" w:rsidRPr="008039DB" w:rsidRDefault="008039DB" w:rsidP="008039DB">
            <w:pPr>
              <w:pStyle w:val="Bulletindent1"/>
            </w:pPr>
            <w:r w:rsidRPr="00E269B0">
              <w:t xml:space="preserve">In line with </w:t>
            </w:r>
            <w:r>
              <w:t>Co</w:t>
            </w:r>
            <w:r w:rsidRPr="00E269B0">
              <w:t>SRH guidance individuals using hormonal contraception</w:t>
            </w:r>
            <w:r>
              <w:t xml:space="preserve"> </w:t>
            </w:r>
            <w:r w:rsidRPr="00E269B0">
              <w:t xml:space="preserve">should delay restarting their regular hormonal contraception for 5 days following ulipristal acetate use. Avoidance of pregnancy risk (i.e. use </w:t>
            </w:r>
            <w:r w:rsidRPr="00B315F8">
              <w:t>of condoms or abstain from intercourse) should be advised until fully effective.  For COC this is 7 days after re-starting this method, (9 days for Qlaira®).</w:t>
            </w:r>
          </w:p>
          <w:p w14:paraId="143BDB44" w14:textId="5A715A97" w:rsidR="008039DB" w:rsidRPr="002E3591" w:rsidRDefault="008039DB" w:rsidP="008039DB">
            <w:pPr>
              <w:pStyle w:val="Bulletindent1"/>
            </w:pPr>
            <w:r w:rsidRPr="00B315F8">
              <w:t xml:space="preserve">If, in a </w:t>
            </w:r>
            <w:r w:rsidRPr="00E004B5">
              <w:t xml:space="preserve">current user of 30mcg EE/LNG COC, two to seven pills are missed in </w:t>
            </w:r>
            <w:r w:rsidRPr="00B315F8">
              <w:t>the first week of pill taking, it may be appropriate to offer UPA-EC and restart COC on a quick starting basis. Th</w:t>
            </w:r>
            <w:r>
              <w:t>e individual</w:t>
            </w:r>
            <w:r w:rsidRPr="00B315F8">
              <w:t xml:space="preserve"> should be </w:t>
            </w:r>
            <w:r>
              <w:t>referred to</w:t>
            </w:r>
            <w:r w:rsidRPr="00B315F8">
              <w:t xml:space="preserve"> a prescriber in this specific </w:t>
            </w:r>
            <w:r w:rsidRPr="001857CB">
              <w:t>circumstance</w:t>
            </w:r>
            <w:r>
              <w:t xml:space="preserve"> </w:t>
            </w:r>
            <w:r w:rsidRPr="001857CB">
              <w:t>and is excluded from supply of UPA-EC using PGD</w:t>
            </w:r>
            <w:r w:rsidR="00175208">
              <w:t xml:space="preserve"> </w:t>
            </w:r>
            <w:hyperlink r:id="rId24" w:history="1">
              <w:r>
                <w:rPr>
                  <w:rStyle w:val="Hyperlink"/>
                  <w:rFonts w:cs="Arial"/>
                </w:rPr>
                <w:t>as detailed in the FSRH Response to study: Banh, et al (November 2020) | FSRH</w:t>
              </w:r>
            </w:hyperlink>
          </w:p>
          <w:p w14:paraId="1D446B70" w14:textId="09AE6B20" w:rsidR="002B2380" w:rsidRPr="002B2380" w:rsidRDefault="008039DB" w:rsidP="002B2380">
            <w:pPr>
              <w:pStyle w:val="Bulletindent1"/>
              <w:rPr>
                <w:b/>
                <w:bCs/>
              </w:rPr>
            </w:pPr>
            <w:r w:rsidRPr="008039DB">
              <w:t xml:space="preserve">For guidance on changing from one contraceptive method to another, and when to start after an abortion and postpartum, </w:t>
            </w:r>
            <w:r w:rsidRPr="002B2380">
              <w:t xml:space="preserve">refer to </w:t>
            </w:r>
            <w:hyperlink r:id="rId25" w:history="1">
              <w:r w:rsidR="00D131FF" w:rsidRPr="002B2380">
                <w:rPr>
                  <w:rStyle w:val="Hyperlink"/>
                  <w:rFonts w:cs="Arial"/>
                  <w:szCs w:val="22"/>
                </w:rPr>
                <w:t>CoSRH - Switching or Starting Methods of Contraceptio</w:t>
              </w:r>
              <w:r w:rsidR="00B53FA7">
                <w:rPr>
                  <w:rStyle w:val="Hyperlink"/>
                  <w:rFonts w:cs="Arial"/>
                  <w:szCs w:val="22"/>
                </w:rPr>
                <w:t>n (log in required)</w:t>
              </w:r>
            </w:hyperlink>
            <w:r w:rsidR="00D131FF" w:rsidRPr="002B2380">
              <w:t xml:space="preserve"> </w:t>
            </w:r>
            <w:r w:rsidR="002B2380" w:rsidRPr="002B2380">
              <w:t xml:space="preserve">and </w:t>
            </w:r>
            <w:hyperlink r:id="rId26" w:history="1">
              <w:r w:rsidR="008708CA">
                <w:rPr>
                  <w:rStyle w:val="Hyperlink"/>
                  <w:rFonts w:cs="Arial"/>
                  <w:szCs w:val="22"/>
                </w:rPr>
                <w:t>CoSRH Clinical Guideline: Contraception after Pregnancy</w:t>
              </w:r>
            </w:hyperlink>
          </w:p>
          <w:p w14:paraId="1C1DEFAE" w14:textId="55C9EC3F" w:rsidR="008039DB" w:rsidRPr="002B2380" w:rsidRDefault="008039DB" w:rsidP="002B2380">
            <w:pPr>
              <w:pStyle w:val="Tabletext"/>
              <w:rPr>
                <w:b/>
                <w:bCs/>
              </w:rPr>
            </w:pPr>
            <w:r w:rsidRPr="4AF6DD72">
              <w:rPr>
                <w:b/>
                <w:bCs/>
              </w:rPr>
              <w:t xml:space="preserve">Control of problematic bleeding caused by the subdermal implant, </w:t>
            </w:r>
            <w:r w:rsidR="00B30D34">
              <w:rPr>
                <w:b/>
                <w:bCs/>
              </w:rPr>
              <w:t>LNG-</w:t>
            </w:r>
            <w:r w:rsidRPr="4AF6DD72">
              <w:rPr>
                <w:b/>
                <w:bCs/>
              </w:rPr>
              <w:t>IU</w:t>
            </w:r>
            <w:r w:rsidR="79760ED1" w:rsidRPr="4AF6DD72">
              <w:rPr>
                <w:b/>
                <w:bCs/>
              </w:rPr>
              <w:t>D</w:t>
            </w:r>
            <w:r w:rsidRPr="4AF6DD72">
              <w:rPr>
                <w:b/>
                <w:bCs/>
              </w:rPr>
              <w:t xml:space="preserve"> or medroxyprogesterone injection. </w:t>
            </w:r>
          </w:p>
          <w:p w14:paraId="1BDDBFD7" w14:textId="6E52AC55" w:rsidR="00165DD9" w:rsidRDefault="008039DB" w:rsidP="008039DB">
            <w:pPr>
              <w:pStyle w:val="Bulletindent1"/>
            </w:pPr>
            <w:r w:rsidRPr="00E269B0">
              <w:t xml:space="preserve">Can be taken as a </w:t>
            </w:r>
            <w:proofErr w:type="gramStart"/>
            <w:r w:rsidRPr="00E269B0">
              <w:t>21 day</w:t>
            </w:r>
            <w:proofErr w:type="gramEnd"/>
            <w:r w:rsidRPr="00E269B0">
              <w:t xml:space="preserve"> cycle/</w:t>
            </w:r>
            <w:proofErr w:type="gramStart"/>
            <w:r w:rsidRPr="00E269B0">
              <w:t>7 day</w:t>
            </w:r>
            <w:proofErr w:type="gramEnd"/>
            <w:r w:rsidRPr="00E269B0">
              <w:t xml:space="preserve"> pill free interval or continuously without a pill free interval</w:t>
            </w:r>
          </w:p>
        </w:tc>
      </w:tr>
      <w:tr w:rsidR="008039DB" w14:paraId="66BEBFE0" w14:textId="77777777" w:rsidTr="4AF6DD72">
        <w:tc>
          <w:tcPr>
            <w:tcW w:w="3397" w:type="dxa"/>
          </w:tcPr>
          <w:p w14:paraId="2F18890C" w14:textId="7F082980" w:rsidR="008039DB" w:rsidRPr="005A6168" w:rsidRDefault="008039DB" w:rsidP="00D131FF">
            <w:pPr>
              <w:pStyle w:val="TableHeaderRow"/>
              <w:rPr>
                <w:rStyle w:val="TableHeaderColumn"/>
              </w:rPr>
            </w:pPr>
            <w:r w:rsidRPr="00D131FF">
              <w:rPr>
                <w:rStyle w:val="TableHeaderColumn"/>
                <w:b/>
                <w:bCs/>
                <w:sz w:val="22"/>
              </w:rPr>
              <w:lastRenderedPageBreak/>
              <w:t>Quantity to be supplied</w:t>
            </w:r>
          </w:p>
        </w:tc>
        <w:tc>
          <w:tcPr>
            <w:tcW w:w="5245" w:type="dxa"/>
          </w:tcPr>
          <w:p w14:paraId="1466482A" w14:textId="77777777" w:rsidR="00B0215A" w:rsidRPr="00B0215A" w:rsidRDefault="00B0215A" w:rsidP="00B0215A">
            <w:pPr>
              <w:pStyle w:val="Tabletext"/>
              <w:rPr>
                <w:b/>
                <w:bCs/>
              </w:rPr>
            </w:pPr>
            <w:r w:rsidRPr="00B0215A">
              <w:rPr>
                <w:b/>
                <w:bCs/>
              </w:rPr>
              <w:t>Contraception</w:t>
            </w:r>
          </w:p>
          <w:p w14:paraId="32EB381E" w14:textId="77777777" w:rsidR="00B0215A" w:rsidRPr="00E269B0" w:rsidRDefault="00B0215A" w:rsidP="00B0215A">
            <w:pPr>
              <w:pStyle w:val="Bulletindent1"/>
            </w:pPr>
            <w:r w:rsidRPr="00E269B0">
              <w:t xml:space="preserve">Supply of up to twelve months in appropriately labelled original packs.  </w:t>
            </w:r>
          </w:p>
          <w:p w14:paraId="04D4ADF8" w14:textId="77777777" w:rsidR="00B0215A" w:rsidRPr="00E269B0" w:rsidRDefault="00B0215A" w:rsidP="00B0215A">
            <w:pPr>
              <w:pStyle w:val="Bulletindent1"/>
            </w:pPr>
            <w:r w:rsidRPr="00E269B0">
              <w:lastRenderedPageBreak/>
              <w:t xml:space="preserve">For all supplies be aware that the regimen to be taken may not be reflected in the dosage information printed on the product packaging or within the supplied PIL – ensure full details of regimen to be followed are supplied.  </w:t>
            </w:r>
          </w:p>
          <w:p w14:paraId="6E22B91D" w14:textId="77777777" w:rsidR="00B0215A" w:rsidRPr="00E269B0" w:rsidRDefault="00B0215A" w:rsidP="00B0215A">
            <w:pPr>
              <w:overflowPunct w:val="0"/>
              <w:autoSpaceDE w:val="0"/>
              <w:autoSpaceDN w:val="0"/>
              <w:adjustRightInd w:val="0"/>
              <w:contextualSpacing/>
              <w:textAlignment w:val="baseline"/>
              <w:rPr>
                <w:rFonts w:ascii="Arial" w:hAnsi="Arial" w:cs="Arial"/>
              </w:rPr>
            </w:pPr>
          </w:p>
          <w:p w14:paraId="45248C50" w14:textId="2C608A61" w:rsidR="00B0215A" w:rsidRPr="00B0215A" w:rsidRDefault="00B0215A" w:rsidP="00B0215A">
            <w:pPr>
              <w:pStyle w:val="Tabletext"/>
              <w:rPr>
                <w:b/>
                <w:bCs/>
              </w:rPr>
            </w:pPr>
            <w:r w:rsidRPr="4AF6DD72">
              <w:rPr>
                <w:b/>
                <w:bCs/>
              </w:rPr>
              <w:t xml:space="preserve">Control of problematic bleeding caused by the subdermal implant, </w:t>
            </w:r>
            <w:r w:rsidR="00B30D34">
              <w:rPr>
                <w:b/>
                <w:bCs/>
              </w:rPr>
              <w:t>LNG-</w:t>
            </w:r>
            <w:r w:rsidRPr="4AF6DD72">
              <w:rPr>
                <w:b/>
                <w:bCs/>
              </w:rPr>
              <w:t>IU</w:t>
            </w:r>
            <w:r w:rsidR="49EEEB48" w:rsidRPr="4AF6DD72">
              <w:rPr>
                <w:b/>
                <w:bCs/>
              </w:rPr>
              <w:t>D</w:t>
            </w:r>
            <w:r w:rsidRPr="4AF6DD72">
              <w:rPr>
                <w:b/>
                <w:bCs/>
              </w:rPr>
              <w:t xml:space="preserve"> or medroxyprogesterone injection. </w:t>
            </w:r>
          </w:p>
          <w:p w14:paraId="2627BFCB" w14:textId="77777777" w:rsidR="00B0215A" w:rsidRPr="00E269B0" w:rsidRDefault="00B0215A" w:rsidP="00B0215A">
            <w:pPr>
              <w:pStyle w:val="Bulletindent1"/>
            </w:pPr>
            <w:r w:rsidRPr="00E269B0">
              <w:t xml:space="preserve">Supply of up to three months in appropriately labelled original packs.  </w:t>
            </w:r>
          </w:p>
          <w:p w14:paraId="5B4E5279" w14:textId="16931D4A" w:rsidR="008039DB" w:rsidRPr="00770955" w:rsidRDefault="00B0215A" w:rsidP="00B0215A">
            <w:pPr>
              <w:pStyle w:val="Bulletindent1"/>
            </w:pPr>
            <w:r w:rsidRPr="00E269B0">
              <w:t>For all supplies be aware that the regimen to be taken may not be reflected in the dosage information printed on the product packaging or within the supplied</w:t>
            </w:r>
            <w:r w:rsidR="00A20DDD" w:rsidRPr="00E269B0">
              <w:t xml:space="preserve"> PIL – ensure full details of regimen to be followed are supplied</w:t>
            </w:r>
            <w:r w:rsidR="008039DB" w:rsidRPr="00770955">
              <w:t xml:space="preserve">. </w:t>
            </w:r>
          </w:p>
        </w:tc>
      </w:tr>
      <w:tr w:rsidR="008039DB" w14:paraId="073231F9" w14:textId="77777777" w:rsidTr="4AF6DD72">
        <w:tc>
          <w:tcPr>
            <w:tcW w:w="3397" w:type="dxa"/>
            <w:tcBorders>
              <w:top w:val="single" w:sz="4" w:space="0" w:color="auto"/>
              <w:left w:val="single" w:sz="4" w:space="0" w:color="auto"/>
              <w:bottom w:val="single" w:sz="4" w:space="0" w:color="auto"/>
              <w:right w:val="single" w:sz="4" w:space="0" w:color="auto"/>
            </w:tcBorders>
          </w:tcPr>
          <w:p w14:paraId="3CF8ECDD" w14:textId="525F8E89" w:rsidR="008039DB" w:rsidRPr="005A6168" w:rsidRDefault="008039DB" w:rsidP="00D131FF">
            <w:pPr>
              <w:pStyle w:val="TableHeaderRow"/>
              <w:rPr>
                <w:rStyle w:val="TableHeaderColumn"/>
              </w:rPr>
            </w:pPr>
            <w:r w:rsidRPr="00D131FF">
              <w:rPr>
                <w:rStyle w:val="TableHeaderColumn"/>
                <w:b/>
                <w:bCs/>
                <w:sz w:val="22"/>
              </w:rPr>
              <w:lastRenderedPageBreak/>
              <w:t>Duration of treatment</w:t>
            </w:r>
          </w:p>
        </w:tc>
        <w:tc>
          <w:tcPr>
            <w:tcW w:w="5245" w:type="dxa"/>
            <w:tcBorders>
              <w:top w:val="single" w:sz="4" w:space="0" w:color="auto"/>
              <w:left w:val="single" w:sz="4" w:space="0" w:color="auto"/>
              <w:bottom w:val="single" w:sz="4" w:space="0" w:color="auto"/>
              <w:right w:val="single" w:sz="4" w:space="0" w:color="auto"/>
            </w:tcBorders>
          </w:tcPr>
          <w:p w14:paraId="361BA0AF" w14:textId="77777777" w:rsidR="008039DB" w:rsidRPr="008039DB" w:rsidRDefault="008039DB" w:rsidP="008039DB">
            <w:pPr>
              <w:pStyle w:val="Tabletext"/>
              <w:rPr>
                <w:b/>
                <w:bCs/>
              </w:rPr>
            </w:pPr>
            <w:r w:rsidRPr="008039DB">
              <w:rPr>
                <w:b/>
                <w:bCs/>
              </w:rPr>
              <w:t>Contraception</w:t>
            </w:r>
          </w:p>
          <w:p w14:paraId="5CF024E0" w14:textId="77777777" w:rsidR="008039DB" w:rsidRDefault="008039DB" w:rsidP="00B0215A">
            <w:pPr>
              <w:pStyle w:val="Tabletext"/>
            </w:pPr>
            <w:r w:rsidRPr="00E269B0">
              <w:t>For as long as the individual requires COC and has no contraindications to its use.</w:t>
            </w:r>
          </w:p>
          <w:p w14:paraId="03C39446" w14:textId="77777777" w:rsidR="008039DB" w:rsidRPr="00E269B0" w:rsidRDefault="008039DB" w:rsidP="00B0215A">
            <w:pPr>
              <w:pStyle w:val="Tabletext"/>
            </w:pPr>
          </w:p>
          <w:p w14:paraId="011BEE51" w14:textId="124D80A7" w:rsidR="008039DB" w:rsidRPr="00B0215A" w:rsidRDefault="008039DB" w:rsidP="00B0215A">
            <w:pPr>
              <w:pStyle w:val="Tabletext"/>
              <w:rPr>
                <w:b/>
                <w:bCs/>
              </w:rPr>
            </w:pPr>
            <w:r w:rsidRPr="4AF6DD72">
              <w:rPr>
                <w:b/>
                <w:bCs/>
              </w:rPr>
              <w:t xml:space="preserve">Control of problematic bleeding caused by the subdermal implant, </w:t>
            </w:r>
            <w:r w:rsidR="00764F8B">
              <w:rPr>
                <w:b/>
                <w:bCs/>
              </w:rPr>
              <w:t>LNG-</w:t>
            </w:r>
            <w:r w:rsidRPr="4AF6DD72">
              <w:rPr>
                <w:b/>
                <w:bCs/>
              </w:rPr>
              <w:t>IU</w:t>
            </w:r>
            <w:r w:rsidR="4A3A10ED" w:rsidRPr="4AF6DD72">
              <w:rPr>
                <w:b/>
                <w:bCs/>
              </w:rPr>
              <w:t>D</w:t>
            </w:r>
            <w:r w:rsidRPr="4AF6DD72">
              <w:rPr>
                <w:b/>
                <w:bCs/>
              </w:rPr>
              <w:t xml:space="preserve"> or medroxyprogesterone injection</w:t>
            </w:r>
          </w:p>
          <w:p w14:paraId="34A3B3B7" w14:textId="27924556" w:rsidR="008039DB" w:rsidRDefault="008039DB" w:rsidP="00B0215A">
            <w:pPr>
              <w:pStyle w:val="Tabletext"/>
            </w:pPr>
            <w:r w:rsidRPr="00E269B0">
              <w:t>Three months</w:t>
            </w:r>
          </w:p>
        </w:tc>
      </w:tr>
      <w:tr w:rsidR="008039DB" w14:paraId="28CB51BD" w14:textId="77777777" w:rsidTr="4AF6DD72">
        <w:tc>
          <w:tcPr>
            <w:tcW w:w="3397" w:type="dxa"/>
            <w:tcBorders>
              <w:top w:val="single" w:sz="4" w:space="0" w:color="auto"/>
              <w:left w:val="single" w:sz="4" w:space="0" w:color="auto"/>
              <w:bottom w:val="single" w:sz="4" w:space="0" w:color="auto"/>
              <w:right w:val="single" w:sz="4" w:space="0" w:color="auto"/>
            </w:tcBorders>
          </w:tcPr>
          <w:p w14:paraId="69119C98" w14:textId="4AFD6B1F" w:rsidR="008039DB" w:rsidRDefault="008039DB" w:rsidP="00D131FF">
            <w:pPr>
              <w:pStyle w:val="TableHeaderRow"/>
              <w:rPr>
                <w:rStyle w:val="TableHeaderColumn"/>
              </w:rPr>
            </w:pPr>
            <w:bookmarkStart w:id="9" w:name="Storage"/>
            <w:bookmarkEnd w:id="9"/>
            <w:r w:rsidRPr="00D131FF">
              <w:rPr>
                <w:rStyle w:val="TableHeaderColumn"/>
                <w:b/>
                <w:bCs/>
                <w:sz w:val="22"/>
              </w:rPr>
              <w:t>Storage</w:t>
            </w:r>
          </w:p>
        </w:tc>
        <w:tc>
          <w:tcPr>
            <w:tcW w:w="5245" w:type="dxa"/>
            <w:tcBorders>
              <w:top w:val="single" w:sz="4" w:space="0" w:color="auto"/>
              <w:left w:val="single" w:sz="4" w:space="0" w:color="auto"/>
              <w:bottom w:val="single" w:sz="4" w:space="0" w:color="auto"/>
              <w:right w:val="single" w:sz="4" w:space="0" w:color="auto"/>
            </w:tcBorders>
          </w:tcPr>
          <w:p w14:paraId="63B16DBA" w14:textId="65A15EA2" w:rsidR="008039DB" w:rsidRPr="008708CA" w:rsidRDefault="008039DB" w:rsidP="008708CA">
            <w:pPr>
              <w:overflowPunct w:val="0"/>
              <w:autoSpaceDE w:val="0"/>
              <w:autoSpaceDN w:val="0"/>
              <w:adjustRightInd w:val="0"/>
              <w:spacing w:after="0" w:line="240" w:lineRule="auto"/>
              <w:textAlignment w:val="baseline"/>
              <w:rPr>
                <w:rFonts w:ascii="Arial" w:eastAsia="Times New Roman" w:hAnsi="Arial" w:cs="Arial"/>
                <w:kern w:val="0"/>
                <w:sz w:val="22"/>
                <w:szCs w:val="22"/>
                <w:lang w:val="en-US"/>
                <w14:ligatures w14:val="none"/>
              </w:rPr>
            </w:pPr>
            <w:r w:rsidRPr="008708CA">
              <w:rPr>
                <w:rFonts w:ascii="Arial" w:eastAsia="Times New Roman" w:hAnsi="Arial" w:cs="Arial"/>
                <w:kern w:val="0"/>
                <w:sz w:val="22"/>
                <w:szCs w:val="22"/>
                <w:lang w:val="en-US"/>
                <w14:ligatures w14:val="none"/>
              </w:rPr>
              <w:t xml:space="preserve">Medicines must be stored securely according to national guidelines and in accordance with the </w:t>
            </w:r>
            <w:hyperlink r:id="rId27" w:history="1">
              <w:r w:rsidRPr="008708CA">
                <w:rPr>
                  <w:rStyle w:val="Hyperlink"/>
                  <w:rFonts w:ascii="Arial" w:eastAsia="Times New Roman" w:hAnsi="Arial" w:cs="Arial"/>
                  <w:kern w:val="0"/>
                  <w:sz w:val="22"/>
                  <w:szCs w:val="22"/>
                  <w14:ligatures w14:val="none"/>
                </w:rPr>
                <w:t>Summary of Product Characteristics (SmPC) which can be accessed on the EMC website</w:t>
              </w:r>
            </w:hyperlink>
          </w:p>
        </w:tc>
      </w:tr>
      <w:tr w:rsidR="008039DB" w14:paraId="2CD9E9DF" w14:textId="77777777" w:rsidTr="4AF6DD72">
        <w:tc>
          <w:tcPr>
            <w:tcW w:w="3397" w:type="dxa"/>
            <w:tcBorders>
              <w:top w:val="single" w:sz="4" w:space="0" w:color="auto"/>
              <w:left w:val="single" w:sz="4" w:space="0" w:color="auto"/>
              <w:bottom w:val="single" w:sz="4" w:space="0" w:color="auto"/>
              <w:right w:val="single" w:sz="4" w:space="0" w:color="auto"/>
            </w:tcBorders>
          </w:tcPr>
          <w:p w14:paraId="580D0647" w14:textId="706B8F3C" w:rsidR="008039DB" w:rsidRPr="005A6168" w:rsidRDefault="008039DB" w:rsidP="00D131FF">
            <w:pPr>
              <w:pStyle w:val="TableHeaderRow"/>
              <w:rPr>
                <w:rStyle w:val="TableHeaderColumn"/>
              </w:rPr>
            </w:pPr>
            <w:bookmarkStart w:id="10" w:name="Interactions"/>
            <w:bookmarkEnd w:id="10"/>
            <w:r w:rsidRPr="00D131FF">
              <w:rPr>
                <w:rStyle w:val="TableHeaderColumn"/>
                <w:b/>
                <w:bCs/>
                <w:sz w:val="22"/>
              </w:rPr>
              <w:t>Drug interactions</w:t>
            </w:r>
          </w:p>
        </w:tc>
        <w:tc>
          <w:tcPr>
            <w:tcW w:w="5245" w:type="dxa"/>
            <w:tcBorders>
              <w:top w:val="single" w:sz="4" w:space="0" w:color="auto"/>
              <w:left w:val="single" w:sz="4" w:space="0" w:color="auto"/>
              <w:bottom w:val="single" w:sz="4" w:space="0" w:color="auto"/>
              <w:right w:val="single" w:sz="4" w:space="0" w:color="auto"/>
            </w:tcBorders>
          </w:tcPr>
          <w:p w14:paraId="261B833C" w14:textId="77777777" w:rsidR="00B0215A" w:rsidRPr="00601464" w:rsidRDefault="00B0215A" w:rsidP="00B0215A">
            <w:pPr>
              <w:pStyle w:val="Tabletext"/>
            </w:pPr>
            <w:r w:rsidRPr="00601464">
              <w:rPr>
                <w:rFonts w:eastAsia="Arial"/>
              </w:rPr>
              <w:t>Individuals concurrently prescribed enzyme inducing medicines/herbal products or within 4 weeks of stopping them are excluded from treatment under this PGD and must be referred to an appropriate prescriber:</w:t>
            </w:r>
          </w:p>
          <w:p w14:paraId="08865B62" w14:textId="77777777" w:rsidR="00B0215A" w:rsidRPr="00601464" w:rsidRDefault="00B0215A" w:rsidP="00B0215A">
            <w:pPr>
              <w:pStyle w:val="Tabletext"/>
            </w:pPr>
          </w:p>
          <w:p w14:paraId="256C7620" w14:textId="77777777" w:rsidR="00B0215A" w:rsidRPr="00601464" w:rsidRDefault="00B0215A" w:rsidP="00B0215A">
            <w:pPr>
              <w:pStyle w:val="Tabletext"/>
            </w:pPr>
            <w:r w:rsidRPr="00601464">
              <w:t>All concurrent medications, including those purchased should be considered for interactions.</w:t>
            </w:r>
          </w:p>
          <w:p w14:paraId="549D2F79" w14:textId="77777777" w:rsidR="00B0215A" w:rsidRDefault="00B0215A" w:rsidP="008039DB">
            <w:pPr>
              <w:pStyle w:val="Tabletext"/>
              <w:rPr>
                <w:rFonts w:cs="Arial"/>
                <w:color w:val="000000"/>
                <w:lang w:val="en-GB"/>
              </w:rPr>
            </w:pPr>
          </w:p>
          <w:p w14:paraId="3AA9787A" w14:textId="4F24DE97" w:rsidR="008039DB" w:rsidRDefault="008039DB" w:rsidP="008039DB">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8" w:history="1">
              <w:r w:rsidRPr="00770955">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29" w:history="1">
              <w:r w:rsidRPr="00BD1D91">
                <w:rPr>
                  <w:rStyle w:val="Hyperlink"/>
                  <w:rFonts w:cs="Arial"/>
                  <w:bCs/>
                  <w:iCs/>
                </w:rPr>
                <w:t>the BNF</w:t>
              </w:r>
            </w:hyperlink>
          </w:p>
          <w:p w14:paraId="75B8C6B2" w14:textId="77777777" w:rsidR="008039DB" w:rsidRDefault="008039DB" w:rsidP="008039DB">
            <w:pPr>
              <w:pStyle w:val="Tabletext"/>
            </w:pPr>
            <w:r w:rsidRPr="00770955">
              <w:rPr>
                <w:lang w:val="en-GB"/>
              </w:rPr>
              <w:t xml:space="preserve">Refer also to </w:t>
            </w:r>
            <w:hyperlink r:id="rId30" w:history="1">
              <w:r>
                <w:rPr>
                  <w:rStyle w:val="Hyperlink"/>
                  <w:lang w:val="en-GB"/>
                </w:rPr>
                <w:t>CoSRH guidance on drug interactions with hormonal contraception</w:t>
              </w:r>
            </w:hyperlink>
          </w:p>
          <w:p w14:paraId="7FE55887" w14:textId="77777777" w:rsidR="00B0215A" w:rsidRDefault="00B0215A" w:rsidP="008039DB">
            <w:pPr>
              <w:pStyle w:val="Tabletext"/>
            </w:pPr>
          </w:p>
          <w:p w14:paraId="4D53C9CE" w14:textId="09F02BE2" w:rsidR="00B0215A" w:rsidRDefault="00B0215A" w:rsidP="00B0215A">
            <w:pPr>
              <w:pStyle w:val="Tabletext"/>
            </w:pPr>
            <w:r w:rsidRPr="001857CB">
              <w:t xml:space="preserve">Concomitant use with the medicinal products containing glecaprevir/pibrentasvir or </w:t>
            </w:r>
            <w:r w:rsidRPr="001857CB">
              <w:lastRenderedPageBreak/>
              <w:t>sofosbuvir/velpatasvir/voxilaprevir is contraindicated. See</w:t>
            </w:r>
            <w:r w:rsidRPr="00891835">
              <w:rPr>
                <w:color w:val="FF0000"/>
              </w:rPr>
              <w:t xml:space="preserve"> </w:t>
            </w:r>
            <w:hyperlink r:id="rId31" w:history="1">
              <w:r w:rsidRPr="00891835">
                <w:rPr>
                  <w:rStyle w:val="Hyperlink"/>
                  <w:rFonts w:cs="Arial"/>
                </w:rPr>
                <w:t>Liverpool HEP Interactions</w:t>
              </w:r>
            </w:hyperlink>
          </w:p>
          <w:p w14:paraId="034987B6" w14:textId="77777777" w:rsidR="00B0215A" w:rsidRDefault="00B0215A" w:rsidP="00B0215A">
            <w:pPr>
              <w:pStyle w:val="Tabletext"/>
              <w:rPr>
                <w:rFonts w:cs="Arial"/>
              </w:rPr>
            </w:pPr>
          </w:p>
          <w:p w14:paraId="06B6C616" w14:textId="2271D01C" w:rsidR="00B0215A" w:rsidRDefault="00B0215A" w:rsidP="00B0215A">
            <w:pPr>
              <w:pStyle w:val="Tabletext"/>
            </w:pPr>
            <w:r w:rsidRPr="00601464">
              <w:rPr>
                <w:rFonts w:cs="Arial"/>
              </w:rPr>
              <w:t>Seek advice from an appropriate clinician/Medicines Advisory Service if required.</w:t>
            </w:r>
          </w:p>
        </w:tc>
      </w:tr>
      <w:tr w:rsidR="008039DB" w14:paraId="39E46197" w14:textId="77777777" w:rsidTr="4AF6DD72">
        <w:tc>
          <w:tcPr>
            <w:tcW w:w="3397" w:type="dxa"/>
            <w:tcBorders>
              <w:top w:val="single" w:sz="4" w:space="0" w:color="auto"/>
              <w:left w:val="single" w:sz="4" w:space="0" w:color="auto"/>
              <w:bottom w:val="single" w:sz="4" w:space="0" w:color="auto"/>
              <w:right w:val="single" w:sz="4" w:space="0" w:color="auto"/>
            </w:tcBorders>
          </w:tcPr>
          <w:p w14:paraId="338D9536" w14:textId="7100B09A" w:rsidR="008039DB" w:rsidRPr="005A6168" w:rsidRDefault="008039DB" w:rsidP="00D131FF">
            <w:pPr>
              <w:pStyle w:val="TableHeaderRow"/>
              <w:rPr>
                <w:rStyle w:val="TableHeaderColumn"/>
              </w:rPr>
            </w:pPr>
            <w:r w:rsidRPr="00D131FF">
              <w:rPr>
                <w:rStyle w:val="TableHeaderColumn"/>
                <w:b/>
                <w:bCs/>
                <w:sz w:val="22"/>
              </w:rPr>
              <w:lastRenderedPageBreak/>
              <w:t>Identification and management of adverse reactions</w:t>
            </w:r>
          </w:p>
        </w:tc>
        <w:tc>
          <w:tcPr>
            <w:tcW w:w="5245" w:type="dxa"/>
            <w:tcBorders>
              <w:top w:val="single" w:sz="4" w:space="0" w:color="auto"/>
              <w:left w:val="single" w:sz="4" w:space="0" w:color="auto"/>
              <w:bottom w:val="single" w:sz="4" w:space="0" w:color="auto"/>
              <w:right w:val="single" w:sz="4" w:space="0" w:color="auto"/>
            </w:tcBorders>
          </w:tcPr>
          <w:p w14:paraId="32B73B8A" w14:textId="16770CE2" w:rsidR="008039DB" w:rsidRDefault="008039DB" w:rsidP="008039DB">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2" w:history="1">
              <w:r w:rsidRPr="00770955">
                <w:rPr>
                  <w:rStyle w:val="Hyperlink"/>
                  <w:lang w:val="en-GB"/>
                </w:rPr>
                <w:t>Summary of Product Characteristics (SmPC) which can be accessed on the EMC website</w:t>
              </w:r>
            </w:hyperlink>
            <w:r w:rsidRPr="00FA5956">
              <w:rPr>
                <w:lang w:val="en-GB"/>
              </w:rPr>
              <w:t xml:space="preserve"> or </w:t>
            </w:r>
            <w:hyperlink r:id="rId33" w:history="1">
              <w:r w:rsidRPr="00FA5956">
                <w:rPr>
                  <w:rStyle w:val="Hyperlink"/>
                  <w:bCs/>
                  <w:iCs/>
                  <w:lang w:val="en-GB"/>
                </w:rPr>
                <w:t>the BNF</w:t>
              </w:r>
            </w:hyperlink>
          </w:p>
          <w:p w14:paraId="01AF6D34" w14:textId="77777777" w:rsidR="008039DB" w:rsidRDefault="008039DB" w:rsidP="008039DB">
            <w:pPr>
              <w:pStyle w:val="Tabletext"/>
              <w:rPr>
                <w:szCs w:val="22"/>
              </w:rPr>
            </w:pPr>
          </w:p>
          <w:p w14:paraId="03ED08D4" w14:textId="25A7F02F" w:rsidR="00B0215A" w:rsidRPr="00C9363A" w:rsidRDefault="00B0215A" w:rsidP="00B0215A">
            <w:pPr>
              <w:pStyle w:val="Tabletext"/>
            </w:pPr>
            <w:r w:rsidRPr="00C9363A">
              <w:t>The following possible adverse effects are commonly reported with</w:t>
            </w:r>
            <w:r w:rsidR="00A20DDD">
              <w:t xml:space="preserve"> </w:t>
            </w:r>
            <w:r w:rsidRPr="00C9363A">
              <w:t>COC (but may not reflect all reported adverse effects):</w:t>
            </w:r>
          </w:p>
          <w:p w14:paraId="3778624A" w14:textId="77777777" w:rsidR="00B0215A" w:rsidRPr="00C9363A" w:rsidRDefault="00B0215A" w:rsidP="00B0215A">
            <w:pPr>
              <w:pStyle w:val="Bulletindent1"/>
            </w:pPr>
            <w:r w:rsidRPr="00C9363A">
              <w:t>Nausea</w:t>
            </w:r>
          </w:p>
          <w:p w14:paraId="205F9058" w14:textId="77777777" w:rsidR="00B0215A" w:rsidRPr="00AF42D9" w:rsidRDefault="00B0215A" w:rsidP="00B0215A">
            <w:pPr>
              <w:pStyle w:val="Bulletindent1"/>
            </w:pPr>
            <w:r w:rsidRPr="00AF42D9">
              <w:t>Breast tenderness</w:t>
            </w:r>
          </w:p>
          <w:p w14:paraId="0D31432F" w14:textId="77777777" w:rsidR="00B0215A" w:rsidRPr="00AF42D9" w:rsidRDefault="00B0215A" w:rsidP="00B0215A">
            <w:pPr>
              <w:pStyle w:val="Bulletindent1"/>
            </w:pPr>
            <w:r w:rsidRPr="00AF42D9">
              <w:t xml:space="preserve">Headache </w:t>
            </w:r>
            <w:r>
              <w:t>and migraine</w:t>
            </w:r>
          </w:p>
          <w:p w14:paraId="35EB12EE" w14:textId="77777777" w:rsidR="00B0215A" w:rsidRPr="00AF42D9" w:rsidRDefault="00B0215A" w:rsidP="00B0215A">
            <w:pPr>
              <w:pStyle w:val="Bulletindent1"/>
            </w:pPr>
            <w:r w:rsidRPr="00AF42D9">
              <w:t>Temporary disturbances of bleeding patterns</w:t>
            </w:r>
          </w:p>
          <w:p w14:paraId="1641F86C" w14:textId="77777777" w:rsidR="00B0215A" w:rsidRPr="00AF42D9" w:rsidRDefault="00B0215A" w:rsidP="00B0215A">
            <w:pPr>
              <w:pStyle w:val="Bulletindent1"/>
            </w:pPr>
            <w:r w:rsidRPr="00AF42D9">
              <w:t>Change in mood</w:t>
            </w:r>
            <w:r>
              <w:t xml:space="preserve"> including depression</w:t>
            </w:r>
          </w:p>
          <w:p w14:paraId="7BE41768" w14:textId="77777777" w:rsidR="00B0215A" w:rsidRDefault="00B0215A" w:rsidP="00B0215A">
            <w:pPr>
              <w:pStyle w:val="Bulletindent1"/>
            </w:pPr>
            <w:r w:rsidRPr="00AF42D9">
              <w:t>Fluid retention</w:t>
            </w:r>
          </w:p>
          <w:p w14:paraId="7862D841" w14:textId="77777777" w:rsidR="00B0215A" w:rsidRDefault="00B0215A" w:rsidP="00B0215A">
            <w:pPr>
              <w:pStyle w:val="Bulletindent1"/>
            </w:pPr>
            <w:r>
              <w:t>Change in libido</w:t>
            </w:r>
          </w:p>
          <w:p w14:paraId="030F2FFA" w14:textId="77777777" w:rsidR="00B0215A" w:rsidRPr="00AF42D9" w:rsidRDefault="00B0215A" w:rsidP="00B0215A">
            <w:pPr>
              <w:pStyle w:val="Bulletindent1"/>
            </w:pPr>
            <w:r>
              <w:t>Skin changes including acne</w:t>
            </w:r>
          </w:p>
          <w:p w14:paraId="19FEB760" w14:textId="77777777" w:rsidR="00B0215A" w:rsidRPr="00AF42D9" w:rsidRDefault="00B0215A" w:rsidP="00170A61">
            <w:pPr>
              <w:pStyle w:val="Tabletext"/>
            </w:pPr>
            <w:r w:rsidRPr="00AF42D9">
              <w:t xml:space="preserve">Serious adverse effects - these are less </w:t>
            </w:r>
            <w:proofErr w:type="gramStart"/>
            <w:r w:rsidRPr="00AF42D9">
              <w:t>common</w:t>
            </w:r>
            <w:proofErr w:type="gramEnd"/>
            <w:r w:rsidRPr="00AF42D9">
              <w:t xml:space="preserve"> but the risks should be discussed with the individual:</w:t>
            </w:r>
          </w:p>
          <w:p w14:paraId="5BCDA1D5" w14:textId="77777777" w:rsidR="00B0215A" w:rsidRPr="00C9363A" w:rsidRDefault="00B0215A" w:rsidP="00170A61">
            <w:pPr>
              <w:pStyle w:val="Bulletindent1"/>
            </w:pPr>
            <w:r w:rsidRPr="00AF42D9">
              <w:t xml:space="preserve">Venous </w:t>
            </w:r>
            <w:r w:rsidRPr="00C9363A">
              <w:t>thromboembolic events</w:t>
            </w:r>
          </w:p>
          <w:p w14:paraId="7AC65EEA" w14:textId="77777777" w:rsidR="00B0215A" w:rsidRPr="001A0E05" w:rsidRDefault="00B0215A" w:rsidP="00170A61">
            <w:pPr>
              <w:pStyle w:val="Bulletindent1"/>
            </w:pPr>
            <w:r w:rsidRPr="001A0E05">
              <w:t>Arterial thromboembolic disorders</w:t>
            </w:r>
            <w:r>
              <w:t xml:space="preserve"> (including ischaemic heart disease)</w:t>
            </w:r>
          </w:p>
          <w:p w14:paraId="27341E7C" w14:textId="77777777" w:rsidR="00B0215A" w:rsidRPr="001A0E05" w:rsidRDefault="00B0215A" w:rsidP="00170A61">
            <w:pPr>
              <w:pStyle w:val="Bulletindent1"/>
            </w:pPr>
            <w:r w:rsidRPr="001A0E05">
              <w:t>Strokes (e.g. transient ischaemic attack, ischaemic stroke, haemorrhagic stroke)</w:t>
            </w:r>
          </w:p>
          <w:p w14:paraId="59A213F4" w14:textId="15824F0B" w:rsidR="008039DB" w:rsidRDefault="00B0215A" w:rsidP="00170A61">
            <w:pPr>
              <w:pStyle w:val="Bulletindent1"/>
            </w:pPr>
            <w:r w:rsidRPr="00AF42D9">
              <w:t>Hypertension</w:t>
            </w:r>
          </w:p>
        </w:tc>
      </w:tr>
    </w:tbl>
    <w:p w14:paraId="345E02DC" w14:textId="77777777" w:rsidR="00A252C6" w:rsidRDefault="00A252C6">
      <w:r>
        <w:rPr>
          <w:b/>
          <w:bCs/>
        </w:rPr>
        <w:br w:type="page"/>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8039DB" w14:paraId="08C3469A" w14:textId="77777777" w:rsidTr="4AF6DD72">
        <w:tc>
          <w:tcPr>
            <w:tcW w:w="3397" w:type="dxa"/>
          </w:tcPr>
          <w:p w14:paraId="0980B18E" w14:textId="3C8AD018" w:rsidR="008039DB" w:rsidRPr="005A6168" w:rsidRDefault="008039DB" w:rsidP="00D131FF">
            <w:pPr>
              <w:pStyle w:val="TableHeaderRow"/>
              <w:rPr>
                <w:rStyle w:val="TableHeaderColumn"/>
              </w:rPr>
            </w:pPr>
            <w:r w:rsidRPr="00D131FF">
              <w:rPr>
                <w:rStyle w:val="TableHeaderColumn"/>
                <w:b/>
                <w:bCs/>
                <w:sz w:val="22"/>
              </w:rPr>
              <w:lastRenderedPageBreak/>
              <w:t>Management of and reporting procedures for adverse reactions</w:t>
            </w:r>
          </w:p>
        </w:tc>
        <w:tc>
          <w:tcPr>
            <w:tcW w:w="5245" w:type="dxa"/>
          </w:tcPr>
          <w:p w14:paraId="536C00C7" w14:textId="113B6EF7" w:rsidR="008039DB" w:rsidRPr="008D2560" w:rsidRDefault="008039DB" w:rsidP="008039DB">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4" w:history="1">
              <w:r w:rsidRPr="00F6120B">
                <w:rPr>
                  <w:rStyle w:val="Hyperlink"/>
                </w:rPr>
                <w:t>MHRA's Yellow Card Scheme</w:t>
              </w:r>
            </w:hyperlink>
            <w:r>
              <w:t xml:space="preserve"> </w:t>
            </w:r>
            <w:r w:rsidRPr="00BE0B91">
              <w:rPr>
                <w:highlight w:val="cyan"/>
              </w:rPr>
              <w:t>[f</w:t>
            </w:r>
            <w:r w:rsidRPr="00504FB7">
              <w:rPr>
                <w:highlight w:val="cyan"/>
              </w:rPr>
              <w:t>ollow organisation policy (include link and any further detail required</w:t>
            </w:r>
            <w:r w:rsidRPr="00BE0B91">
              <w:rPr>
                <w:highlight w:val="cyan"/>
              </w:rPr>
              <w:t>)]</w:t>
            </w:r>
            <w:r w:rsidR="00A20DDD" w:rsidRPr="00BE0B91">
              <w:t>.</w:t>
            </w:r>
          </w:p>
          <w:p w14:paraId="7166A1A4" w14:textId="77777777" w:rsidR="008039DB" w:rsidRPr="008D2560" w:rsidRDefault="008039DB" w:rsidP="008039DB">
            <w:pPr>
              <w:pStyle w:val="Bulletindent1"/>
            </w:pPr>
            <w:r w:rsidRPr="008D2560">
              <w:t xml:space="preserve">Record all adverse drug reactions (ADRs) in the </w:t>
            </w:r>
            <w:r>
              <w:t>individual’s clinical record.</w:t>
            </w:r>
          </w:p>
          <w:p w14:paraId="292843F1" w14:textId="746C4A31" w:rsidR="008039DB" w:rsidRPr="00504FB7" w:rsidRDefault="008039DB" w:rsidP="00170A61">
            <w:pPr>
              <w:pStyle w:val="Bulletindent1"/>
            </w:pPr>
            <w:r w:rsidRPr="00BE0B91">
              <w:rPr>
                <w:highlight w:val="cyan"/>
              </w:rPr>
              <w:t>[R</w:t>
            </w:r>
            <w:r w:rsidRPr="00802041">
              <w:rPr>
                <w:highlight w:val="cyan"/>
              </w:rPr>
              <w:t>eport via organisation incident policy (include link and any further detail required)</w:t>
            </w:r>
            <w:r w:rsidRPr="00BE0B91">
              <w:rPr>
                <w:highlight w:val="cyan"/>
              </w:rPr>
              <w:t>]</w:t>
            </w:r>
            <w:r w:rsidR="00A20DDD">
              <w:t>.</w:t>
            </w:r>
          </w:p>
        </w:tc>
      </w:tr>
      <w:tr w:rsidR="00170A61" w14:paraId="2D254ACF" w14:textId="77777777" w:rsidTr="4AF6DD72">
        <w:tc>
          <w:tcPr>
            <w:tcW w:w="3397" w:type="dxa"/>
          </w:tcPr>
          <w:p w14:paraId="4807EA10" w14:textId="15F96C63" w:rsidR="00170A61" w:rsidRPr="005A6168" w:rsidRDefault="00170A61" w:rsidP="00D131FF">
            <w:pPr>
              <w:pStyle w:val="TableHeaderRow"/>
              <w:rPr>
                <w:rStyle w:val="TableHeaderColumn"/>
              </w:rPr>
            </w:pPr>
            <w:bookmarkStart w:id="11" w:name="Advice"/>
            <w:bookmarkEnd w:id="11"/>
            <w:r w:rsidRPr="00D131FF">
              <w:rPr>
                <w:rStyle w:val="TableHeaderColumn"/>
                <w:b/>
                <w:bCs/>
                <w:sz w:val="22"/>
              </w:rPr>
              <w:t>Written information and further advice to be given to individual or carer</w:t>
            </w:r>
          </w:p>
        </w:tc>
        <w:tc>
          <w:tcPr>
            <w:tcW w:w="5245" w:type="dxa"/>
          </w:tcPr>
          <w:p w14:paraId="7D76D3A4" w14:textId="77777777" w:rsidR="00170A61" w:rsidRPr="00AF42D9" w:rsidRDefault="00170A61" w:rsidP="00482F01">
            <w:pPr>
              <w:pStyle w:val="Bulletindent1"/>
              <w:rPr>
                <w:rFonts w:eastAsia="Arial"/>
              </w:rPr>
            </w:pPr>
            <w:r w:rsidRPr="00AF42D9">
              <w:rPr>
                <w:rFonts w:eastAsia="Arial"/>
              </w:rPr>
              <w:t xml:space="preserve">Provide patient information leaflet (PIL) provided with the original pack. </w:t>
            </w:r>
          </w:p>
          <w:p w14:paraId="52A23409" w14:textId="77777777" w:rsidR="00170A61" w:rsidRPr="00AF42D9" w:rsidRDefault="00170A61" w:rsidP="00482F01">
            <w:pPr>
              <w:pStyle w:val="Bulletindent1"/>
              <w:rPr>
                <w:rFonts w:eastAsia="Arial"/>
              </w:rPr>
            </w:pPr>
            <w:r w:rsidRPr="00AF42D9">
              <w:rPr>
                <w:rFonts w:eastAsia="Arial"/>
              </w:rPr>
              <w:t>Individuals should be informed about the superior effectiveness of LARC.</w:t>
            </w:r>
          </w:p>
          <w:p w14:paraId="33B3280B" w14:textId="77777777" w:rsidR="00170A61" w:rsidRPr="00AF42D9" w:rsidRDefault="00170A61" w:rsidP="00482F01">
            <w:pPr>
              <w:pStyle w:val="Bulletindent1"/>
              <w:rPr>
                <w:rFonts w:eastAsia="Arial"/>
              </w:rPr>
            </w:pPr>
            <w:r w:rsidRPr="00AF42D9">
              <w:rPr>
                <w:rFonts w:eastAsia="Arial"/>
              </w:rPr>
              <w:t>Individuals should be provided with written information or a link to a trusted online resource to support safe, effective COC us</w:t>
            </w:r>
            <w:r>
              <w:rPr>
                <w:rFonts w:eastAsia="Arial"/>
              </w:rPr>
              <w:t xml:space="preserve">e. </w:t>
            </w:r>
          </w:p>
          <w:p w14:paraId="7B14019D" w14:textId="77777777" w:rsidR="00170A61" w:rsidRDefault="00170A61" w:rsidP="00482F01">
            <w:pPr>
              <w:pStyle w:val="Bulletindent1"/>
              <w:rPr>
                <w:rFonts w:eastAsia="Arial"/>
              </w:rPr>
            </w:pPr>
            <w:r w:rsidRPr="00AF42D9">
              <w:rPr>
                <w:rFonts w:eastAsia="Arial"/>
              </w:rPr>
              <w:t>Explain mode of action, side effects, and benefits of the medicine</w:t>
            </w:r>
            <w:r>
              <w:rPr>
                <w:rFonts w:eastAsia="Arial"/>
              </w:rPr>
              <w:t>.</w:t>
            </w:r>
          </w:p>
          <w:p w14:paraId="4618E8F8" w14:textId="54BEF6BC" w:rsidR="00482F01" w:rsidRPr="00482F01" w:rsidRDefault="00482F01" w:rsidP="00482F01">
            <w:pPr>
              <w:pStyle w:val="Bulletindent1"/>
              <w:rPr>
                <w:rFonts w:eastAsia="Arial"/>
              </w:rPr>
            </w:pPr>
            <w:bookmarkStart w:id="12" w:name="_Hlk213254162"/>
            <w:r w:rsidRPr="00482F01">
              <w:rPr>
                <w:rFonts w:eastAsia="Arial"/>
              </w:rPr>
              <w:t xml:space="preserve">Advise on action if vomiting or severe diarrhoea occurs and missed pill advice- see </w:t>
            </w:r>
            <w:hyperlink r:id="rId35" w:history="1">
              <w:r w:rsidRPr="00482F01">
                <w:rPr>
                  <w:rStyle w:val="Hyperlink"/>
                  <w:rFonts w:eastAsia="Arial"/>
                </w:rPr>
                <w:t>FSRH Clinical Guideline: Combined Hormonal Contraception (January 2019, amended October 2023) | CoSRH</w:t>
              </w:r>
            </w:hyperlink>
            <w:bookmarkEnd w:id="12"/>
            <w:r w:rsidRPr="00482F01">
              <w:rPr>
                <w:rFonts w:eastAsia="Arial"/>
              </w:rPr>
              <w:t>.</w:t>
            </w:r>
          </w:p>
          <w:p w14:paraId="498ED926" w14:textId="77777777" w:rsidR="00170A61" w:rsidRDefault="00170A61" w:rsidP="00482F01">
            <w:pPr>
              <w:pStyle w:val="Bulletindent1"/>
              <w:rPr>
                <w:rFonts w:eastAsia="Arial"/>
              </w:rPr>
            </w:pPr>
            <w:r w:rsidRPr="00AF42D9">
              <w:rPr>
                <w:rFonts w:eastAsia="Arial"/>
              </w:rPr>
              <w:t>Advise about the risks of the medication</w:t>
            </w:r>
            <w:r>
              <w:rPr>
                <w:rFonts w:eastAsia="Arial"/>
              </w:rPr>
              <w:t>,</w:t>
            </w:r>
            <w:r w:rsidRPr="00AF42D9">
              <w:rPr>
                <w:rFonts w:eastAsia="Arial"/>
              </w:rPr>
              <w:t xml:space="preserve"> including failure rates and serious side effects and the actions to be taken noting that the risks of using COC could outweigh the benefits.</w:t>
            </w:r>
          </w:p>
          <w:p w14:paraId="2DEB5603" w14:textId="6AB0F7B2" w:rsidR="00482F01" w:rsidRPr="00482F01" w:rsidRDefault="00482F01" w:rsidP="00482F01">
            <w:pPr>
              <w:pStyle w:val="Bulletindent1"/>
              <w:rPr>
                <w:rFonts w:eastAsiaTheme="minorHAnsi"/>
                <w:kern w:val="2"/>
                <w14:ligatures w14:val="standardContextual"/>
              </w:rPr>
            </w:pPr>
            <w:r w:rsidRPr="00482F01">
              <w:t xml:space="preserve">In line with </w:t>
            </w:r>
            <w:hyperlink r:id="rId36" w:history="1">
              <w:r w:rsidRPr="002B2380">
                <w:rPr>
                  <w:rStyle w:val="Hyperlink"/>
                </w:rPr>
                <w:t>CoSRH</w:t>
              </w:r>
              <w:r w:rsidR="002B2380" w:rsidRPr="002B2380">
                <w:rPr>
                  <w:rStyle w:val="Hyperlink"/>
                </w:rPr>
                <w:t xml:space="preserve"> Guideline Quick Starting Contraception</w:t>
              </w:r>
            </w:hyperlink>
            <w:r w:rsidRPr="00482F01">
              <w:t xml:space="preserve"> individuals using hormonal contraception should delay restarting their regular hormonal contraception for 5 days following ulipristal acetate use. Avoidance of pregnancy risk (i.e. use of condoms or abstain from intercourse) should be advised until fully effective.  For COC this is 7 days after re-starting this method, (9 days for Qlaira®).   </w:t>
            </w:r>
          </w:p>
          <w:p w14:paraId="257F2B7B" w14:textId="384D7DB8" w:rsidR="00482F01" w:rsidRPr="00482F01" w:rsidRDefault="00482F01" w:rsidP="00482F01">
            <w:pPr>
              <w:pStyle w:val="Bulletindent1"/>
              <w:rPr>
                <w:rFonts w:eastAsia="Arial"/>
              </w:rPr>
            </w:pPr>
            <w:r w:rsidRPr="00482F01">
              <w:rPr>
                <w:rFonts w:eastAsia="Arial"/>
              </w:rPr>
              <w:t xml:space="preserve">If, in a current user of 30mcg EE/LNG COC, two to seven pills are missed in the first week of pill taking, it may be appropriate to offer UPA-EC and restart COC on a quick starting basis. The individual should be </w:t>
            </w:r>
            <w:r w:rsidRPr="00482F01">
              <w:rPr>
                <w:rFonts w:eastAsia="Arial"/>
              </w:rPr>
              <w:lastRenderedPageBreak/>
              <w:t xml:space="preserve">referred to a prescriber in this specific circumstance and is excluded from supply using PGD for UPA-EC </w:t>
            </w:r>
            <w:hyperlink r:id="rId37" w:history="1">
              <w:r>
                <w:rPr>
                  <w:rStyle w:val="Hyperlink"/>
                  <w:rFonts w:eastAsia="Arial"/>
                </w:rPr>
                <w:t>as detailed in FSRH Response to study: Banh, et al (November 2020) | FSRH</w:t>
              </w:r>
            </w:hyperlink>
          </w:p>
          <w:p w14:paraId="082D5D0D" w14:textId="77777777" w:rsidR="00170A61" w:rsidRPr="00AF42D9" w:rsidRDefault="00170A61" w:rsidP="00482F01">
            <w:pPr>
              <w:pStyle w:val="Bulletindent1"/>
              <w:rPr>
                <w:rFonts w:eastAsia="Arial"/>
              </w:rPr>
            </w:pPr>
            <w:r w:rsidRPr="00AF42D9">
              <w:rPr>
                <w:rFonts w:eastAsia="Arial"/>
                <w:b/>
              </w:rPr>
              <w:t xml:space="preserve">Serious symptoms: </w:t>
            </w:r>
            <w:r w:rsidRPr="00AF42D9">
              <w:rPr>
                <w:rFonts w:eastAsia="Arial"/>
              </w:rPr>
              <w:t>the individual should stop taking the COC and seek medical help urgently if they experience calf swelling, heat or pain in the calf, shortness of breath, chest pain or haemoptysis.  The individual should seek advice if they experience their first ever migraine or develops aura with existing migraine.</w:t>
            </w:r>
          </w:p>
          <w:p w14:paraId="4F5771D2" w14:textId="3E11208F" w:rsidR="00170A61" w:rsidRPr="00AF42D9" w:rsidRDefault="00170A61" w:rsidP="00482F01">
            <w:pPr>
              <w:pStyle w:val="Bulletindent1"/>
              <w:rPr>
                <w:rFonts w:eastAsia="Arial"/>
              </w:rPr>
            </w:pPr>
            <w:r w:rsidRPr="00AF42D9">
              <w:rPr>
                <w:rFonts w:eastAsia="Arial"/>
              </w:rPr>
              <w:t>Individuals should be advised that current use of COC is associated with a small increased risk of breast cancer which reduces with time after stopping COC</w:t>
            </w:r>
            <w:r w:rsidR="00A20DDD">
              <w:rPr>
                <w:rFonts w:eastAsia="Arial"/>
              </w:rPr>
              <w:t>.</w:t>
            </w:r>
          </w:p>
          <w:p w14:paraId="68B664AC" w14:textId="77777777" w:rsidR="00170A61" w:rsidRDefault="00170A61" w:rsidP="00482F01">
            <w:pPr>
              <w:pStyle w:val="Bulletindent1"/>
              <w:rPr>
                <w:rFonts w:eastAsia="Arial"/>
              </w:rPr>
            </w:pPr>
            <w:r w:rsidRPr="00C9363A">
              <w:rPr>
                <w:rFonts w:eastAsia="Arial"/>
              </w:rPr>
              <w:t xml:space="preserve">Individuals should be advised that current use of COC for more than 5 years is associated with a small increased risk of cervical cancer; </w:t>
            </w:r>
            <w:r>
              <w:rPr>
                <w:rFonts w:eastAsia="Arial"/>
              </w:rPr>
              <w:t xml:space="preserve">the </w:t>
            </w:r>
            <w:r w:rsidRPr="00C9363A">
              <w:rPr>
                <w:rFonts w:eastAsia="Arial"/>
              </w:rPr>
              <w:t xml:space="preserve">risk </w:t>
            </w:r>
            <w:r>
              <w:rPr>
                <w:rFonts w:eastAsia="Arial"/>
              </w:rPr>
              <w:t xml:space="preserve">of </w:t>
            </w:r>
            <w:r w:rsidRPr="00C9363A">
              <w:rPr>
                <w:rFonts w:eastAsia="Arial"/>
              </w:rPr>
              <w:t>which reduces over time after stopping COC and is no longer increased by about 10 years after stopping.</w:t>
            </w:r>
          </w:p>
          <w:p w14:paraId="631E53A7" w14:textId="77777777" w:rsidR="00FF424F" w:rsidRPr="008D7D0B" w:rsidRDefault="00FF424F" w:rsidP="00FF424F">
            <w:pPr>
              <w:pStyle w:val="Bulletindent1"/>
              <w:rPr>
                <w:rFonts w:eastAsia="Arial"/>
                <w:color w:val="000000" w:themeColor="text1"/>
              </w:rPr>
            </w:pPr>
            <w:r w:rsidRPr="008D7D0B">
              <w:rPr>
                <w:rFonts w:cs="Arial"/>
                <w:color w:val="000000" w:themeColor="text1"/>
                <w:szCs w:val="22"/>
              </w:rPr>
              <w:t>Individuals should be advised that evidence suggests a link between the use of some progestogen-containing hormonal contraception and a small increased risk of intracranial meningioma requiring surgery  </w:t>
            </w:r>
          </w:p>
          <w:p w14:paraId="3840FD17" w14:textId="77777777" w:rsidR="00170A61" w:rsidRPr="00E715C2" w:rsidRDefault="00170A61" w:rsidP="00482F01">
            <w:pPr>
              <w:pStyle w:val="Bulletindent1"/>
              <w:rPr>
                <w:rFonts w:eastAsia="Arial"/>
              </w:rPr>
            </w:pPr>
            <w:r w:rsidRPr="00C9363A">
              <w:rPr>
                <w:rFonts w:eastAsia="Arial"/>
              </w:rPr>
              <w:t>Individuals should be advised that current use of COC is associated with an increased risk of VTE/ATE.</w:t>
            </w:r>
          </w:p>
          <w:p w14:paraId="303A36B2" w14:textId="77777777" w:rsidR="00170A61" w:rsidRPr="00C9363A" w:rsidRDefault="00170A61" w:rsidP="00482F01">
            <w:pPr>
              <w:pStyle w:val="Bulletindent1"/>
              <w:rPr>
                <w:rFonts w:eastAsia="Arial"/>
              </w:rPr>
            </w:pPr>
            <w:r w:rsidRPr="00C9363A">
              <w:rPr>
                <w:rFonts w:eastAsia="Arial"/>
              </w:rPr>
              <w:t>Individuals using C</w:t>
            </w:r>
            <w:r>
              <w:rPr>
                <w:rFonts w:eastAsia="Arial"/>
              </w:rPr>
              <w:t>O</w:t>
            </w:r>
            <w:r w:rsidRPr="00C9363A">
              <w:rPr>
                <w:rFonts w:eastAsia="Arial"/>
              </w:rPr>
              <w:t>C should be advised about reducing periods of immobility during travel.</w:t>
            </w:r>
          </w:p>
          <w:p w14:paraId="44510E40" w14:textId="77777777" w:rsidR="00170A61" w:rsidRPr="00C9363A" w:rsidRDefault="00170A61" w:rsidP="00482F01">
            <w:pPr>
              <w:pStyle w:val="Bulletindent1"/>
              <w:rPr>
                <w:rFonts w:eastAsia="Arial"/>
              </w:rPr>
            </w:pPr>
            <w:r w:rsidRPr="00C9363A">
              <w:rPr>
                <w:rFonts w:eastAsia="Arial"/>
              </w:rPr>
              <w:t>Individuals trekking to high altitudes (above 4500m or 14500 feet) for periods of more than 1 week may be advised to consider switching to a safer alternative contraceptive method.</w:t>
            </w:r>
          </w:p>
          <w:p w14:paraId="749C80F1" w14:textId="024437AB" w:rsidR="00170A61" w:rsidRPr="00E269B0" w:rsidRDefault="00170A61" w:rsidP="00482F01">
            <w:pPr>
              <w:pStyle w:val="Bulletindent1"/>
              <w:rPr>
                <w:rFonts w:eastAsia="Arial"/>
              </w:rPr>
            </w:pPr>
            <w:r w:rsidRPr="00C9363A">
              <w:rPr>
                <w:rFonts w:eastAsia="Arial"/>
              </w:rPr>
              <w:t>Individuals should be advised to stop C</w:t>
            </w:r>
            <w:r>
              <w:rPr>
                <w:rFonts w:eastAsia="Arial"/>
              </w:rPr>
              <w:t>O</w:t>
            </w:r>
            <w:r w:rsidRPr="00C9363A">
              <w:rPr>
                <w:rFonts w:eastAsia="Arial"/>
              </w:rPr>
              <w:t>C and to switch to an alternative contraceptive method at least 4 weeks prior to planned major surgery or</w:t>
            </w:r>
            <w:r w:rsidR="00A20DDD">
              <w:rPr>
                <w:rFonts w:eastAsia="Arial"/>
              </w:rPr>
              <w:t xml:space="preserve"> </w:t>
            </w:r>
            <w:r w:rsidRPr="00C9363A">
              <w:rPr>
                <w:rFonts w:eastAsia="Arial"/>
              </w:rPr>
              <w:t>expected period</w:t>
            </w:r>
            <w:r>
              <w:rPr>
                <w:rFonts w:eastAsia="Arial"/>
              </w:rPr>
              <w:t>s</w:t>
            </w:r>
            <w:r w:rsidRPr="00C9363A">
              <w:rPr>
                <w:rFonts w:eastAsia="Arial"/>
              </w:rPr>
              <w:t xml:space="preserve"> of limited mobility.</w:t>
            </w:r>
          </w:p>
          <w:p w14:paraId="5F11ADE5" w14:textId="77777777" w:rsidR="00170A61" w:rsidRPr="00B315F8" w:rsidRDefault="00170A61" w:rsidP="00482F01">
            <w:pPr>
              <w:pStyle w:val="Bulletindent1"/>
              <w:rPr>
                <w:rFonts w:eastAsia="Arial"/>
              </w:rPr>
            </w:pPr>
            <w:r w:rsidRPr="00AF42D9">
              <w:rPr>
                <w:rFonts w:eastAsia="Arial"/>
              </w:rPr>
              <w:t xml:space="preserve">Advise that non enzyme inducing antibiotics do not interact with COC and if </w:t>
            </w:r>
            <w:r w:rsidRPr="00B315F8">
              <w:rPr>
                <w:rFonts w:eastAsia="Arial"/>
              </w:rPr>
              <w:t xml:space="preserve">these are prescribed COC should be continued as </w:t>
            </w:r>
            <w:r w:rsidRPr="00B315F8">
              <w:rPr>
                <w:rFonts w:eastAsia="Arial"/>
              </w:rPr>
              <w:lastRenderedPageBreak/>
              <w:t xml:space="preserve">normal with no additional precautions required.  </w:t>
            </w:r>
          </w:p>
          <w:p w14:paraId="4449266C" w14:textId="21D8F735" w:rsidR="00170A61" w:rsidRPr="00B315F8" w:rsidRDefault="00170A61" w:rsidP="00482F01">
            <w:pPr>
              <w:pStyle w:val="Bulletindent1"/>
              <w:rPr>
                <w:rFonts w:eastAsia="Arial"/>
              </w:rPr>
            </w:pPr>
            <w:r w:rsidRPr="00B315F8">
              <w:rPr>
                <w:rFonts w:eastAsia="Arial"/>
              </w:rPr>
              <w:t xml:space="preserve">Provide </w:t>
            </w:r>
            <w:r>
              <w:rPr>
                <w:rFonts w:eastAsia="Arial"/>
              </w:rPr>
              <w:t>Co</w:t>
            </w:r>
            <w:r w:rsidRPr="00B315F8">
              <w:rPr>
                <w:rFonts w:eastAsia="Arial"/>
              </w:rPr>
              <w:t xml:space="preserve">SRH PIL on GLP-1 agonists and contraception as appropriate </w:t>
            </w:r>
            <w:hyperlink w:anchor="Cautions" w:history="1">
              <w:r w:rsidRPr="00482F01">
                <w:rPr>
                  <w:rStyle w:val="Hyperlink"/>
                  <w:rFonts w:eastAsia="Arial"/>
                </w:rPr>
                <w:t>(see cautions</w:t>
              </w:r>
              <w:r w:rsidR="00482F01" w:rsidRPr="00482F01">
                <w:rPr>
                  <w:rStyle w:val="Hyperlink"/>
                  <w:rFonts w:eastAsia="Arial"/>
                </w:rPr>
                <w:t xml:space="preserve"> section</w:t>
              </w:r>
              <w:r w:rsidRPr="00482F01">
                <w:rPr>
                  <w:rStyle w:val="Hyperlink"/>
                  <w:rFonts w:eastAsia="Arial"/>
                </w:rPr>
                <w:t>).</w:t>
              </w:r>
            </w:hyperlink>
          </w:p>
          <w:p w14:paraId="4553DD38" w14:textId="77777777" w:rsidR="00170A61" w:rsidRPr="00AF42D9" w:rsidRDefault="00170A61" w:rsidP="00482F01">
            <w:pPr>
              <w:pStyle w:val="Bulletindent1"/>
              <w:rPr>
                <w:rFonts w:eastAsia="Arial"/>
              </w:rPr>
            </w:pPr>
            <w:r w:rsidRPr="00B315F8">
              <w:rPr>
                <w:rFonts w:eastAsia="Arial"/>
              </w:rPr>
              <w:t xml:space="preserve">Offer condoms and advice on </w:t>
            </w:r>
            <w:r w:rsidRPr="00AF42D9">
              <w:rPr>
                <w:rFonts w:eastAsia="Arial"/>
              </w:rPr>
              <w:t xml:space="preserve">safer sex practices and possible need for screening for sexually transmitted infections (STIs) </w:t>
            </w:r>
          </w:p>
          <w:p w14:paraId="3D5A7AF8" w14:textId="77777777" w:rsidR="00170A61" w:rsidRDefault="00170A61" w:rsidP="00482F01">
            <w:pPr>
              <w:pStyle w:val="Bulletindent1"/>
              <w:rPr>
                <w:rFonts w:eastAsia="Arial"/>
              </w:rPr>
            </w:pPr>
            <w:r w:rsidRPr="00AF42D9">
              <w:rPr>
                <w:rFonts w:eastAsia="Arial"/>
              </w:rPr>
              <w:t>Ensure the individual has contact details of local service</w:t>
            </w:r>
            <w:r>
              <w:rPr>
                <w:rFonts w:eastAsia="Arial"/>
              </w:rPr>
              <w:t>s</w:t>
            </w:r>
            <w:r w:rsidRPr="00AF42D9">
              <w:rPr>
                <w:rFonts w:eastAsia="Arial"/>
              </w:rPr>
              <w:t>/sexual health services.</w:t>
            </w:r>
          </w:p>
          <w:p w14:paraId="72AB3536" w14:textId="532C5CD3" w:rsidR="00170A61" w:rsidRDefault="00170A61" w:rsidP="00482F01">
            <w:pPr>
              <w:pStyle w:val="Bulletindent1"/>
            </w:pPr>
            <w:r w:rsidRPr="00885080">
              <w:rPr>
                <w:rFonts w:eastAsia="Arial"/>
              </w:rPr>
              <w:t>Advise individual to seek advice from a pharmacist, doctor or other prescriber before starting any new medications including those purchased.</w:t>
            </w:r>
          </w:p>
        </w:tc>
      </w:tr>
      <w:tr w:rsidR="00170A61" w14:paraId="09A371CA" w14:textId="77777777" w:rsidTr="4AF6DD72">
        <w:tc>
          <w:tcPr>
            <w:tcW w:w="3397" w:type="dxa"/>
          </w:tcPr>
          <w:p w14:paraId="0AB3BA26" w14:textId="37AA2466" w:rsidR="00170A61" w:rsidRPr="005A6168" w:rsidRDefault="00170A61" w:rsidP="00D131FF">
            <w:pPr>
              <w:pStyle w:val="TableHeaderRow"/>
              <w:rPr>
                <w:rStyle w:val="TableHeaderColumn"/>
              </w:rPr>
            </w:pPr>
            <w:r w:rsidRPr="00D131FF">
              <w:rPr>
                <w:rStyle w:val="TableHeaderColumn"/>
                <w:b/>
                <w:bCs/>
                <w:sz w:val="22"/>
              </w:rPr>
              <w:lastRenderedPageBreak/>
              <w:t>Advice / Follow-up treatment</w:t>
            </w:r>
          </w:p>
        </w:tc>
        <w:tc>
          <w:tcPr>
            <w:tcW w:w="5245" w:type="dxa"/>
          </w:tcPr>
          <w:p w14:paraId="0A48E051" w14:textId="77777777" w:rsidR="00170A61" w:rsidRPr="00C9363A" w:rsidRDefault="00170A61" w:rsidP="00170A61">
            <w:pPr>
              <w:pStyle w:val="Bulletindent1"/>
              <w:rPr>
                <w:rFonts w:eastAsia="Arial"/>
              </w:rPr>
            </w:pPr>
            <w:r w:rsidRPr="00AF42D9">
              <w:rPr>
                <w:rFonts w:eastAsia="Arial"/>
              </w:rPr>
              <w:t xml:space="preserve">The individual should be advised to seek medical advice in the event of an </w:t>
            </w:r>
            <w:r w:rsidRPr="00C9363A">
              <w:rPr>
                <w:rFonts w:eastAsia="Arial"/>
              </w:rPr>
              <w:t>adverse reaction.</w:t>
            </w:r>
          </w:p>
          <w:p w14:paraId="28D23C4C"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should be encouraged to tell all clinicians that they are taking the supplied medication in the event of other medication/s being prescribed.  </w:t>
            </w:r>
          </w:p>
          <w:p w14:paraId="24600448"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w:t>
            </w:r>
            <w:r>
              <w:rPr>
                <w:rFonts w:eastAsia="Arial"/>
              </w:rPr>
              <w:t>should</w:t>
            </w:r>
            <w:r w:rsidRPr="00C9363A">
              <w:rPr>
                <w:rFonts w:eastAsia="Arial"/>
              </w:rPr>
              <w:t xml:space="preserve"> seek further advice if they have any concerns</w:t>
            </w:r>
            <w:r>
              <w:rPr>
                <w:rFonts w:eastAsia="Arial"/>
              </w:rPr>
              <w:t>.</w:t>
            </w:r>
          </w:p>
          <w:p w14:paraId="2BF8FA34" w14:textId="1290FB60" w:rsidR="00170A61" w:rsidRPr="00D54EC6" w:rsidRDefault="00170A61" w:rsidP="00170A61">
            <w:pPr>
              <w:pStyle w:val="Bulletindent1"/>
            </w:pPr>
            <w:r w:rsidRPr="00C9363A">
              <w:rPr>
                <w:rFonts w:eastAsia="Arial"/>
              </w:rPr>
              <w:t>Review annually.</w:t>
            </w:r>
          </w:p>
        </w:tc>
      </w:tr>
      <w:tr w:rsidR="00170A61" w14:paraId="589EF44D" w14:textId="77777777" w:rsidTr="4AF6DD72">
        <w:tc>
          <w:tcPr>
            <w:tcW w:w="3397" w:type="dxa"/>
          </w:tcPr>
          <w:p w14:paraId="0194F7E0" w14:textId="7E52FBD6" w:rsidR="00170A61" w:rsidRPr="005A6168" w:rsidRDefault="00170A61" w:rsidP="00D131FF">
            <w:pPr>
              <w:pStyle w:val="TableHeaderRow"/>
              <w:rPr>
                <w:rStyle w:val="TableHeaderColumn"/>
              </w:rPr>
            </w:pPr>
            <w:r w:rsidRPr="00D131FF">
              <w:rPr>
                <w:rStyle w:val="TableHeaderColumn"/>
                <w:b/>
                <w:bCs/>
                <w:sz w:val="22"/>
              </w:rPr>
              <w:t>Records to be kept</w:t>
            </w:r>
          </w:p>
        </w:tc>
        <w:tc>
          <w:tcPr>
            <w:tcW w:w="5245" w:type="dxa"/>
          </w:tcPr>
          <w:p w14:paraId="063A2DEB" w14:textId="77777777" w:rsidR="00170A61" w:rsidRPr="00A05022" w:rsidRDefault="00170A61" w:rsidP="00170A61">
            <w:pPr>
              <w:pStyle w:val="Bulletindent1"/>
            </w:pPr>
            <w:r w:rsidRPr="00A05022">
              <w:t>The consent of the individual and</w:t>
            </w:r>
          </w:p>
          <w:p w14:paraId="5FD64ED8" w14:textId="77777777" w:rsidR="00170A61" w:rsidRDefault="00170A61" w:rsidP="00170A61">
            <w:pPr>
              <w:pStyle w:val="Bulletindent1"/>
              <w:numPr>
                <w:ilvl w:val="1"/>
                <w:numId w:val="16"/>
              </w:numPr>
              <w:rPr>
                <w:rFonts w:eastAsiaTheme="minorHAnsi"/>
                <w:kern w:val="2"/>
                <w14:ligatures w14:val="standardContextual"/>
              </w:rPr>
            </w:pPr>
            <w:r>
              <w:t>If individual is under 13 years of age record action taken</w:t>
            </w:r>
          </w:p>
          <w:p w14:paraId="2D05AA93" w14:textId="77777777" w:rsidR="00482F01" w:rsidRDefault="00170A61" w:rsidP="00170A61">
            <w:pPr>
              <w:pStyle w:val="Bulletindent1"/>
              <w:numPr>
                <w:ilvl w:val="1"/>
                <w:numId w:val="16"/>
              </w:numPr>
            </w:pPr>
            <w:r w:rsidRPr="00A05022">
              <w:t xml:space="preserve">If individual is under 16 years of age document capacity using Fraser guidelines. </w:t>
            </w:r>
          </w:p>
          <w:p w14:paraId="54094C36" w14:textId="4C75DE96" w:rsidR="00482F01" w:rsidRPr="00482F01" w:rsidRDefault="00482F01" w:rsidP="00482F01">
            <w:pPr>
              <w:pStyle w:val="Bulletindent1"/>
              <w:numPr>
                <w:ilvl w:val="1"/>
                <w:numId w:val="16"/>
              </w:numPr>
            </w:pPr>
            <w:r w:rsidRPr="00482F01">
              <w:t>If individual is under 16 years and not competent, record action taken</w:t>
            </w:r>
          </w:p>
          <w:p w14:paraId="05178C66" w14:textId="77777777" w:rsidR="00170A61" w:rsidRPr="00A05022" w:rsidRDefault="00170A61" w:rsidP="00170A61">
            <w:pPr>
              <w:pStyle w:val="Bulletindent1"/>
              <w:numPr>
                <w:ilvl w:val="1"/>
                <w:numId w:val="16"/>
              </w:numPr>
            </w:pPr>
            <w:r w:rsidRPr="00A05022">
              <w:t>If individual over 16 years of age and not competent, record action taken</w:t>
            </w:r>
          </w:p>
          <w:p w14:paraId="7058F863" w14:textId="77777777" w:rsidR="00170A61" w:rsidRPr="00BF373C" w:rsidRDefault="00170A61" w:rsidP="00170A61">
            <w:pPr>
              <w:pStyle w:val="Bulletindent1"/>
            </w:pPr>
            <w:r w:rsidRPr="00BF373C">
              <w:t>If individual not treated under PGD record action taken</w:t>
            </w:r>
          </w:p>
          <w:p w14:paraId="25729A1E" w14:textId="2F639579" w:rsidR="00170A61" w:rsidRDefault="00170A61" w:rsidP="00170A61">
            <w:pPr>
              <w:pStyle w:val="Bulletindent1"/>
              <w:rPr>
                <w:rFonts w:eastAsia="Calibri"/>
                <w:kern w:val="2"/>
                <w14:ligatures w14:val="standardContextual"/>
              </w:rPr>
            </w:pPr>
            <w:r>
              <w:rPr>
                <w:rFonts w:eastAsia="Calibri"/>
              </w:rPr>
              <w:t xml:space="preserve">Name of individual, address, date of birth </w:t>
            </w:r>
          </w:p>
          <w:p w14:paraId="388F2DF7" w14:textId="77777777" w:rsidR="00170A61" w:rsidRDefault="00170A61" w:rsidP="00170A61">
            <w:pPr>
              <w:pStyle w:val="Bulletindent1"/>
              <w:rPr>
                <w:rFonts w:eastAsia="Calibri"/>
                <w:strike/>
              </w:rPr>
            </w:pPr>
            <w:r>
              <w:rPr>
                <w:rFonts w:eastAsia="Calibri"/>
              </w:rPr>
              <w:t>GP contact details where appropriate</w:t>
            </w:r>
          </w:p>
          <w:p w14:paraId="6222B55F" w14:textId="77777777" w:rsidR="00482F01" w:rsidRDefault="00170A61" w:rsidP="00170A61">
            <w:pPr>
              <w:pStyle w:val="Bulletindent1"/>
            </w:pPr>
            <w:r w:rsidRPr="00BF373C">
              <w:t>Relevant past and present medical and sexual history</w:t>
            </w:r>
          </w:p>
          <w:p w14:paraId="5508A2FF" w14:textId="0F0088F9" w:rsidR="00482F01" w:rsidRPr="00482F01" w:rsidRDefault="00482F01" w:rsidP="00482F01">
            <w:pPr>
              <w:pStyle w:val="Bulletindent1"/>
            </w:pPr>
            <w:r w:rsidRPr="00482F01">
              <w:lastRenderedPageBreak/>
              <w:t>Relevant medication history</w:t>
            </w:r>
            <w:r>
              <w:t xml:space="preserve"> </w:t>
            </w:r>
            <w:r w:rsidRPr="00482F01">
              <w:t>(to include over the counter, herbal medications, supplements and recreational drug use)</w:t>
            </w:r>
          </w:p>
          <w:p w14:paraId="7364D8F8" w14:textId="77777777" w:rsidR="00170A61" w:rsidRPr="00BF373C" w:rsidRDefault="00170A61" w:rsidP="00170A61">
            <w:pPr>
              <w:pStyle w:val="Bulletindent1"/>
            </w:pPr>
            <w:r w:rsidRPr="00BF373C">
              <w:t xml:space="preserve">Examination or microbiology finding/s where relevant.  </w:t>
            </w:r>
          </w:p>
          <w:p w14:paraId="324E5C7E" w14:textId="77777777" w:rsidR="00170A61" w:rsidRPr="00170A61" w:rsidRDefault="00170A61" w:rsidP="00170A61">
            <w:pPr>
              <w:pStyle w:val="Bulletindent1"/>
              <w:rPr>
                <w:rFonts w:eastAsia="Calibri"/>
              </w:rPr>
            </w:pPr>
            <w:r w:rsidRPr="00170A61">
              <w:rPr>
                <w:rFonts w:eastAsia="Calibri"/>
              </w:rPr>
              <w:t xml:space="preserve">Any known allergies and nature of reaction </w:t>
            </w:r>
          </w:p>
          <w:p w14:paraId="66AC0B6D" w14:textId="77777777" w:rsidR="00170A61" w:rsidRDefault="00170A61" w:rsidP="00170A61">
            <w:pPr>
              <w:pStyle w:val="Bulletindent1"/>
              <w:rPr>
                <w:rFonts w:eastAsia="Calibri"/>
              </w:rPr>
            </w:pPr>
            <w:r>
              <w:rPr>
                <w:rFonts w:eastAsia="Calibri"/>
              </w:rPr>
              <w:t>Name of registered health professional operating under the PGD</w:t>
            </w:r>
          </w:p>
          <w:p w14:paraId="713F504D" w14:textId="77777777" w:rsidR="00170A61" w:rsidRDefault="00170A61" w:rsidP="00170A61">
            <w:pPr>
              <w:pStyle w:val="Bulletindent1"/>
              <w:rPr>
                <w:rFonts w:eastAsia="Calibri"/>
              </w:rPr>
            </w:pPr>
            <w:r>
              <w:rPr>
                <w:rFonts w:eastAsia="Calibri"/>
              </w:rPr>
              <w:t xml:space="preserve">Name of medication supplied </w:t>
            </w:r>
          </w:p>
          <w:p w14:paraId="24F895E8" w14:textId="77777777" w:rsidR="00170A61" w:rsidRDefault="00170A61" w:rsidP="00170A61">
            <w:pPr>
              <w:pStyle w:val="Bulletindent1"/>
              <w:rPr>
                <w:rFonts w:eastAsia="Calibri"/>
              </w:rPr>
            </w:pPr>
            <w:r>
              <w:rPr>
                <w:rFonts w:eastAsia="Calibri"/>
              </w:rPr>
              <w:t>Date of supply</w:t>
            </w:r>
          </w:p>
          <w:p w14:paraId="6F9BA98A" w14:textId="77777777" w:rsidR="00170A61" w:rsidRPr="00224BA3" w:rsidRDefault="00170A61" w:rsidP="00170A61">
            <w:pPr>
              <w:pStyle w:val="Bulletindent1"/>
              <w:rPr>
                <w:rFonts w:eastAsia="Calibri"/>
                <w:strike/>
              </w:rPr>
            </w:pPr>
            <w:r>
              <w:rPr>
                <w:rFonts w:eastAsia="Calibri"/>
              </w:rPr>
              <w:t>Dose supplied</w:t>
            </w:r>
          </w:p>
          <w:p w14:paraId="41C3FF2E" w14:textId="63DA1216" w:rsidR="00170A61" w:rsidRPr="00F14FB8" w:rsidRDefault="00170A61" w:rsidP="00170A61">
            <w:pPr>
              <w:pStyle w:val="Bulletindent1"/>
              <w:rPr>
                <w:rFonts w:eastAsia="Calibri"/>
              </w:rPr>
            </w:pPr>
            <w:r w:rsidRPr="00662ECD">
              <w:rPr>
                <w:rFonts w:eastAsia="Calibri"/>
              </w:rPr>
              <w:t xml:space="preserve">Quantity supplied </w:t>
            </w:r>
            <w:r w:rsidR="00662ECD">
              <w:rPr>
                <w:rFonts w:eastAsia="Calibri"/>
                <w:highlight w:val="cyan"/>
              </w:rPr>
              <w:t>[</w:t>
            </w:r>
            <w:r w:rsidRPr="00F14FB8">
              <w:rPr>
                <w:rFonts w:eastAsia="Calibri"/>
                <w:highlight w:val="cyan"/>
              </w:rPr>
              <w:t>including batch number and expiry date in line with local procedure</w:t>
            </w:r>
            <w:r w:rsidR="00F14FB8">
              <w:rPr>
                <w:rFonts w:eastAsia="Calibri"/>
                <w:highlight w:val="cyan"/>
              </w:rPr>
              <w:t>s</w:t>
            </w:r>
            <w:r w:rsidR="00662ECD">
              <w:rPr>
                <w:rFonts w:eastAsia="Calibri"/>
                <w:highlight w:val="cyan"/>
              </w:rPr>
              <w:t>]</w:t>
            </w:r>
            <w:r w:rsidRPr="00F14FB8">
              <w:rPr>
                <w:rFonts w:eastAsia="Calibri"/>
              </w:rPr>
              <w:t xml:space="preserve">. </w:t>
            </w:r>
          </w:p>
          <w:p w14:paraId="176FD08B" w14:textId="77777777" w:rsidR="00170A61" w:rsidRPr="00170A61" w:rsidRDefault="00170A61" w:rsidP="00170A61">
            <w:pPr>
              <w:pStyle w:val="Bulletindent1"/>
              <w:rPr>
                <w:rFonts w:eastAsia="Calibri"/>
              </w:rPr>
            </w:pPr>
            <w:r w:rsidRPr="00170A61">
              <w:rPr>
                <w:rFonts w:eastAsia="Calibri"/>
              </w:rPr>
              <w:t>Advice given, including advice given if excluded or declines treatment</w:t>
            </w:r>
          </w:p>
          <w:p w14:paraId="37A03100" w14:textId="77777777" w:rsidR="00170A61" w:rsidRDefault="00170A61" w:rsidP="00170A61">
            <w:pPr>
              <w:pStyle w:val="Bulletindent1"/>
              <w:rPr>
                <w:rFonts w:eastAsia="Calibri"/>
              </w:rPr>
            </w:pPr>
            <w:r w:rsidRPr="00170A61">
              <w:rPr>
                <w:rFonts w:eastAsia="Calibri"/>
              </w:rPr>
              <w:t>Details of any adverse drug reactions and actions taken</w:t>
            </w:r>
          </w:p>
          <w:p w14:paraId="3515DBB2" w14:textId="77777777" w:rsidR="00482F01" w:rsidRDefault="00482F01" w:rsidP="00482F01">
            <w:pPr>
              <w:pStyle w:val="Bulletindent1"/>
              <w:rPr>
                <w:rFonts w:eastAsiaTheme="minorHAnsi"/>
                <w:kern w:val="2"/>
                <w14:ligatures w14:val="standardContextual"/>
              </w:rPr>
            </w:pPr>
            <w:r>
              <w:t xml:space="preserve">Advice given about the medication including dosing regimen, side effects, benefits, and when and what to do if any concerns  </w:t>
            </w:r>
          </w:p>
          <w:p w14:paraId="178491F0" w14:textId="77777777" w:rsidR="00170A61" w:rsidRPr="00170A61" w:rsidRDefault="00170A61" w:rsidP="00170A61">
            <w:pPr>
              <w:pStyle w:val="Bulletindent1"/>
              <w:rPr>
                <w:rFonts w:eastAsia="Calibri"/>
              </w:rPr>
            </w:pPr>
            <w:r w:rsidRPr="00170A61">
              <w:rPr>
                <w:rFonts w:eastAsia="Calibri"/>
              </w:rPr>
              <w:t>Any referral arrangements made</w:t>
            </w:r>
          </w:p>
          <w:p w14:paraId="53DF5BDC" w14:textId="77777777" w:rsidR="00170A61" w:rsidRPr="00170A61" w:rsidRDefault="00170A61" w:rsidP="00170A61">
            <w:pPr>
              <w:pStyle w:val="Bulletindent1"/>
              <w:rPr>
                <w:rFonts w:eastAsia="Calibri"/>
              </w:rPr>
            </w:pPr>
            <w:r w:rsidRPr="00170A61">
              <w:rPr>
                <w:rFonts w:eastAsia="Calibri"/>
              </w:rPr>
              <w:t>Any supply outside the terms of the product marketing authorisation</w:t>
            </w:r>
          </w:p>
          <w:p w14:paraId="3AD3DF30" w14:textId="77777777" w:rsidR="00170A61" w:rsidRPr="00170A61" w:rsidRDefault="00170A61" w:rsidP="00170A61">
            <w:pPr>
              <w:pStyle w:val="Bulletindent1"/>
              <w:rPr>
                <w:rFonts w:eastAsia="Calibri"/>
              </w:rPr>
            </w:pPr>
            <w:r w:rsidRPr="00170A61">
              <w:rPr>
                <w:rFonts w:eastAsia="Calibri"/>
              </w:rPr>
              <w:t>Recorded that supplied via Patient Group Direction (PGD)</w:t>
            </w:r>
          </w:p>
          <w:p w14:paraId="54D17A0F" w14:textId="1B651A06" w:rsidR="00170A61" w:rsidRPr="00A05022" w:rsidRDefault="00170A61" w:rsidP="00170A61">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03447662" w14:textId="77777777" w:rsidR="00170A61" w:rsidRPr="00A05022" w:rsidRDefault="00170A61" w:rsidP="00170A61">
            <w:pPr>
              <w:pStyle w:val="Tabletext"/>
              <w:rPr>
                <w:lang w:val="en-GB"/>
              </w:rPr>
            </w:pPr>
          </w:p>
          <w:p w14:paraId="747E3469" w14:textId="77777777" w:rsidR="00170A61" w:rsidRPr="00A05022" w:rsidRDefault="00170A61" w:rsidP="00170A61">
            <w:pPr>
              <w:pStyle w:val="Tabletext"/>
              <w:rPr>
                <w:lang w:val="en-GB"/>
              </w:rPr>
            </w:pPr>
            <w:r w:rsidRPr="00A05022">
              <w:rPr>
                <w:lang w:val="en-GB"/>
              </w:rPr>
              <w:t>All records should be clear, legible and contemporaneous.</w:t>
            </w:r>
          </w:p>
          <w:p w14:paraId="28ADA3CC" w14:textId="77777777" w:rsidR="00170A61" w:rsidRPr="00A05022" w:rsidRDefault="00170A61" w:rsidP="00170A61">
            <w:pPr>
              <w:pStyle w:val="Tabletext"/>
              <w:rPr>
                <w:lang w:val="en-GB"/>
              </w:rPr>
            </w:pPr>
          </w:p>
          <w:p w14:paraId="4AF5F403" w14:textId="4B51D55D" w:rsidR="00170A61" w:rsidRDefault="00170A61" w:rsidP="00170A61">
            <w:pPr>
              <w:pStyle w:val="Tabletext"/>
            </w:pPr>
            <w:r w:rsidRPr="00A05022">
              <w:t>A record of all individuals receiving treatment under this PGD should also be kept for audit purposes in accordance with local policy.</w:t>
            </w:r>
          </w:p>
        </w:tc>
      </w:tr>
    </w:tbl>
    <w:p w14:paraId="53B0192F" w14:textId="77777777" w:rsidR="00BB2599" w:rsidRDefault="00BB2599" w:rsidP="005A6168">
      <w:pPr>
        <w:pStyle w:val="PGDNormal"/>
      </w:pPr>
    </w:p>
    <w:p w14:paraId="69A1BBEF" w14:textId="2AEA60F6" w:rsidR="007D0B8B" w:rsidRDefault="007D0B8B">
      <w:pPr>
        <w:spacing w:after="0" w:line="240" w:lineRule="auto"/>
        <w:rPr>
          <w:rFonts w:ascii="Arial" w:eastAsia="Times New Roman" w:hAnsi="Arial" w:cs="Times New Roman"/>
          <w:kern w:val="0"/>
          <w:sz w:val="22"/>
          <w:szCs w:val="20"/>
          <w:lang w:val="en-US"/>
          <w14:ligatures w14:val="none"/>
        </w:rPr>
      </w:pPr>
      <w:r>
        <w:br w:type="page"/>
      </w:r>
    </w:p>
    <w:p w14:paraId="7C968D9D" w14:textId="77777777" w:rsidR="007D0B8B" w:rsidRPr="00BB2599" w:rsidRDefault="007D0B8B" w:rsidP="005A6168">
      <w:pPr>
        <w:pStyle w:val="PGDNormal"/>
      </w:pPr>
    </w:p>
    <w:bookmarkEnd w:id="3"/>
    <w:p w14:paraId="0E6FB204" w14:textId="73E7ADF9" w:rsidR="00170A61" w:rsidRDefault="00725927" w:rsidP="00170A61">
      <w:pPr>
        <w:pStyle w:val="Heading1"/>
      </w:pPr>
      <w:r>
        <w:t xml:space="preserve">Key references </w:t>
      </w:r>
      <w:r w:rsidR="00170A61">
        <w:t xml:space="preserve">(accessed </w:t>
      </w:r>
      <w:r w:rsidR="00482F01">
        <w:t xml:space="preserve">August </w:t>
      </w:r>
      <w:r w:rsidR="00170A61">
        <w:t>2025</w:t>
      </w:r>
      <w:r w:rsidR="01361930">
        <w:t>,</w:t>
      </w:r>
      <w:r w:rsidR="01361930" w:rsidRPr="6D8B1CA6">
        <w:rPr>
          <w:color w:val="FF0000"/>
        </w:rPr>
        <w:t xml:space="preserve"> </w:t>
      </w:r>
      <w:r w:rsidR="01361930" w:rsidRPr="00232366">
        <w:t>December 2025</w:t>
      </w:r>
      <w:r w:rsidR="007D0B8B">
        <w:t xml:space="preserve"> and </w:t>
      </w:r>
      <w:r w:rsidR="007D0B8B" w:rsidRPr="008D7D0B">
        <w:rPr>
          <w:color w:val="000000" w:themeColor="text1"/>
        </w:rPr>
        <w:t>July 2026</w:t>
      </w:r>
      <w:r w:rsidR="00170A61" w:rsidRPr="00232366">
        <w:t>)</w:t>
      </w:r>
    </w:p>
    <w:p w14:paraId="50E4146D" w14:textId="50B4416A" w:rsidR="00CE7FFC" w:rsidRPr="00C640C0" w:rsidRDefault="00C640C0" w:rsidP="00170A61">
      <w:pPr>
        <w:pStyle w:val="Bulletindent1"/>
        <w:rPr>
          <w:rStyle w:val="Hyperlink"/>
        </w:rPr>
      </w:pPr>
      <w:hyperlink r:id="rId38" w:history="1">
        <w:r w:rsidRPr="00C640C0">
          <w:rPr>
            <w:rStyle w:val="Hyperlink"/>
          </w:rPr>
          <w:t xml:space="preserve">Electronic Medicines Compendium </w:t>
        </w:r>
      </w:hyperlink>
    </w:p>
    <w:p w14:paraId="78F36D10" w14:textId="54C262CE" w:rsidR="00CE7FFC" w:rsidRPr="00C640C0" w:rsidRDefault="00CE7FFC" w:rsidP="00877396">
      <w:pPr>
        <w:pStyle w:val="Bulletindent1"/>
        <w:rPr>
          <w:rStyle w:val="Hyperlink"/>
        </w:rPr>
      </w:pPr>
      <w:hyperlink r:id="rId39" w:history="1">
        <w:r w:rsidRPr="00C640C0">
          <w:rPr>
            <w:rStyle w:val="Hyperlink"/>
          </w:rPr>
          <w:t>Current edition of British National Formulary</w:t>
        </w:r>
      </w:hyperlink>
    </w:p>
    <w:p w14:paraId="0360EE5F" w14:textId="1E215AA2" w:rsidR="00A05022" w:rsidRPr="00C640C0" w:rsidRDefault="00A05022" w:rsidP="00A05022">
      <w:pPr>
        <w:pStyle w:val="Bulletindent1"/>
        <w:rPr>
          <w:rStyle w:val="Hyperlink"/>
        </w:rPr>
      </w:pPr>
      <w:hyperlink r:id="rId40" w:history="1">
        <w:r w:rsidRPr="00C640C0">
          <w:rPr>
            <w:rStyle w:val="Hyperlink"/>
          </w:rPr>
          <w:t>NICE Medicines practice guideline MPG2 - Patient Group Directions - Last Updated 27 March 2017</w:t>
        </w:r>
      </w:hyperlink>
    </w:p>
    <w:p w14:paraId="681CC3A9" w14:textId="49296C83" w:rsidR="00C640C0" w:rsidRPr="00C640C0" w:rsidRDefault="00C640C0" w:rsidP="00C640C0">
      <w:pPr>
        <w:pStyle w:val="Bulletindent1"/>
        <w:rPr>
          <w:rStyle w:val="Hyperlink"/>
        </w:rPr>
      </w:pPr>
      <w:hyperlink r:id="rId41" w:history="1">
        <w:r w:rsidRPr="00C640C0">
          <w:rPr>
            <w:rStyle w:val="Hyperlink"/>
          </w:rPr>
          <w:t>College of Sexual and Reproductive Healthcare (2019, amended 2020) Combined Hormonal Contraception</w:t>
        </w:r>
      </w:hyperlink>
      <w:r w:rsidRPr="00C640C0">
        <w:rPr>
          <w:rStyle w:val="Hyperlink"/>
        </w:rPr>
        <w:t xml:space="preserve"> </w:t>
      </w:r>
    </w:p>
    <w:p w14:paraId="487F0912" w14:textId="22E9F3CC" w:rsidR="00C640C0" w:rsidRPr="00C640C0" w:rsidRDefault="00C640C0" w:rsidP="00C640C0">
      <w:pPr>
        <w:pStyle w:val="Bulletindent1"/>
        <w:rPr>
          <w:rStyle w:val="Hyperlink"/>
        </w:rPr>
      </w:pPr>
      <w:hyperlink r:id="rId42" w:history="1">
        <w:r w:rsidRPr="00C640C0">
          <w:rPr>
            <w:rStyle w:val="Hyperlink"/>
            <w:lang w:val="en-US"/>
          </w:rPr>
          <w:t>College of Sexual and Reproductive Health</w:t>
        </w:r>
        <w:r w:rsidR="00FE65E0">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14:paraId="093A1FF6" w14:textId="10CACDEE" w:rsidR="00C640C0" w:rsidRPr="00C640C0" w:rsidRDefault="006079D4" w:rsidP="6D8B1CA6">
      <w:pPr>
        <w:pStyle w:val="Bulletindent1"/>
      </w:pPr>
      <w:hyperlink r:id="rId43">
        <w:r w:rsidRPr="6D8B1CA6">
          <w:rPr>
            <w:rStyle w:val="Hyperlink"/>
          </w:rPr>
          <w:t>College of Sexual and Reproductive Healthcare (</w:t>
        </w:r>
        <w:r w:rsidRPr="00232366">
          <w:rPr>
            <w:rStyle w:val="Hyperlink"/>
          </w:rPr>
          <w:t>20</w:t>
        </w:r>
        <w:r w:rsidR="109F867C" w:rsidRPr="00232366">
          <w:rPr>
            <w:rStyle w:val="Hyperlink"/>
          </w:rPr>
          <w:t>25</w:t>
        </w:r>
        <w:r w:rsidRPr="6D8B1CA6">
          <w:rPr>
            <w:rStyle w:val="Hyperlink"/>
          </w:rPr>
          <w:t>) UK Medical Eligibility Criteria for Contraceptive Use</w:t>
        </w:r>
      </w:hyperlink>
    </w:p>
    <w:p w14:paraId="44CA49AB" w14:textId="417C606B" w:rsidR="002E3F96" w:rsidRDefault="00C640C0" w:rsidP="002E3F96">
      <w:pPr>
        <w:pStyle w:val="Bulletindent1"/>
        <w:rPr>
          <w:rStyle w:val="Hyperlink"/>
        </w:rPr>
      </w:pPr>
      <w:hyperlink r:id="rId44" w:history="1">
        <w:r w:rsidRPr="00C640C0">
          <w:rPr>
            <w:rStyle w:val="Hyperlink"/>
          </w:rPr>
          <w:t>College of Sexual and Reproductive Healthcare Clinical Guideline: Quick Starting Contraception (April 2017)</w:t>
        </w:r>
      </w:hyperlink>
      <w:r w:rsidRPr="00C640C0">
        <w:rPr>
          <w:rStyle w:val="Hyperlink"/>
        </w:rPr>
        <w:t xml:space="preserve"> </w:t>
      </w:r>
    </w:p>
    <w:p w14:paraId="0DAAE0B7" w14:textId="57E2F12F" w:rsidR="00C640C0" w:rsidRPr="00C640C0" w:rsidRDefault="002E3F96" w:rsidP="002E3F96">
      <w:pPr>
        <w:pStyle w:val="Bulletindent1"/>
        <w:rPr>
          <w:rStyle w:val="Hyperlink"/>
        </w:rPr>
      </w:pPr>
      <w:hyperlink r:id="rId45" w:history="1">
        <w:r w:rsidRPr="002E3F96">
          <w:rPr>
            <w:rStyle w:val="Hyperlink"/>
          </w:rPr>
          <w:t>College of Sexual and Reproductive Healthcare Guidance: Switching or Starting Methods of Contraception (amended May 2025) (log in required)</w:t>
        </w:r>
      </w:hyperlink>
    </w:p>
    <w:p w14:paraId="13EC0989" w14:textId="7C2E025E" w:rsidR="00C640C0" w:rsidRPr="00C640C0" w:rsidRDefault="00C640C0" w:rsidP="00A05022">
      <w:pPr>
        <w:pStyle w:val="Bulletindent1"/>
        <w:rPr>
          <w:rStyle w:val="Hyperlink"/>
        </w:rPr>
      </w:pPr>
      <w:hyperlink r:id="rId46" w:history="1">
        <w:r w:rsidRPr="00C640C0">
          <w:rPr>
            <w:rStyle w:val="Hyperlink"/>
            <w:lang w:val="en-US"/>
          </w:rPr>
          <w:t>CoSRH Clinical Guideline: Problematic Bleeding with Hormonal Contraception (July 2015)</w:t>
        </w:r>
      </w:hyperlink>
    </w:p>
    <w:p w14:paraId="437F432A" w14:textId="348B9D51" w:rsidR="00C640C0" w:rsidRDefault="00C640C0" w:rsidP="00C640C0">
      <w:pPr>
        <w:pStyle w:val="Bulletindent1"/>
        <w:rPr>
          <w:rStyle w:val="Hyperlink"/>
        </w:rPr>
      </w:pPr>
      <w:hyperlink r:id="rId47" w:history="1">
        <w:r w:rsidRPr="00C640C0">
          <w:rPr>
            <w:rStyle w:val="Hyperlink"/>
          </w:rPr>
          <w:t>CoSRH CEU Statement: Response to Recent Publication Regarding Banh, et al. (November 2020)</w:t>
        </w:r>
      </w:hyperlink>
      <w:r w:rsidRPr="00C640C0">
        <w:rPr>
          <w:rStyle w:val="Hyperlink"/>
        </w:rPr>
        <w:t xml:space="preserve"> </w:t>
      </w:r>
    </w:p>
    <w:p w14:paraId="1136DF4C" w14:textId="64F61DB9" w:rsidR="00482F01" w:rsidRPr="005F35F7" w:rsidRDefault="00482F01" w:rsidP="00482F01">
      <w:pPr>
        <w:pStyle w:val="Bulletindent1"/>
        <w:rPr>
          <w:color w:val="0000FF"/>
          <w:u w:val="single"/>
        </w:rPr>
      </w:pPr>
      <w:hyperlink r:id="rId48" w:history="1">
        <w:r w:rsidRPr="00C640C0">
          <w:rPr>
            <w:rStyle w:val="Hyperlink"/>
          </w:rPr>
          <w:t>CoSRH CEU statement: Use of desogestrel and risk of intracranial meningioma (July 2025)</w:t>
        </w:r>
      </w:hyperlink>
    </w:p>
    <w:p w14:paraId="1EC5D548" w14:textId="062D77E1" w:rsidR="005F35F7" w:rsidRPr="00C640C0" w:rsidRDefault="005F35F7" w:rsidP="005F35F7">
      <w:pPr>
        <w:pStyle w:val="Bulletindent1"/>
        <w:rPr>
          <w:rStyle w:val="Hyperlink"/>
        </w:rPr>
      </w:pPr>
      <w:hyperlink r:id="rId49" w:history="1">
        <w:r w:rsidRPr="00FB3FEF">
          <w:rPr>
            <w:rStyle w:val="Hyperlink"/>
            <w:rFonts w:cs="Arial"/>
            <w:szCs w:val="22"/>
          </w:rPr>
          <w:t>College of Sexual and Reproductive Healthcare CEU Statement: Response to new study by Lundstrøm et al. (2026). Contraceptive Progestogens and Incident Meningioma</w:t>
        </w:r>
      </w:hyperlink>
    </w:p>
    <w:p w14:paraId="34A4D8EE" w14:textId="3BC3098F" w:rsidR="00C640C0" w:rsidRPr="00C640C0" w:rsidRDefault="00C640C0" w:rsidP="00C640C0">
      <w:pPr>
        <w:pStyle w:val="Bulletindent1"/>
        <w:rPr>
          <w:rStyle w:val="Hyperlink"/>
        </w:rPr>
      </w:pPr>
      <w:hyperlink r:id="rId50" w:history="1">
        <w:r w:rsidRPr="00F84910">
          <w:rPr>
            <w:rStyle w:val="Hyperlink"/>
          </w:rPr>
          <w:t>CoSRH statement: Glucagon-like peptide-1 (GLP-1) agonists and oral contraception (January 2025)</w:t>
        </w:r>
      </w:hyperlink>
    </w:p>
    <w:p w14:paraId="088B7E39" w14:textId="26E587D4" w:rsidR="00C640C0" w:rsidRPr="00C640C0" w:rsidRDefault="00C640C0" w:rsidP="00C640C0">
      <w:pPr>
        <w:pStyle w:val="Bulletindent1"/>
        <w:rPr>
          <w:rStyle w:val="Hyperlink"/>
        </w:rPr>
      </w:pPr>
      <w:hyperlink r:id="rId51" w:history="1">
        <w:r w:rsidRPr="00C640C0">
          <w:rPr>
            <w:rStyle w:val="Hyperlink"/>
          </w:rPr>
          <w:t>CoSRH: GLP-1 agonists and contraception Patient information leaflet (February 2025)</w:t>
        </w:r>
      </w:hyperlink>
    </w:p>
    <w:p w14:paraId="2D05F0A2" w14:textId="77777777" w:rsidR="00C640C0" w:rsidRDefault="00C640C0" w:rsidP="00C640C0">
      <w:pPr>
        <w:pStyle w:val="Bulletindent1"/>
        <w:numPr>
          <w:ilvl w:val="0"/>
          <w:numId w:val="0"/>
        </w:numPr>
        <w:ind w:left="720" w:hanging="360"/>
        <w:rPr>
          <w:rFonts w:cs="Arial"/>
          <w:lang w:val="en-US"/>
        </w:rPr>
      </w:pPr>
    </w:p>
    <w:p w14:paraId="068AB94A" w14:textId="5DA1855F" w:rsidR="00533F89" w:rsidRPr="00533F89" w:rsidRDefault="007A1448" w:rsidP="007D0B8B">
      <w:pPr>
        <w:pStyle w:val="Bulletindent1"/>
        <w:numPr>
          <w:ilvl w:val="0"/>
          <w:numId w:val="0"/>
        </w:numPr>
        <w:ind w:left="720"/>
        <w:jc w:val="center"/>
      </w:pPr>
      <w:r w:rsidRPr="00877396">
        <w:rPr>
          <w:rStyle w:val="Hyperlink"/>
        </w:rPr>
        <w:br w:type="page"/>
      </w:r>
      <w:bookmarkEnd w:id="0"/>
      <w:bookmarkEnd w:id="1"/>
      <w:bookmarkEnd w:id="2"/>
      <w:r w:rsidR="00510425" w:rsidRPr="00533F89">
        <w:lastRenderedPageBreak/>
        <w:t>Appendices</w:t>
      </w:r>
    </w:p>
    <w:p w14:paraId="14498D21" w14:textId="05B45152" w:rsidR="00510425" w:rsidRPr="00DF77C7" w:rsidRDefault="00B154E7" w:rsidP="00533F89">
      <w:pPr>
        <w:pStyle w:val="PGDNormal"/>
      </w:pPr>
      <w:r w:rsidRPr="00F44EA1">
        <w:rPr>
          <w:highlight w:val="yellow"/>
        </w:rPr>
        <w:t>[[</w:t>
      </w:r>
      <w:r w:rsidR="00510425" w:rsidRPr="00F44EA1">
        <w:rPr>
          <w:highlight w:val="yellow"/>
        </w:rPr>
        <w:t>(</w:t>
      </w:r>
      <w:r w:rsidR="00510425" w:rsidRPr="00DF77C7">
        <w:rPr>
          <w:highlight w:val="yellow"/>
        </w:rPr>
        <w:t>appendices may be added as agreed locally including relevant patient questionnaires, links to protocols and any patient informatio</w:t>
      </w:r>
      <w:r w:rsidR="00510425" w:rsidRPr="00F44EA1">
        <w:rPr>
          <w:highlight w:val="yellow"/>
        </w:rPr>
        <w:t>n)</w:t>
      </w:r>
      <w:r w:rsidRPr="00F44EA1">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F44EA1">
        <w:rPr>
          <w:highlight w:val="yellow"/>
        </w:rPr>
        <w:t>[[</w:t>
      </w:r>
      <w:r w:rsidR="00510425" w:rsidRPr="00F44EA1">
        <w:rPr>
          <w:highlight w:val="yellow"/>
        </w:rPr>
        <w:t>(</w:t>
      </w:r>
      <w:r w:rsidR="00510425" w:rsidRPr="00DF77C7">
        <w:rPr>
          <w:highlight w:val="yellow"/>
        </w:rPr>
        <w:t>example – local versions/electronic systems may be used</w:t>
      </w:r>
      <w:r w:rsidR="00510425" w:rsidRPr="00F44EA1">
        <w:rPr>
          <w:highlight w:val="yellow"/>
        </w:rPr>
        <w:t>)</w:t>
      </w:r>
      <w:r w:rsidRPr="00F44EA1">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51DF789E"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F44EA1">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w:t>
      </w:r>
      <w:r w:rsidRPr="00F44EA1">
        <w:rPr>
          <w:rFonts w:cs="Arial"/>
          <w:highlight w:val="cyan"/>
        </w:rPr>
        <w:t>n</w:t>
      </w:r>
      <w:r w:rsidR="001A11C9" w:rsidRPr="00F44EA1">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F44EA1">
        <w:rPr>
          <w:highlight w:val="cyan"/>
        </w:rPr>
        <w:t>[</w:t>
      </w:r>
      <w:r w:rsidR="00510425" w:rsidRPr="00F44EA1">
        <w:rPr>
          <w:highlight w:val="cyan"/>
        </w:rPr>
        <w:t>A</w:t>
      </w:r>
      <w:r w:rsidR="00510425" w:rsidRPr="00DF77C7">
        <w:rPr>
          <w:highlight w:val="cyan"/>
        </w:rPr>
        <w:t>dd details on how this information is to be retained according to organisation PGD polic</w:t>
      </w:r>
      <w:r w:rsidR="00510425" w:rsidRPr="00F44EA1">
        <w:rPr>
          <w:highlight w:val="cyan"/>
        </w:rPr>
        <w:t>y.</w:t>
      </w:r>
      <w:r w:rsidRPr="00F44EA1">
        <w:rPr>
          <w:highlight w:val="cyan"/>
        </w:rPr>
        <w:t>]</w:t>
      </w:r>
    </w:p>
    <w:p w14:paraId="495DAEDB" w14:textId="77777777" w:rsidR="00E11FE0" w:rsidRDefault="00E11FE0" w:rsidP="00ED232C">
      <w:pPr>
        <w:pStyle w:val="PGDNormal"/>
      </w:pPr>
    </w:p>
    <w:sectPr w:rsidR="00E11FE0" w:rsidSect="00537E57">
      <w:headerReference w:type="even" r:id="rId52"/>
      <w:headerReference w:type="default" r:id="rId53"/>
      <w:footerReference w:type="default" r:id="rId54"/>
      <w:headerReference w:type="first" r:id="rId5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65A5" w14:textId="77777777" w:rsidR="008E6852" w:rsidRPr="00DF77C7" w:rsidRDefault="008E6852">
      <w:r w:rsidRPr="00DF77C7">
        <w:separator/>
      </w:r>
    </w:p>
  </w:endnote>
  <w:endnote w:type="continuationSeparator" w:id="0">
    <w:p w14:paraId="4E0A4E83" w14:textId="77777777" w:rsidR="008E6852" w:rsidRPr="00DF77C7" w:rsidRDefault="008E6852">
      <w:r w:rsidRPr="00DF77C7">
        <w:continuationSeparator/>
      </w:r>
    </w:p>
  </w:endnote>
  <w:endnote w:type="continuationNotice" w:id="1">
    <w:p w14:paraId="5CEFB213" w14:textId="77777777" w:rsidR="008E6852" w:rsidRDefault="008E6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3463CE" w:rsidRDefault="005E6491" w:rsidP="003463CE">
    <w:pPr>
      <w:pStyle w:val="Footer"/>
      <w:spacing w:after="0"/>
      <w:rPr>
        <w:sz w:val="22"/>
        <w:szCs w:val="22"/>
        <w:highlight w:val="cyan"/>
      </w:rPr>
    </w:pPr>
    <w:r w:rsidRPr="003463CE">
      <w:rPr>
        <w:sz w:val="22"/>
        <w:szCs w:val="22"/>
        <w:highlight w:val="cyan"/>
      </w:rPr>
      <w:t>[</w:t>
    </w:r>
    <w:r w:rsidR="007F0048" w:rsidRPr="003463CE">
      <w:rPr>
        <w:sz w:val="22"/>
        <w:szCs w:val="22"/>
        <w:highlight w:val="cyan"/>
      </w:rPr>
      <w:t>Reference Number:</w:t>
    </w:r>
  </w:p>
  <w:p w14:paraId="37AB56FF" w14:textId="77777777" w:rsidR="007F0048" w:rsidRPr="003463CE" w:rsidRDefault="007F0048" w:rsidP="003463CE">
    <w:pPr>
      <w:pStyle w:val="PGDNormal"/>
      <w:spacing w:after="0"/>
      <w:rPr>
        <w:szCs w:val="22"/>
        <w:highlight w:val="cyan"/>
      </w:rPr>
    </w:pPr>
    <w:r w:rsidRPr="003463CE">
      <w:rPr>
        <w:szCs w:val="22"/>
        <w:highlight w:val="cyan"/>
      </w:rPr>
      <w:t>Valid from:</w:t>
    </w:r>
  </w:p>
  <w:p w14:paraId="433533CD" w14:textId="77777777" w:rsidR="007F0048" w:rsidRPr="003463CE" w:rsidRDefault="007F0048" w:rsidP="003463CE">
    <w:pPr>
      <w:pStyle w:val="Footer"/>
      <w:spacing w:after="0"/>
      <w:rPr>
        <w:sz w:val="22"/>
        <w:szCs w:val="22"/>
        <w:highlight w:val="cyan"/>
      </w:rPr>
    </w:pPr>
    <w:r w:rsidRPr="003463CE">
      <w:rPr>
        <w:sz w:val="22"/>
        <w:szCs w:val="22"/>
        <w:highlight w:val="cyan"/>
      </w:rPr>
      <w:t>Review date:</w:t>
    </w:r>
  </w:p>
  <w:p w14:paraId="6B111E08" w14:textId="239AE8CD" w:rsidR="007F0048" w:rsidRPr="00DF77C7" w:rsidRDefault="007F0048" w:rsidP="003463CE">
    <w:pPr>
      <w:pStyle w:val="Footer"/>
      <w:spacing w:after="0"/>
    </w:pPr>
    <w:r w:rsidRPr="003463CE">
      <w:rPr>
        <w:sz w:val="22"/>
        <w:szCs w:val="22"/>
        <w:highlight w:val="cyan"/>
      </w:rPr>
      <w:t>Expiry date:</w:t>
    </w:r>
    <w:r w:rsidR="005E6491" w:rsidRPr="003463CE">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DF95" w14:textId="77777777" w:rsidR="008E6852" w:rsidRPr="00DF77C7" w:rsidRDefault="008E6852">
      <w:r w:rsidRPr="00DF77C7">
        <w:separator/>
      </w:r>
    </w:p>
  </w:footnote>
  <w:footnote w:type="continuationSeparator" w:id="0">
    <w:p w14:paraId="26B1A4D7" w14:textId="77777777" w:rsidR="008E6852" w:rsidRPr="00DF77C7" w:rsidRDefault="008E6852">
      <w:r w:rsidRPr="00DF77C7">
        <w:continuationSeparator/>
      </w:r>
    </w:p>
  </w:footnote>
  <w:footnote w:type="continuationNotice" w:id="1">
    <w:p w14:paraId="0CAA1D5A" w14:textId="77777777" w:rsidR="008E6852" w:rsidRDefault="008E6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8E685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8E685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8E7EB4">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8E7EB4">
      <w:rPr>
        <w:sz w:val="16"/>
        <w:szCs w:val="16"/>
        <w:highlight w:val="cyan"/>
      </w:rPr>
      <w:t>]</w:t>
    </w:r>
    <w:r w:rsidR="00B11B08" w:rsidRPr="00B11B08">
      <w:rPr>
        <w:sz w:val="16"/>
        <w:szCs w:val="16"/>
      </w:rPr>
      <w:t xml:space="preserve"> should be replaced with the user organisation’s own text. Text </w:t>
    </w:r>
    <w:r w:rsidR="005E6491" w:rsidRPr="008E7EB4">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sidRPr="008E7EB4">
      <w:rPr>
        <w:sz w:val="16"/>
        <w:szCs w:val="16"/>
        <w:highlight w:val="yellow"/>
      </w:rPr>
      <w:t>]]</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8E685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7F3C8"/>
    <w:multiLevelType w:val="hybridMultilevel"/>
    <w:tmpl w:val="3C18CE6A"/>
    <w:lvl w:ilvl="0" w:tplc="4AB8FCD8">
      <w:start w:val="1"/>
      <w:numFmt w:val="bullet"/>
      <w:lvlText w:val="·"/>
      <w:lvlJc w:val="left"/>
      <w:pPr>
        <w:ind w:left="720" w:hanging="360"/>
      </w:pPr>
      <w:rPr>
        <w:rFonts w:ascii="Symbol" w:hAnsi="Symbol" w:hint="default"/>
      </w:rPr>
    </w:lvl>
    <w:lvl w:ilvl="1" w:tplc="B32411F0">
      <w:start w:val="1"/>
      <w:numFmt w:val="bullet"/>
      <w:lvlText w:val="o"/>
      <w:lvlJc w:val="left"/>
      <w:pPr>
        <w:ind w:left="1440" w:hanging="360"/>
      </w:pPr>
      <w:rPr>
        <w:rFonts w:ascii="Courier New" w:hAnsi="Courier New" w:hint="default"/>
      </w:rPr>
    </w:lvl>
    <w:lvl w:ilvl="2" w:tplc="6018DE52">
      <w:start w:val="1"/>
      <w:numFmt w:val="bullet"/>
      <w:lvlText w:val=""/>
      <w:lvlJc w:val="left"/>
      <w:pPr>
        <w:ind w:left="2160" w:hanging="360"/>
      </w:pPr>
      <w:rPr>
        <w:rFonts w:ascii="Wingdings" w:hAnsi="Wingdings" w:hint="default"/>
      </w:rPr>
    </w:lvl>
    <w:lvl w:ilvl="3" w:tplc="8626C774">
      <w:start w:val="1"/>
      <w:numFmt w:val="bullet"/>
      <w:lvlText w:val=""/>
      <w:lvlJc w:val="left"/>
      <w:pPr>
        <w:ind w:left="2880" w:hanging="360"/>
      </w:pPr>
      <w:rPr>
        <w:rFonts w:ascii="Symbol" w:hAnsi="Symbol" w:hint="default"/>
      </w:rPr>
    </w:lvl>
    <w:lvl w:ilvl="4" w:tplc="4D7C0DD6">
      <w:start w:val="1"/>
      <w:numFmt w:val="bullet"/>
      <w:lvlText w:val="o"/>
      <w:lvlJc w:val="left"/>
      <w:pPr>
        <w:ind w:left="3600" w:hanging="360"/>
      </w:pPr>
      <w:rPr>
        <w:rFonts w:ascii="Courier New" w:hAnsi="Courier New" w:hint="default"/>
      </w:rPr>
    </w:lvl>
    <w:lvl w:ilvl="5" w:tplc="3BE88BA0">
      <w:start w:val="1"/>
      <w:numFmt w:val="bullet"/>
      <w:lvlText w:val=""/>
      <w:lvlJc w:val="left"/>
      <w:pPr>
        <w:ind w:left="4320" w:hanging="360"/>
      </w:pPr>
      <w:rPr>
        <w:rFonts w:ascii="Wingdings" w:hAnsi="Wingdings" w:hint="default"/>
      </w:rPr>
    </w:lvl>
    <w:lvl w:ilvl="6" w:tplc="E460FD2C">
      <w:start w:val="1"/>
      <w:numFmt w:val="bullet"/>
      <w:lvlText w:val=""/>
      <w:lvlJc w:val="left"/>
      <w:pPr>
        <w:ind w:left="5040" w:hanging="360"/>
      </w:pPr>
      <w:rPr>
        <w:rFonts w:ascii="Symbol" w:hAnsi="Symbol" w:hint="default"/>
      </w:rPr>
    </w:lvl>
    <w:lvl w:ilvl="7" w:tplc="2DD6C6E8">
      <w:start w:val="1"/>
      <w:numFmt w:val="bullet"/>
      <w:lvlText w:val="o"/>
      <w:lvlJc w:val="left"/>
      <w:pPr>
        <w:ind w:left="5760" w:hanging="360"/>
      </w:pPr>
      <w:rPr>
        <w:rFonts w:ascii="Courier New" w:hAnsi="Courier New" w:hint="default"/>
      </w:rPr>
    </w:lvl>
    <w:lvl w:ilvl="8" w:tplc="521A06F4">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87D95"/>
    <w:multiLevelType w:val="hybridMultilevel"/>
    <w:tmpl w:val="9DE858CE"/>
    <w:lvl w:ilvl="0" w:tplc="FC8AD8D8">
      <w:start w:val="1"/>
      <w:numFmt w:val="bullet"/>
      <w:pStyle w:val="Bulletindent1"/>
      <w:lvlText w:val="·"/>
      <w:lvlJc w:val="left"/>
      <w:pPr>
        <w:ind w:left="720" w:hanging="360"/>
      </w:pPr>
      <w:rPr>
        <w:rFonts w:ascii="Symbol" w:hAnsi="Symbol" w:hint="default"/>
        <w:sz w:val="22"/>
      </w:rPr>
    </w:lvl>
    <w:lvl w:ilvl="1" w:tplc="68A4B552">
      <w:start w:val="1"/>
      <w:numFmt w:val="bullet"/>
      <w:lvlText w:val="o"/>
      <w:lvlJc w:val="left"/>
      <w:pPr>
        <w:ind w:left="1440" w:hanging="360"/>
      </w:pPr>
      <w:rPr>
        <w:rFonts w:ascii="Courier New" w:hAnsi="Courier New" w:hint="default"/>
      </w:rPr>
    </w:lvl>
    <w:lvl w:ilvl="2" w:tplc="B0A07546">
      <w:start w:val="1"/>
      <w:numFmt w:val="bullet"/>
      <w:lvlText w:val=""/>
      <w:lvlJc w:val="left"/>
      <w:pPr>
        <w:ind w:left="2160" w:hanging="360"/>
      </w:pPr>
      <w:rPr>
        <w:rFonts w:ascii="Wingdings" w:hAnsi="Wingdings" w:hint="default"/>
      </w:rPr>
    </w:lvl>
    <w:lvl w:ilvl="3" w:tplc="8BF4A2A8">
      <w:start w:val="1"/>
      <w:numFmt w:val="bullet"/>
      <w:lvlText w:val=""/>
      <w:lvlJc w:val="left"/>
      <w:pPr>
        <w:ind w:left="2880" w:hanging="360"/>
      </w:pPr>
      <w:rPr>
        <w:rFonts w:ascii="Symbol" w:hAnsi="Symbol" w:hint="default"/>
      </w:rPr>
    </w:lvl>
    <w:lvl w:ilvl="4" w:tplc="8A9E5A76">
      <w:start w:val="1"/>
      <w:numFmt w:val="bullet"/>
      <w:lvlText w:val="o"/>
      <w:lvlJc w:val="left"/>
      <w:pPr>
        <w:ind w:left="3600" w:hanging="360"/>
      </w:pPr>
      <w:rPr>
        <w:rFonts w:ascii="Courier New" w:hAnsi="Courier New" w:hint="default"/>
      </w:rPr>
    </w:lvl>
    <w:lvl w:ilvl="5" w:tplc="B60A1DC0">
      <w:start w:val="1"/>
      <w:numFmt w:val="bullet"/>
      <w:lvlText w:val=""/>
      <w:lvlJc w:val="left"/>
      <w:pPr>
        <w:ind w:left="4320" w:hanging="360"/>
      </w:pPr>
      <w:rPr>
        <w:rFonts w:ascii="Wingdings" w:hAnsi="Wingdings" w:hint="default"/>
      </w:rPr>
    </w:lvl>
    <w:lvl w:ilvl="6" w:tplc="AE3A981A">
      <w:start w:val="1"/>
      <w:numFmt w:val="bullet"/>
      <w:lvlText w:val=""/>
      <w:lvlJc w:val="left"/>
      <w:pPr>
        <w:ind w:left="5040" w:hanging="360"/>
      </w:pPr>
      <w:rPr>
        <w:rFonts w:ascii="Symbol" w:hAnsi="Symbol" w:hint="default"/>
      </w:rPr>
    </w:lvl>
    <w:lvl w:ilvl="7" w:tplc="81AC161C">
      <w:start w:val="1"/>
      <w:numFmt w:val="bullet"/>
      <w:lvlText w:val="o"/>
      <w:lvlJc w:val="left"/>
      <w:pPr>
        <w:ind w:left="5760" w:hanging="360"/>
      </w:pPr>
      <w:rPr>
        <w:rFonts w:ascii="Courier New" w:hAnsi="Courier New" w:hint="default"/>
      </w:rPr>
    </w:lvl>
    <w:lvl w:ilvl="8" w:tplc="811EEFD6">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250B7"/>
    <w:multiLevelType w:val="hybridMultilevel"/>
    <w:tmpl w:val="A5C4E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8"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0"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24565201">
    <w:abstractNumId w:val="2"/>
  </w:num>
  <w:num w:numId="2" w16cid:durableId="1288662370">
    <w:abstractNumId w:val="14"/>
  </w:num>
  <w:num w:numId="3" w16cid:durableId="460340545">
    <w:abstractNumId w:val="8"/>
  </w:num>
  <w:num w:numId="4" w16cid:durableId="862549155">
    <w:abstractNumId w:val="19"/>
  </w:num>
  <w:num w:numId="5" w16cid:durableId="1902785077">
    <w:abstractNumId w:val="20"/>
  </w:num>
  <w:num w:numId="6" w16cid:durableId="1400252542">
    <w:abstractNumId w:val="11"/>
  </w:num>
  <w:num w:numId="7" w16cid:durableId="585113440">
    <w:abstractNumId w:val="7"/>
  </w:num>
  <w:num w:numId="8" w16cid:durableId="1512915418">
    <w:abstractNumId w:val="17"/>
  </w:num>
  <w:num w:numId="9" w16cid:durableId="759831936">
    <w:abstractNumId w:val="23"/>
  </w:num>
  <w:num w:numId="10" w16cid:durableId="1747412429">
    <w:abstractNumId w:val="3"/>
  </w:num>
  <w:num w:numId="11" w16cid:durableId="1297833641">
    <w:abstractNumId w:val="1"/>
  </w:num>
  <w:num w:numId="12" w16cid:durableId="1684160055">
    <w:abstractNumId w:val="22"/>
  </w:num>
  <w:num w:numId="13" w16cid:durableId="1610894224">
    <w:abstractNumId w:val="24"/>
  </w:num>
  <w:num w:numId="14" w16cid:durableId="1880973297">
    <w:abstractNumId w:val="10"/>
  </w:num>
  <w:num w:numId="15" w16cid:durableId="77676389">
    <w:abstractNumId w:val="4"/>
  </w:num>
  <w:num w:numId="16" w16cid:durableId="1496384920">
    <w:abstractNumId w:val="9"/>
  </w:num>
  <w:num w:numId="17" w16cid:durableId="441388192">
    <w:abstractNumId w:val="15"/>
    <w:lvlOverride w:ilvl="0">
      <w:startOverride w:val="1"/>
    </w:lvlOverride>
  </w:num>
  <w:num w:numId="18" w16cid:durableId="73867840">
    <w:abstractNumId w:val="5"/>
    <w:lvlOverride w:ilvl="0">
      <w:startOverride w:val="1"/>
    </w:lvlOverride>
  </w:num>
  <w:num w:numId="19" w16cid:durableId="605583079">
    <w:abstractNumId w:val="12"/>
  </w:num>
  <w:num w:numId="20" w16cid:durableId="373623662">
    <w:abstractNumId w:val="0"/>
  </w:num>
  <w:num w:numId="21" w16cid:durableId="1135222389">
    <w:abstractNumId w:val="18"/>
  </w:num>
  <w:num w:numId="22" w16cid:durableId="367147215">
    <w:abstractNumId w:val="21"/>
  </w:num>
  <w:num w:numId="23" w16cid:durableId="166712494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0D6"/>
    <w:rsid w:val="0007473C"/>
    <w:rsid w:val="00076494"/>
    <w:rsid w:val="00081B91"/>
    <w:rsid w:val="00082163"/>
    <w:rsid w:val="00084D8E"/>
    <w:rsid w:val="000856ED"/>
    <w:rsid w:val="000912CD"/>
    <w:rsid w:val="00091E6A"/>
    <w:rsid w:val="00094814"/>
    <w:rsid w:val="00094B2C"/>
    <w:rsid w:val="00095CC0"/>
    <w:rsid w:val="00096257"/>
    <w:rsid w:val="00097675"/>
    <w:rsid w:val="00097D7C"/>
    <w:rsid w:val="000A016E"/>
    <w:rsid w:val="000A0B03"/>
    <w:rsid w:val="000A0BC7"/>
    <w:rsid w:val="000A4616"/>
    <w:rsid w:val="000A5D68"/>
    <w:rsid w:val="000A7224"/>
    <w:rsid w:val="000A7F4E"/>
    <w:rsid w:val="000B11F9"/>
    <w:rsid w:val="000B2929"/>
    <w:rsid w:val="000B2B38"/>
    <w:rsid w:val="000B2D26"/>
    <w:rsid w:val="000B3C9A"/>
    <w:rsid w:val="000B451B"/>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42C"/>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10D2"/>
    <w:rsid w:val="00142D2D"/>
    <w:rsid w:val="00143108"/>
    <w:rsid w:val="00143215"/>
    <w:rsid w:val="001438F2"/>
    <w:rsid w:val="00144F58"/>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208"/>
    <w:rsid w:val="0017669F"/>
    <w:rsid w:val="00176DAC"/>
    <w:rsid w:val="001774D2"/>
    <w:rsid w:val="00184E40"/>
    <w:rsid w:val="0018512B"/>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0CCA"/>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0400"/>
    <w:rsid w:val="001E3238"/>
    <w:rsid w:val="001E42CD"/>
    <w:rsid w:val="001E5CA4"/>
    <w:rsid w:val="001E7E43"/>
    <w:rsid w:val="001F0DB2"/>
    <w:rsid w:val="001F1FD3"/>
    <w:rsid w:val="001F3071"/>
    <w:rsid w:val="001F3214"/>
    <w:rsid w:val="001F32F9"/>
    <w:rsid w:val="001F6143"/>
    <w:rsid w:val="001F6668"/>
    <w:rsid w:val="001F7697"/>
    <w:rsid w:val="0020051D"/>
    <w:rsid w:val="00202047"/>
    <w:rsid w:val="002026AE"/>
    <w:rsid w:val="002125E8"/>
    <w:rsid w:val="002206F3"/>
    <w:rsid w:val="00221439"/>
    <w:rsid w:val="00224BA3"/>
    <w:rsid w:val="00225F9D"/>
    <w:rsid w:val="00226222"/>
    <w:rsid w:val="00232366"/>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5A52"/>
    <w:rsid w:val="0029634A"/>
    <w:rsid w:val="00296701"/>
    <w:rsid w:val="002A26DA"/>
    <w:rsid w:val="002A278A"/>
    <w:rsid w:val="002A6CB8"/>
    <w:rsid w:val="002A7D61"/>
    <w:rsid w:val="002B1479"/>
    <w:rsid w:val="002B2380"/>
    <w:rsid w:val="002B3528"/>
    <w:rsid w:val="002B4181"/>
    <w:rsid w:val="002B5BAC"/>
    <w:rsid w:val="002B5E5D"/>
    <w:rsid w:val="002B62CC"/>
    <w:rsid w:val="002B6400"/>
    <w:rsid w:val="002C19DC"/>
    <w:rsid w:val="002C1F27"/>
    <w:rsid w:val="002C24CE"/>
    <w:rsid w:val="002C5736"/>
    <w:rsid w:val="002D4185"/>
    <w:rsid w:val="002E0743"/>
    <w:rsid w:val="002E0DB1"/>
    <w:rsid w:val="002E2321"/>
    <w:rsid w:val="002E3EBF"/>
    <w:rsid w:val="002E3F96"/>
    <w:rsid w:val="002E428E"/>
    <w:rsid w:val="002F134E"/>
    <w:rsid w:val="002F4DEC"/>
    <w:rsid w:val="002F5864"/>
    <w:rsid w:val="002F6F79"/>
    <w:rsid w:val="00301008"/>
    <w:rsid w:val="00302036"/>
    <w:rsid w:val="00302939"/>
    <w:rsid w:val="0030592E"/>
    <w:rsid w:val="003111B2"/>
    <w:rsid w:val="00311DC1"/>
    <w:rsid w:val="003147B9"/>
    <w:rsid w:val="00315465"/>
    <w:rsid w:val="003156DC"/>
    <w:rsid w:val="00315D42"/>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1D83"/>
    <w:rsid w:val="003463CE"/>
    <w:rsid w:val="0035096D"/>
    <w:rsid w:val="00351BBC"/>
    <w:rsid w:val="00351C0B"/>
    <w:rsid w:val="00355735"/>
    <w:rsid w:val="00357271"/>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8D8"/>
    <w:rsid w:val="003969FE"/>
    <w:rsid w:val="003A0E76"/>
    <w:rsid w:val="003A1832"/>
    <w:rsid w:val="003A2CBA"/>
    <w:rsid w:val="003A30B2"/>
    <w:rsid w:val="003A4FF5"/>
    <w:rsid w:val="003B167D"/>
    <w:rsid w:val="003B3492"/>
    <w:rsid w:val="003B3958"/>
    <w:rsid w:val="003B4C5E"/>
    <w:rsid w:val="003B5534"/>
    <w:rsid w:val="003B7374"/>
    <w:rsid w:val="003B7DE2"/>
    <w:rsid w:val="003C266B"/>
    <w:rsid w:val="003C2B8D"/>
    <w:rsid w:val="003C3DAC"/>
    <w:rsid w:val="003D0B25"/>
    <w:rsid w:val="003D0F43"/>
    <w:rsid w:val="003D2411"/>
    <w:rsid w:val="003D38E9"/>
    <w:rsid w:val="003D3F0C"/>
    <w:rsid w:val="003D483F"/>
    <w:rsid w:val="003D4875"/>
    <w:rsid w:val="003D5921"/>
    <w:rsid w:val="003D59C2"/>
    <w:rsid w:val="003D5C60"/>
    <w:rsid w:val="003D64F6"/>
    <w:rsid w:val="003D7FEC"/>
    <w:rsid w:val="003E114F"/>
    <w:rsid w:val="003E2F12"/>
    <w:rsid w:val="003E42E3"/>
    <w:rsid w:val="003E5C83"/>
    <w:rsid w:val="003E69CD"/>
    <w:rsid w:val="003E6FFF"/>
    <w:rsid w:val="003E7E24"/>
    <w:rsid w:val="003F15B0"/>
    <w:rsid w:val="003F2572"/>
    <w:rsid w:val="003F2B2E"/>
    <w:rsid w:val="003F3884"/>
    <w:rsid w:val="003F3AA2"/>
    <w:rsid w:val="003F3DC3"/>
    <w:rsid w:val="003F4BC7"/>
    <w:rsid w:val="003F5626"/>
    <w:rsid w:val="003F5CAB"/>
    <w:rsid w:val="003F6784"/>
    <w:rsid w:val="003F69C5"/>
    <w:rsid w:val="003F7836"/>
    <w:rsid w:val="00400DB0"/>
    <w:rsid w:val="00401796"/>
    <w:rsid w:val="00402028"/>
    <w:rsid w:val="00402800"/>
    <w:rsid w:val="00403105"/>
    <w:rsid w:val="00404955"/>
    <w:rsid w:val="004058C1"/>
    <w:rsid w:val="004075B1"/>
    <w:rsid w:val="00410AF7"/>
    <w:rsid w:val="00411A8A"/>
    <w:rsid w:val="00416022"/>
    <w:rsid w:val="00417611"/>
    <w:rsid w:val="00417A57"/>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3B8C"/>
    <w:rsid w:val="004554AB"/>
    <w:rsid w:val="004564FB"/>
    <w:rsid w:val="0045723E"/>
    <w:rsid w:val="00463FF5"/>
    <w:rsid w:val="00467940"/>
    <w:rsid w:val="00472105"/>
    <w:rsid w:val="00473E4D"/>
    <w:rsid w:val="00476781"/>
    <w:rsid w:val="00476876"/>
    <w:rsid w:val="0048006E"/>
    <w:rsid w:val="00480581"/>
    <w:rsid w:val="0048223A"/>
    <w:rsid w:val="004826F5"/>
    <w:rsid w:val="00482D75"/>
    <w:rsid w:val="00482F01"/>
    <w:rsid w:val="00484734"/>
    <w:rsid w:val="004870F8"/>
    <w:rsid w:val="00490B13"/>
    <w:rsid w:val="00490E24"/>
    <w:rsid w:val="00492064"/>
    <w:rsid w:val="004921B6"/>
    <w:rsid w:val="004A295D"/>
    <w:rsid w:val="004A34E1"/>
    <w:rsid w:val="004A6E53"/>
    <w:rsid w:val="004A7E93"/>
    <w:rsid w:val="004B0F38"/>
    <w:rsid w:val="004B17CE"/>
    <w:rsid w:val="004B1E73"/>
    <w:rsid w:val="004B2C19"/>
    <w:rsid w:val="004B4370"/>
    <w:rsid w:val="004B55C6"/>
    <w:rsid w:val="004B5926"/>
    <w:rsid w:val="004B5A62"/>
    <w:rsid w:val="004B610E"/>
    <w:rsid w:val="004C0BD9"/>
    <w:rsid w:val="004C18D1"/>
    <w:rsid w:val="004C1FDF"/>
    <w:rsid w:val="004C243F"/>
    <w:rsid w:val="004C283F"/>
    <w:rsid w:val="004C39C3"/>
    <w:rsid w:val="004C51BE"/>
    <w:rsid w:val="004C74E5"/>
    <w:rsid w:val="004C78B4"/>
    <w:rsid w:val="004D11DE"/>
    <w:rsid w:val="004D1C74"/>
    <w:rsid w:val="004D30C0"/>
    <w:rsid w:val="004D3649"/>
    <w:rsid w:val="004D3B9A"/>
    <w:rsid w:val="004D4FB3"/>
    <w:rsid w:val="004D5608"/>
    <w:rsid w:val="004D6E41"/>
    <w:rsid w:val="004E03A1"/>
    <w:rsid w:val="004E044C"/>
    <w:rsid w:val="004E48B7"/>
    <w:rsid w:val="004E59D9"/>
    <w:rsid w:val="004F55B1"/>
    <w:rsid w:val="005001FC"/>
    <w:rsid w:val="00501566"/>
    <w:rsid w:val="00501FBD"/>
    <w:rsid w:val="00502626"/>
    <w:rsid w:val="005032BA"/>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B1E"/>
    <w:rsid w:val="005B768E"/>
    <w:rsid w:val="005C020A"/>
    <w:rsid w:val="005C030A"/>
    <w:rsid w:val="005C0AD0"/>
    <w:rsid w:val="005C1B6B"/>
    <w:rsid w:val="005C2326"/>
    <w:rsid w:val="005C38B5"/>
    <w:rsid w:val="005C46B7"/>
    <w:rsid w:val="005C62A1"/>
    <w:rsid w:val="005C6542"/>
    <w:rsid w:val="005C6771"/>
    <w:rsid w:val="005C68D1"/>
    <w:rsid w:val="005D199C"/>
    <w:rsid w:val="005D205A"/>
    <w:rsid w:val="005D28FA"/>
    <w:rsid w:val="005D3148"/>
    <w:rsid w:val="005D4154"/>
    <w:rsid w:val="005D5304"/>
    <w:rsid w:val="005D65E1"/>
    <w:rsid w:val="005D7A63"/>
    <w:rsid w:val="005E1E92"/>
    <w:rsid w:val="005E2328"/>
    <w:rsid w:val="005E6491"/>
    <w:rsid w:val="005E6963"/>
    <w:rsid w:val="005E6E51"/>
    <w:rsid w:val="005F1323"/>
    <w:rsid w:val="005F1603"/>
    <w:rsid w:val="005F17C5"/>
    <w:rsid w:val="005F35F7"/>
    <w:rsid w:val="005F3623"/>
    <w:rsid w:val="005F4864"/>
    <w:rsid w:val="005F4940"/>
    <w:rsid w:val="00600F2A"/>
    <w:rsid w:val="00602866"/>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2230"/>
    <w:rsid w:val="00633A98"/>
    <w:rsid w:val="006417CE"/>
    <w:rsid w:val="006419B7"/>
    <w:rsid w:val="00645F27"/>
    <w:rsid w:val="0065050E"/>
    <w:rsid w:val="0065215A"/>
    <w:rsid w:val="006529F3"/>
    <w:rsid w:val="006543A0"/>
    <w:rsid w:val="00654491"/>
    <w:rsid w:val="006550AF"/>
    <w:rsid w:val="00655155"/>
    <w:rsid w:val="006565AD"/>
    <w:rsid w:val="00660106"/>
    <w:rsid w:val="006604BA"/>
    <w:rsid w:val="006610ED"/>
    <w:rsid w:val="00662ECD"/>
    <w:rsid w:val="00665687"/>
    <w:rsid w:val="00667BE7"/>
    <w:rsid w:val="0067000A"/>
    <w:rsid w:val="00671697"/>
    <w:rsid w:val="00677DD2"/>
    <w:rsid w:val="00677FE6"/>
    <w:rsid w:val="0068233F"/>
    <w:rsid w:val="006829D5"/>
    <w:rsid w:val="006833EE"/>
    <w:rsid w:val="006843FA"/>
    <w:rsid w:val="00685DE2"/>
    <w:rsid w:val="006911EE"/>
    <w:rsid w:val="006A1225"/>
    <w:rsid w:val="006A169F"/>
    <w:rsid w:val="006A3850"/>
    <w:rsid w:val="006A4706"/>
    <w:rsid w:val="006A7AF1"/>
    <w:rsid w:val="006B2D85"/>
    <w:rsid w:val="006B39B2"/>
    <w:rsid w:val="006B5AF7"/>
    <w:rsid w:val="006B6EEC"/>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D0F"/>
    <w:rsid w:val="006F0F64"/>
    <w:rsid w:val="006F1449"/>
    <w:rsid w:val="006F1BA4"/>
    <w:rsid w:val="006F45CB"/>
    <w:rsid w:val="006F555A"/>
    <w:rsid w:val="006F6E18"/>
    <w:rsid w:val="00700627"/>
    <w:rsid w:val="00700A9C"/>
    <w:rsid w:val="0070211B"/>
    <w:rsid w:val="0070340F"/>
    <w:rsid w:val="007043FB"/>
    <w:rsid w:val="00711452"/>
    <w:rsid w:val="00713AB2"/>
    <w:rsid w:val="0071562D"/>
    <w:rsid w:val="00716DE0"/>
    <w:rsid w:val="00724859"/>
    <w:rsid w:val="007251A2"/>
    <w:rsid w:val="00725927"/>
    <w:rsid w:val="007335A9"/>
    <w:rsid w:val="007338E6"/>
    <w:rsid w:val="00735292"/>
    <w:rsid w:val="00737FD6"/>
    <w:rsid w:val="00740F19"/>
    <w:rsid w:val="00742444"/>
    <w:rsid w:val="00743222"/>
    <w:rsid w:val="0074695F"/>
    <w:rsid w:val="00746A87"/>
    <w:rsid w:val="00754053"/>
    <w:rsid w:val="0075421A"/>
    <w:rsid w:val="0075472D"/>
    <w:rsid w:val="00757946"/>
    <w:rsid w:val="00762BFE"/>
    <w:rsid w:val="007635D1"/>
    <w:rsid w:val="00763BD7"/>
    <w:rsid w:val="00763E7A"/>
    <w:rsid w:val="007644BC"/>
    <w:rsid w:val="00764857"/>
    <w:rsid w:val="00764F8B"/>
    <w:rsid w:val="00770955"/>
    <w:rsid w:val="00771143"/>
    <w:rsid w:val="0077187C"/>
    <w:rsid w:val="00772E54"/>
    <w:rsid w:val="00773971"/>
    <w:rsid w:val="007755F5"/>
    <w:rsid w:val="0078141A"/>
    <w:rsid w:val="00783E1A"/>
    <w:rsid w:val="00784929"/>
    <w:rsid w:val="0078597F"/>
    <w:rsid w:val="00787175"/>
    <w:rsid w:val="00792985"/>
    <w:rsid w:val="007929B5"/>
    <w:rsid w:val="00792BF7"/>
    <w:rsid w:val="00792F90"/>
    <w:rsid w:val="00794857"/>
    <w:rsid w:val="0079664E"/>
    <w:rsid w:val="00797CA6"/>
    <w:rsid w:val="007A04E2"/>
    <w:rsid w:val="007A06E9"/>
    <w:rsid w:val="007A1448"/>
    <w:rsid w:val="007A1BBB"/>
    <w:rsid w:val="007A276C"/>
    <w:rsid w:val="007B4395"/>
    <w:rsid w:val="007C1FDB"/>
    <w:rsid w:val="007C287F"/>
    <w:rsid w:val="007C2DC5"/>
    <w:rsid w:val="007D0B8B"/>
    <w:rsid w:val="007D0D15"/>
    <w:rsid w:val="007D3AE2"/>
    <w:rsid w:val="007D47D1"/>
    <w:rsid w:val="007D4C53"/>
    <w:rsid w:val="007D6643"/>
    <w:rsid w:val="007D6C6B"/>
    <w:rsid w:val="007D797D"/>
    <w:rsid w:val="007D7FBA"/>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347"/>
    <w:rsid w:val="00816E42"/>
    <w:rsid w:val="008173CA"/>
    <w:rsid w:val="00817FED"/>
    <w:rsid w:val="00821380"/>
    <w:rsid w:val="00822687"/>
    <w:rsid w:val="00825B58"/>
    <w:rsid w:val="00826120"/>
    <w:rsid w:val="0083012C"/>
    <w:rsid w:val="0083041B"/>
    <w:rsid w:val="008305D7"/>
    <w:rsid w:val="008313BF"/>
    <w:rsid w:val="00832036"/>
    <w:rsid w:val="008333BF"/>
    <w:rsid w:val="0083364B"/>
    <w:rsid w:val="008339A7"/>
    <w:rsid w:val="00833DC9"/>
    <w:rsid w:val="00834168"/>
    <w:rsid w:val="00834F0F"/>
    <w:rsid w:val="00836AEB"/>
    <w:rsid w:val="00837B25"/>
    <w:rsid w:val="0084110B"/>
    <w:rsid w:val="00846490"/>
    <w:rsid w:val="00846603"/>
    <w:rsid w:val="008479C0"/>
    <w:rsid w:val="00851718"/>
    <w:rsid w:val="008543A8"/>
    <w:rsid w:val="008548CB"/>
    <w:rsid w:val="00854BAD"/>
    <w:rsid w:val="00856887"/>
    <w:rsid w:val="0085752D"/>
    <w:rsid w:val="00863134"/>
    <w:rsid w:val="008676A6"/>
    <w:rsid w:val="008708CA"/>
    <w:rsid w:val="00872410"/>
    <w:rsid w:val="008748F2"/>
    <w:rsid w:val="00876232"/>
    <w:rsid w:val="008762B8"/>
    <w:rsid w:val="00876FE2"/>
    <w:rsid w:val="00877396"/>
    <w:rsid w:val="008775C0"/>
    <w:rsid w:val="008814C2"/>
    <w:rsid w:val="00883AD3"/>
    <w:rsid w:val="00883EDC"/>
    <w:rsid w:val="0088563D"/>
    <w:rsid w:val="00886211"/>
    <w:rsid w:val="00886FD6"/>
    <w:rsid w:val="00892344"/>
    <w:rsid w:val="00892AA8"/>
    <w:rsid w:val="008956F5"/>
    <w:rsid w:val="00895776"/>
    <w:rsid w:val="00895961"/>
    <w:rsid w:val="0089661B"/>
    <w:rsid w:val="008A24EB"/>
    <w:rsid w:val="008A4D2A"/>
    <w:rsid w:val="008A5671"/>
    <w:rsid w:val="008A6198"/>
    <w:rsid w:val="008A78EE"/>
    <w:rsid w:val="008B1B9D"/>
    <w:rsid w:val="008B2A57"/>
    <w:rsid w:val="008B30AB"/>
    <w:rsid w:val="008B3958"/>
    <w:rsid w:val="008B4145"/>
    <w:rsid w:val="008B54A7"/>
    <w:rsid w:val="008C121C"/>
    <w:rsid w:val="008C1D30"/>
    <w:rsid w:val="008C2F75"/>
    <w:rsid w:val="008C3BDB"/>
    <w:rsid w:val="008C3DAE"/>
    <w:rsid w:val="008C4917"/>
    <w:rsid w:val="008C6AC3"/>
    <w:rsid w:val="008D03F2"/>
    <w:rsid w:val="008D186B"/>
    <w:rsid w:val="008D2F8B"/>
    <w:rsid w:val="008D3327"/>
    <w:rsid w:val="008D4441"/>
    <w:rsid w:val="008D4727"/>
    <w:rsid w:val="008D5CDA"/>
    <w:rsid w:val="008D5E28"/>
    <w:rsid w:val="008D6D14"/>
    <w:rsid w:val="008D75CF"/>
    <w:rsid w:val="008D7606"/>
    <w:rsid w:val="008D7D0B"/>
    <w:rsid w:val="008E42BC"/>
    <w:rsid w:val="008E511A"/>
    <w:rsid w:val="008E64FB"/>
    <w:rsid w:val="008E6852"/>
    <w:rsid w:val="008E7EB4"/>
    <w:rsid w:val="008F09E1"/>
    <w:rsid w:val="008F21CF"/>
    <w:rsid w:val="008F2B54"/>
    <w:rsid w:val="008F30A1"/>
    <w:rsid w:val="008F6FF7"/>
    <w:rsid w:val="0090103B"/>
    <w:rsid w:val="00903548"/>
    <w:rsid w:val="00904151"/>
    <w:rsid w:val="009078A7"/>
    <w:rsid w:val="00907A4B"/>
    <w:rsid w:val="00910DB7"/>
    <w:rsid w:val="00911B80"/>
    <w:rsid w:val="00911F90"/>
    <w:rsid w:val="0091294B"/>
    <w:rsid w:val="00913748"/>
    <w:rsid w:val="009153B6"/>
    <w:rsid w:val="0091559C"/>
    <w:rsid w:val="00915F6F"/>
    <w:rsid w:val="009160F7"/>
    <w:rsid w:val="00920A74"/>
    <w:rsid w:val="009212E1"/>
    <w:rsid w:val="00921A89"/>
    <w:rsid w:val="00922908"/>
    <w:rsid w:val="00922BBB"/>
    <w:rsid w:val="00924138"/>
    <w:rsid w:val="00924597"/>
    <w:rsid w:val="009262D1"/>
    <w:rsid w:val="00926ACB"/>
    <w:rsid w:val="00931518"/>
    <w:rsid w:val="00937616"/>
    <w:rsid w:val="00940D04"/>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7B8"/>
    <w:rsid w:val="009A3A3E"/>
    <w:rsid w:val="009A7439"/>
    <w:rsid w:val="009B0179"/>
    <w:rsid w:val="009B05E9"/>
    <w:rsid w:val="009B195D"/>
    <w:rsid w:val="009B26C3"/>
    <w:rsid w:val="009B444E"/>
    <w:rsid w:val="009B4905"/>
    <w:rsid w:val="009B4E98"/>
    <w:rsid w:val="009B6239"/>
    <w:rsid w:val="009B62D2"/>
    <w:rsid w:val="009B6FA5"/>
    <w:rsid w:val="009B7A66"/>
    <w:rsid w:val="009C1C62"/>
    <w:rsid w:val="009C2699"/>
    <w:rsid w:val="009C2AEE"/>
    <w:rsid w:val="009C3393"/>
    <w:rsid w:val="009C4917"/>
    <w:rsid w:val="009D0ECD"/>
    <w:rsid w:val="009D4A9A"/>
    <w:rsid w:val="009D4C31"/>
    <w:rsid w:val="009D4F23"/>
    <w:rsid w:val="009D6243"/>
    <w:rsid w:val="009E1300"/>
    <w:rsid w:val="009E1EEC"/>
    <w:rsid w:val="009E32F3"/>
    <w:rsid w:val="009E38CA"/>
    <w:rsid w:val="009E3B2B"/>
    <w:rsid w:val="009E3F3B"/>
    <w:rsid w:val="009E4A1E"/>
    <w:rsid w:val="009F0A26"/>
    <w:rsid w:val="009F1A8D"/>
    <w:rsid w:val="00A02C46"/>
    <w:rsid w:val="00A03100"/>
    <w:rsid w:val="00A03244"/>
    <w:rsid w:val="00A03890"/>
    <w:rsid w:val="00A05022"/>
    <w:rsid w:val="00A05CFA"/>
    <w:rsid w:val="00A05E6F"/>
    <w:rsid w:val="00A066FA"/>
    <w:rsid w:val="00A10F38"/>
    <w:rsid w:val="00A10F82"/>
    <w:rsid w:val="00A125D4"/>
    <w:rsid w:val="00A1309B"/>
    <w:rsid w:val="00A1358E"/>
    <w:rsid w:val="00A1461E"/>
    <w:rsid w:val="00A14981"/>
    <w:rsid w:val="00A154A4"/>
    <w:rsid w:val="00A2089E"/>
    <w:rsid w:val="00A20DDD"/>
    <w:rsid w:val="00A20FBD"/>
    <w:rsid w:val="00A2119C"/>
    <w:rsid w:val="00A213AA"/>
    <w:rsid w:val="00A2241D"/>
    <w:rsid w:val="00A22B18"/>
    <w:rsid w:val="00A252C6"/>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54EE4"/>
    <w:rsid w:val="00A6013E"/>
    <w:rsid w:val="00A61B14"/>
    <w:rsid w:val="00A61BF4"/>
    <w:rsid w:val="00A62554"/>
    <w:rsid w:val="00A64257"/>
    <w:rsid w:val="00A64DF1"/>
    <w:rsid w:val="00A651C2"/>
    <w:rsid w:val="00A659A5"/>
    <w:rsid w:val="00A73531"/>
    <w:rsid w:val="00A749D3"/>
    <w:rsid w:val="00A752FD"/>
    <w:rsid w:val="00A77574"/>
    <w:rsid w:val="00A80532"/>
    <w:rsid w:val="00A813B9"/>
    <w:rsid w:val="00A843E7"/>
    <w:rsid w:val="00A8711C"/>
    <w:rsid w:val="00A87ADE"/>
    <w:rsid w:val="00A9433C"/>
    <w:rsid w:val="00A96C5C"/>
    <w:rsid w:val="00AA000E"/>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2ED9"/>
    <w:rsid w:val="00AC537E"/>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1684B"/>
    <w:rsid w:val="00B203D2"/>
    <w:rsid w:val="00B21912"/>
    <w:rsid w:val="00B22D1B"/>
    <w:rsid w:val="00B27283"/>
    <w:rsid w:val="00B279AE"/>
    <w:rsid w:val="00B30D34"/>
    <w:rsid w:val="00B32B90"/>
    <w:rsid w:val="00B3302D"/>
    <w:rsid w:val="00B348EF"/>
    <w:rsid w:val="00B36F46"/>
    <w:rsid w:val="00B410F0"/>
    <w:rsid w:val="00B43C31"/>
    <w:rsid w:val="00B44178"/>
    <w:rsid w:val="00B46982"/>
    <w:rsid w:val="00B52679"/>
    <w:rsid w:val="00B538F2"/>
    <w:rsid w:val="00B53FA7"/>
    <w:rsid w:val="00B54F87"/>
    <w:rsid w:val="00B552E6"/>
    <w:rsid w:val="00B553BE"/>
    <w:rsid w:val="00B637DB"/>
    <w:rsid w:val="00B65003"/>
    <w:rsid w:val="00B65EE5"/>
    <w:rsid w:val="00B6670A"/>
    <w:rsid w:val="00B71542"/>
    <w:rsid w:val="00B73659"/>
    <w:rsid w:val="00B74946"/>
    <w:rsid w:val="00B75FB4"/>
    <w:rsid w:val="00B76F86"/>
    <w:rsid w:val="00B80DF7"/>
    <w:rsid w:val="00B810C3"/>
    <w:rsid w:val="00B81529"/>
    <w:rsid w:val="00B87905"/>
    <w:rsid w:val="00B912CD"/>
    <w:rsid w:val="00B922C4"/>
    <w:rsid w:val="00B92435"/>
    <w:rsid w:val="00B93155"/>
    <w:rsid w:val="00BA19CD"/>
    <w:rsid w:val="00BA4095"/>
    <w:rsid w:val="00BA57B1"/>
    <w:rsid w:val="00BA6AF1"/>
    <w:rsid w:val="00BB2599"/>
    <w:rsid w:val="00BB2C75"/>
    <w:rsid w:val="00BB3155"/>
    <w:rsid w:val="00BC2FFD"/>
    <w:rsid w:val="00BC445E"/>
    <w:rsid w:val="00BD2863"/>
    <w:rsid w:val="00BD3929"/>
    <w:rsid w:val="00BD7B21"/>
    <w:rsid w:val="00BE0B91"/>
    <w:rsid w:val="00BE0E22"/>
    <w:rsid w:val="00BE6C68"/>
    <w:rsid w:val="00BE7661"/>
    <w:rsid w:val="00BE7810"/>
    <w:rsid w:val="00BF0569"/>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5216"/>
    <w:rsid w:val="00C373F2"/>
    <w:rsid w:val="00C37CA7"/>
    <w:rsid w:val="00C37FC1"/>
    <w:rsid w:val="00C403CE"/>
    <w:rsid w:val="00C434B8"/>
    <w:rsid w:val="00C44CE3"/>
    <w:rsid w:val="00C46A10"/>
    <w:rsid w:val="00C51869"/>
    <w:rsid w:val="00C5216A"/>
    <w:rsid w:val="00C52205"/>
    <w:rsid w:val="00C577A3"/>
    <w:rsid w:val="00C640C0"/>
    <w:rsid w:val="00C64E9F"/>
    <w:rsid w:val="00C65187"/>
    <w:rsid w:val="00C6768D"/>
    <w:rsid w:val="00C70B21"/>
    <w:rsid w:val="00C73DAF"/>
    <w:rsid w:val="00C76555"/>
    <w:rsid w:val="00C76F57"/>
    <w:rsid w:val="00C82252"/>
    <w:rsid w:val="00C84817"/>
    <w:rsid w:val="00C860E9"/>
    <w:rsid w:val="00C87548"/>
    <w:rsid w:val="00C90A94"/>
    <w:rsid w:val="00C91BD8"/>
    <w:rsid w:val="00C91C8B"/>
    <w:rsid w:val="00C9295A"/>
    <w:rsid w:val="00C93428"/>
    <w:rsid w:val="00C936FC"/>
    <w:rsid w:val="00C93CEB"/>
    <w:rsid w:val="00C94C8A"/>
    <w:rsid w:val="00C95736"/>
    <w:rsid w:val="00C95CF9"/>
    <w:rsid w:val="00C95EE9"/>
    <w:rsid w:val="00CA2E81"/>
    <w:rsid w:val="00CA3998"/>
    <w:rsid w:val="00CA4366"/>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6E"/>
    <w:rsid w:val="00CE7FFC"/>
    <w:rsid w:val="00CF283C"/>
    <w:rsid w:val="00CF4FD7"/>
    <w:rsid w:val="00D0044C"/>
    <w:rsid w:val="00D01CA9"/>
    <w:rsid w:val="00D0576F"/>
    <w:rsid w:val="00D05D0C"/>
    <w:rsid w:val="00D06CB8"/>
    <w:rsid w:val="00D115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62DC6"/>
    <w:rsid w:val="00D62EA1"/>
    <w:rsid w:val="00D726AB"/>
    <w:rsid w:val="00D7409D"/>
    <w:rsid w:val="00D745FE"/>
    <w:rsid w:val="00D76682"/>
    <w:rsid w:val="00D77616"/>
    <w:rsid w:val="00D82F2A"/>
    <w:rsid w:val="00D843E4"/>
    <w:rsid w:val="00D87AC1"/>
    <w:rsid w:val="00D964FB"/>
    <w:rsid w:val="00D975BB"/>
    <w:rsid w:val="00D9767C"/>
    <w:rsid w:val="00DA12F7"/>
    <w:rsid w:val="00DA2E53"/>
    <w:rsid w:val="00DA38F2"/>
    <w:rsid w:val="00DA6AC1"/>
    <w:rsid w:val="00DA6DC2"/>
    <w:rsid w:val="00DA746D"/>
    <w:rsid w:val="00DB1926"/>
    <w:rsid w:val="00DB1CD1"/>
    <w:rsid w:val="00DB294F"/>
    <w:rsid w:val="00DB3A43"/>
    <w:rsid w:val="00DB3F21"/>
    <w:rsid w:val="00DB4005"/>
    <w:rsid w:val="00DB4B21"/>
    <w:rsid w:val="00DC31D6"/>
    <w:rsid w:val="00DC70A9"/>
    <w:rsid w:val="00DC71C0"/>
    <w:rsid w:val="00DC7588"/>
    <w:rsid w:val="00DC785A"/>
    <w:rsid w:val="00DD01D7"/>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3E4E"/>
    <w:rsid w:val="00E24D2F"/>
    <w:rsid w:val="00E27083"/>
    <w:rsid w:val="00E27D26"/>
    <w:rsid w:val="00E30A2D"/>
    <w:rsid w:val="00E334E6"/>
    <w:rsid w:val="00E413D2"/>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AD2"/>
    <w:rsid w:val="00E71C5C"/>
    <w:rsid w:val="00E73E24"/>
    <w:rsid w:val="00E764AB"/>
    <w:rsid w:val="00E80132"/>
    <w:rsid w:val="00E80341"/>
    <w:rsid w:val="00E8089E"/>
    <w:rsid w:val="00E8169E"/>
    <w:rsid w:val="00E8187D"/>
    <w:rsid w:val="00E837AA"/>
    <w:rsid w:val="00E84F11"/>
    <w:rsid w:val="00E905A4"/>
    <w:rsid w:val="00E9373B"/>
    <w:rsid w:val="00E93EB5"/>
    <w:rsid w:val="00E952BB"/>
    <w:rsid w:val="00EA36BD"/>
    <w:rsid w:val="00EA389C"/>
    <w:rsid w:val="00EA3DB6"/>
    <w:rsid w:val="00EA4EA8"/>
    <w:rsid w:val="00EB0F75"/>
    <w:rsid w:val="00EB1C3F"/>
    <w:rsid w:val="00EB56E4"/>
    <w:rsid w:val="00EC5BB8"/>
    <w:rsid w:val="00ED232C"/>
    <w:rsid w:val="00ED4BF7"/>
    <w:rsid w:val="00ED7B07"/>
    <w:rsid w:val="00EE1A3A"/>
    <w:rsid w:val="00EE2FE2"/>
    <w:rsid w:val="00EE5261"/>
    <w:rsid w:val="00EE659F"/>
    <w:rsid w:val="00EE713E"/>
    <w:rsid w:val="00EF09E0"/>
    <w:rsid w:val="00EF146C"/>
    <w:rsid w:val="00EF380B"/>
    <w:rsid w:val="00EF3BB2"/>
    <w:rsid w:val="00EF69F8"/>
    <w:rsid w:val="00EF6A7F"/>
    <w:rsid w:val="00F02A57"/>
    <w:rsid w:val="00F074B1"/>
    <w:rsid w:val="00F141C0"/>
    <w:rsid w:val="00F14FA7"/>
    <w:rsid w:val="00F14FB8"/>
    <w:rsid w:val="00F224C7"/>
    <w:rsid w:val="00F2404C"/>
    <w:rsid w:val="00F265BA"/>
    <w:rsid w:val="00F278B8"/>
    <w:rsid w:val="00F32D01"/>
    <w:rsid w:val="00F34643"/>
    <w:rsid w:val="00F34FB1"/>
    <w:rsid w:val="00F36B1B"/>
    <w:rsid w:val="00F44107"/>
    <w:rsid w:val="00F44969"/>
    <w:rsid w:val="00F44C14"/>
    <w:rsid w:val="00F44EA1"/>
    <w:rsid w:val="00F46A0E"/>
    <w:rsid w:val="00F53868"/>
    <w:rsid w:val="00F56B63"/>
    <w:rsid w:val="00F57606"/>
    <w:rsid w:val="00F605E6"/>
    <w:rsid w:val="00F6120B"/>
    <w:rsid w:val="00F6305E"/>
    <w:rsid w:val="00F71C6F"/>
    <w:rsid w:val="00F7236D"/>
    <w:rsid w:val="00F725A8"/>
    <w:rsid w:val="00F73016"/>
    <w:rsid w:val="00F75EB2"/>
    <w:rsid w:val="00F7614B"/>
    <w:rsid w:val="00F77985"/>
    <w:rsid w:val="00F823BB"/>
    <w:rsid w:val="00F825C4"/>
    <w:rsid w:val="00F8302E"/>
    <w:rsid w:val="00F83E3E"/>
    <w:rsid w:val="00F84910"/>
    <w:rsid w:val="00F85CC0"/>
    <w:rsid w:val="00F87EB4"/>
    <w:rsid w:val="00F930DE"/>
    <w:rsid w:val="00F935DA"/>
    <w:rsid w:val="00F954B4"/>
    <w:rsid w:val="00F960AD"/>
    <w:rsid w:val="00F978F4"/>
    <w:rsid w:val="00FA08E6"/>
    <w:rsid w:val="00FA15AF"/>
    <w:rsid w:val="00FA306E"/>
    <w:rsid w:val="00FA32E4"/>
    <w:rsid w:val="00FA5956"/>
    <w:rsid w:val="00FA6AA0"/>
    <w:rsid w:val="00FB0378"/>
    <w:rsid w:val="00FB3672"/>
    <w:rsid w:val="00FB3F72"/>
    <w:rsid w:val="00FB59B8"/>
    <w:rsid w:val="00FC0A36"/>
    <w:rsid w:val="00FC30A2"/>
    <w:rsid w:val="00FC4AA5"/>
    <w:rsid w:val="00FC66A4"/>
    <w:rsid w:val="00FD3A8D"/>
    <w:rsid w:val="00FD6188"/>
    <w:rsid w:val="00FD6A5F"/>
    <w:rsid w:val="00FD794D"/>
    <w:rsid w:val="00FE07B4"/>
    <w:rsid w:val="00FE44F2"/>
    <w:rsid w:val="00FE5243"/>
    <w:rsid w:val="00FE65E0"/>
    <w:rsid w:val="00FE6E1E"/>
    <w:rsid w:val="00FE7EA2"/>
    <w:rsid w:val="00FF0313"/>
    <w:rsid w:val="00FF0842"/>
    <w:rsid w:val="00FF424F"/>
    <w:rsid w:val="01361930"/>
    <w:rsid w:val="013C0383"/>
    <w:rsid w:val="047CF8BE"/>
    <w:rsid w:val="057FEFB9"/>
    <w:rsid w:val="078299D8"/>
    <w:rsid w:val="0860D46D"/>
    <w:rsid w:val="090AC2AB"/>
    <w:rsid w:val="0917B7A1"/>
    <w:rsid w:val="099B9DB5"/>
    <w:rsid w:val="0B5A79CE"/>
    <w:rsid w:val="0E1003AA"/>
    <w:rsid w:val="0F49278A"/>
    <w:rsid w:val="0F7F3E3A"/>
    <w:rsid w:val="0FB2E705"/>
    <w:rsid w:val="109F867C"/>
    <w:rsid w:val="10C656D9"/>
    <w:rsid w:val="11F2484C"/>
    <w:rsid w:val="12A0A1A3"/>
    <w:rsid w:val="15C10A53"/>
    <w:rsid w:val="1669373E"/>
    <w:rsid w:val="1A343DBC"/>
    <w:rsid w:val="1B654422"/>
    <w:rsid w:val="1C3A3F04"/>
    <w:rsid w:val="1C3C834B"/>
    <w:rsid w:val="1D13EDE0"/>
    <w:rsid w:val="1F6DA9CB"/>
    <w:rsid w:val="1F8E7E8D"/>
    <w:rsid w:val="1FE7811E"/>
    <w:rsid w:val="21743AAC"/>
    <w:rsid w:val="21BB4AB9"/>
    <w:rsid w:val="224D35D0"/>
    <w:rsid w:val="266F42EE"/>
    <w:rsid w:val="268CAC50"/>
    <w:rsid w:val="26AF848E"/>
    <w:rsid w:val="27AA46DC"/>
    <w:rsid w:val="27B23DA9"/>
    <w:rsid w:val="27ED55F6"/>
    <w:rsid w:val="2C9BF166"/>
    <w:rsid w:val="2CFA2530"/>
    <w:rsid w:val="2D100A98"/>
    <w:rsid w:val="2ED4452D"/>
    <w:rsid w:val="2FF214C3"/>
    <w:rsid w:val="307F1DCF"/>
    <w:rsid w:val="30B0DBEC"/>
    <w:rsid w:val="320850A1"/>
    <w:rsid w:val="32B499CB"/>
    <w:rsid w:val="342A898A"/>
    <w:rsid w:val="3442771A"/>
    <w:rsid w:val="34725035"/>
    <w:rsid w:val="35E81C5A"/>
    <w:rsid w:val="36404825"/>
    <w:rsid w:val="37688D89"/>
    <w:rsid w:val="381EA634"/>
    <w:rsid w:val="38CAA7CC"/>
    <w:rsid w:val="3B10A87D"/>
    <w:rsid w:val="3EF30CA7"/>
    <w:rsid w:val="406ECA79"/>
    <w:rsid w:val="42D2DC2C"/>
    <w:rsid w:val="44C99BCE"/>
    <w:rsid w:val="451A4B2C"/>
    <w:rsid w:val="46670375"/>
    <w:rsid w:val="4757A436"/>
    <w:rsid w:val="47AC82E7"/>
    <w:rsid w:val="49EEEB48"/>
    <w:rsid w:val="4A3A10ED"/>
    <w:rsid w:val="4AF6DD72"/>
    <w:rsid w:val="4B9C1818"/>
    <w:rsid w:val="4C2AE763"/>
    <w:rsid w:val="4CD7B17D"/>
    <w:rsid w:val="4D59EADA"/>
    <w:rsid w:val="4F4EA054"/>
    <w:rsid w:val="4FE02DEE"/>
    <w:rsid w:val="50C26269"/>
    <w:rsid w:val="512F225B"/>
    <w:rsid w:val="51A4535A"/>
    <w:rsid w:val="522FDC35"/>
    <w:rsid w:val="530D10C9"/>
    <w:rsid w:val="538D8BB5"/>
    <w:rsid w:val="547EB6FE"/>
    <w:rsid w:val="551A6F10"/>
    <w:rsid w:val="5620D3D2"/>
    <w:rsid w:val="5692B083"/>
    <w:rsid w:val="56DD2639"/>
    <w:rsid w:val="59A7F5D6"/>
    <w:rsid w:val="5A189956"/>
    <w:rsid w:val="5A48BA8E"/>
    <w:rsid w:val="5AA5B49E"/>
    <w:rsid w:val="5ED76772"/>
    <w:rsid w:val="6014429F"/>
    <w:rsid w:val="60F61C95"/>
    <w:rsid w:val="6473F2B6"/>
    <w:rsid w:val="652A8C02"/>
    <w:rsid w:val="660A24C1"/>
    <w:rsid w:val="679B754C"/>
    <w:rsid w:val="6ABEB2D6"/>
    <w:rsid w:val="6AC33F91"/>
    <w:rsid w:val="6BC28419"/>
    <w:rsid w:val="6C8EF79E"/>
    <w:rsid w:val="6D86777E"/>
    <w:rsid w:val="6D8B1CA6"/>
    <w:rsid w:val="6DA25D34"/>
    <w:rsid w:val="6F4C7754"/>
    <w:rsid w:val="700CF36B"/>
    <w:rsid w:val="704C1ACE"/>
    <w:rsid w:val="70766480"/>
    <w:rsid w:val="72447DB3"/>
    <w:rsid w:val="72A70FEB"/>
    <w:rsid w:val="7973E3A2"/>
    <w:rsid w:val="79760ED1"/>
    <w:rsid w:val="7B3BCC94"/>
    <w:rsid w:val="7D0C53AE"/>
    <w:rsid w:val="7D55581B"/>
    <w:rsid w:val="7DF6D5D1"/>
    <w:rsid w:val="7F4653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D8"/>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7D7FB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D7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7D7FB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7D7FBA"/>
    <w:pPr>
      <w:spacing w:before="200"/>
      <w:outlineLvl w:val="3"/>
    </w:pPr>
    <w:rPr>
      <w:rFonts w:ascii="Cambria" w:hAnsi="Cambria"/>
      <w:b/>
      <w:bCs/>
      <w:i/>
      <w:iCs/>
    </w:rPr>
  </w:style>
  <w:style w:type="paragraph" w:styleId="Heading5">
    <w:name w:val="heading 5"/>
    <w:basedOn w:val="Normal"/>
    <w:next w:val="Normal"/>
    <w:link w:val="Heading5Char"/>
    <w:uiPriority w:val="9"/>
    <w:qFormat/>
    <w:rsid w:val="007D7FB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7D7FB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D7FBA"/>
    <w:pPr>
      <w:outlineLvl w:val="6"/>
    </w:pPr>
    <w:rPr>
      <w:rFonts w:ascii="Cambria" w:hAnsi="Cambria"/>
      <w:i/>
      <w:iCs/>
    </w:rPr>
  </w:style>
  <w:style w:type="paragraph" w:styleId="Heading8">
    <w:name w:val="heading 8"/>
    <w:basedOn w:val="Normal"/>
    <w:next w:val="Normal"/>
    <w:link w:val="Heading8Char"/>
    <w:uiPriority w:val="9"/>
    <w:qFormat/>
    <w:rsid w:val="007D7FBA"/>
    <w:pPr>
      <w:outlineLvl w:val="7"/>
    </w:pPr>
    <w:rPr>
      <w:rFonts w:ascii="Cambria" w:hAnsi="Cambria"/>
    </w:rPr>
  </w:style>
  <w:style w:type="paragraph" w:styleId="Heading9">
    <w:name w:val="heading 9"/>
    <w:basedOn w:val="Normal"/>
    <w:next w:val="Normal"/>
    <w:link w:val="Heading9Char"/>
    <w:uiPriority w:val="9"/>
    <w:qFormat/>
    <w:rsid w:val="007D7FBA"/>
    <w:pPr>
      <w:outlineLvl w:val="8"/>
    </w:pPr>
    <w:rPr>
      <w:rFonts w:ascii="Cambria" w:hAnsi="Cambria"/>
      <w:i/>
      <w:iCs/>
      <w:spacing w:val="5"/>
    </w:rPr>
  </w:style>
  <w:style w:type="character" w:default="1" w:styleId="DefaultParagraphFont">
    <w:name w:val="Default Paragraph Font"/>
    <w:uiPriority w:val="1"/>
    <w:semiHidden/>
    <w:unhideWhenUsed/>
    <w:rsid w:val="003968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68D8"/>
  </w:style>
  <w:style w:type="paragraph" w:customStyle="1" w:styleId="NICEnormal">
    <w:name w:val="NICE normal"/>
    <w:rsid w:val="007D7FBA"/>
    <w:pPr>
      <w:spacing w:after="240" w:line="360" w:lineRule="auto"/>
    </w:pPr>
    <w:rPr>
      <w:rFonts w:ascii="Arial" w:eastAsia="Times New Roman" w:hAnsi="Arial"/>
      <w:lang w:val="en-US" w:eastAsia="en-US"/>
    </w:rPr>
  </w:style>
  <w:style w:type="character" w:customStyle="1" w:styleId="NICEnormalChar">
    <w:name w:val="NICE normal Char"/>
    <w:rsid w:val="007D7FBA"/>
    <w:rPr>
      <w:rFonts w:ascii="Arial" w:eastAsia="Times New Roman" w:hAnsi="Arial"/>
      <w:sz w:val="24"/>
      <w:szCs w:val="24"/>
      <w:lang w:val="en-GB" w:eastAsia="en-US" w:bidi="ar-SA"/>
    </w:rPr>
  </w:style>
  <w:style w:type="character" w:customStyle="1" w:styleId="Heading1Char">
    <w:name w:val="Heading 1 Char"/>
    <w:link w:val="Heading1"/>
    <w:uiPriority w:val="1"/>
    <w:rsid w:val="007D7FBA"/>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7D7FB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7D7FBA"/>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7D7FBA"/>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7D7FBA"/>
    <w:pPr>
      <w:ind w:left="720"/>
      <w:contextualSpacing/>
    </w:pPr>
    <w:rPr>
      <w:rFonts w:eastAsia="Calibri"/>
    </w:rPr>
  </w:style>
  <w:style w:type="character" w:styleId="Hyperlink">
    <w:name w:val="Hyperlink"/>
    <w:uiPriority w:val="99"/>
    <w:rsid w:val="007D7FBA"/>
    <w:rPr>
      <w:color w:val="0000FF"/>
      <w:u w:val="single"/>
    </w:rPr>
  </w:style>
  <w:style w:type="paragraph" w:styleId="Header">
    <w:name w:val="header"/>
    <w:basedOn w:val="Normal"/>
    <w:link w:val="HeaderChar"/>
    <w:uiPriority w:val="99"/>
    <w:rsid w:val="007D7FBA"/>
    <w:pPr>
      <w:tabs>
        <w:tab w:val="center" w:pos="4513"/>
        <w:tab w:val="right" w:pos="9026"/>
      </w:tabs>
    </w:pPr>
    <w:rPr>
      <w:rFonts w:ascii="Arial" w:hAnsi="Arial"/>
    </w:rPr>
  </w:style>
  <w:style w:type="paragraph" w:customStyle="1" w:styleId="NICEnormaldoublespacing">
    <w:name w:val="NICE normal double spacing"/>
    <w:basedOn w:val="NICEnormal"/>
    <w:rsid w:val="007D7FBA"/>
  </w:style>
  <w:style w:type="character" w:customStyle="1" w:styleId="HeaderChar">
    <w:name w:val="Header Char"/>
    <w:link w:val="Header"/>
    <w:uiPriority w:val="99"/>
    <w:rsid w:val="007D7FBA"/>
    <w:rPr>
      <w:rFonts w:ascii="Arial" w:eastAsiaTheme="minorHAnsi" w:hAnsi="Arial"/>
      <w:kern w:val="2"/>
      <w:lang w:eastAsia="en-US"/>
      <w14:ligatures w14:val="standardContextual"/>
    </w:rPr>
  </w:style>
  <w:style w:type="paragraph" w:styleId="Footer">
    <w:name w:val="footer"/>
    <w:basedOn w:val="Normal"/>
    <w:link w:val="FooterChar"/>
    <w:uiPriority w:val="99"/>
    <w:rsid w:val="007D7FBA"/>
    <w:pPr>
      <w:tabs>
        <w:tab w:val="center" w:pos="4513"/>
        <w:tab w:val="right" w:pos="9026"/>
      </w:tabs>
    </w:pPr>
    <w:rPr>
      <w:rFonts w:ascii="Arial" w:hAnsi="Arial"/>
    </w:rPr>
  </w:style>
  <w:style w:type="character" w:customStyle="1" w:styleId="FooterChar">
    <w:name w:val="Footer Char"/>
    <w:link w:val="Footer"/>
    <w:uiPriority w:val="99"/>
    <w:rsid w:val="007D7FBA"/>
    <w:rPr>
      <w:rFonts w:ascii="Arial" w:eastAsiaTheme="minorHAnsi" w:hAnsi="Arial"/>
      <w:kern w:val="2"/>
      <w:lang w:eastAsia="en-US"/>
      <w14:ligatures w14:val="standardContextual"/>
    </w:rPr>
  </w:style>
  <w:style w:type="paragraph" w:customStyle="1" w:styleId="Style1">
    <w:name w:val="Style1"/>
    <w:basedOn w:val="Normal"/>
    <w:autoRedefine/>
    <w:rsid w:val="007D7FBA"/>
    <w:pPr>
      <w:keepNext/>
      <w:spacing w:line="360" w:lineRule="auto"/>
      <w:ind w:left="567"/>
    </w:pPr>
    <w:rPr>
      <w:rFonts w:ascii="Arial" w:hAnsi="Arial" w:cs="Arial"/>
      <w:szCs w:val="16"/>
    </w:rPr>
  </w:style>
  <w:style w:type="paragraph" w:customStyle="1" w:styleId="Unnumberedboldheading">
    <w:name w:val="Unnumbered bold heading"/>
    <w:next w:val="NICEnormal"/>
    <w:rsid w:val="007D7FBA"/>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7D7FBA"/>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7D7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FBA"/>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7D7FBA"/>
  </w:style>
  <w:style w:type="paragraph" w:customStyle="1" w:styleId="Introtext">
    <w:name w:val="Intro text"/>
    <w:basedOn w:val="PGDNormal"/>
    <w:rsid w:val="007D7FBA"/>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D7FBA"/>
    <w:pPr>
      <w:tabs>
        <w:tab w:val="num" w:pos="360"/>
      </w:tabs>
    </w:pPr>
    <w:rPr>
      <w:szCs w:val="24"/>
    </w:rPr>
  </w:style>
  <w:style w:type="character" w:customStyle="1" w:styleId="Numberedheading1CharChar">
    <w:name w:val="Numbered heading 1 Char Char"/>
    <w:link w:val="Numberedheading1"/>
    <w:rsid w:val="007D7FBA"/>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7D7FBA"/>
    <w:pPr>
      <w:tabs>
        <w:tab w:val="num" w:pos="360"/>
      </w:tabs>
    </w:pPr>
  </w:style>
  <w:style w:type="character" w:customStyle="1" w:styleId="Numberedheading2Char">
    <w:name w:val="Numbered heading 2 Char"/>
    <w:basedOn w:val="Heading2Char"/>
    <w:link w:val="Numberedheading2"/>
    <w:rsid w:val="007D7FBA"/>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7D7FBA"/>
    <w:pPr>
      <w:tabs>
        <w:tab w:val="num" w:pos="360"/>
      </w:tabs>
    </w:pPr>
    <w:rPr>
      <w:sz w:val="26"/>
    </w:rPr>
  </w:style>
  <w:style w:type="paragraph" w:customStyle="1" w:styleId="Numberedlevel4text">
    <w:name w:val="Numbered level 4 text"/>
    <w:basedOn w:val="NICEnormal"/>
    <w:next w:val="NICEnormal"/>
    <w:rsid w:val="007D7FBA"/>
    <w:pPr>
      <w:tabs>
        <w:tab w:val="num" w:pos="360"/>
      </w:tabs>
    </w:pPr>
  </w:style>
  <w:style w:type="paragraph" w:customStyle="1" w:styleId="Numberedlevel3text">
    <w:name w:val="Numbered level 3 text"/>
    <w:basedOn w:val="Numberedheading3"/>
    <w:rsid w:val="007D7FBA"/>
    <w:pPr>
      <w:spacing w:after="240"/>
    </w:pPr>
    <w:rPr>
      <w:b w:val="0"/>
      <w:sz w:val="24"/>
    </w:rPr>
  </w:style>
  <w:style w:type="paragraph" w:customStyle="1" w:styleId="Bulletindent2">
    <w:name w:val="Bullet indent 2"/>
    <w:basedOn w:val="NICEnormal"/>
    <w:rsid w:val="007D7FBA"/>
    <w:pPr>
      <w:tabs>
        <w:tab w:val="num" w:pos="360"/>
      </w:tabs>
      <w:spacing w:after="0"/>
      <w:ind w:left="1702" w:hanging="284"/>
    </w:pPr>
  </w:style>
  <w:style w:type="paragraph" w:customStyle="1" w:styleId="Title16ptleft">
    <w:name w:val="Title 16 pt left"/>
    <w:basedOn w:val="Title16pt"/>
    <w:rsid w:val="007D7FBA"/>
  </w:style>
  <w:style w:type="paragraph" w:customStyle="1" w:styleId="Bulletleft1">
    <w:name w:val="Bullet left 1"/>
    <w:basedOn w:val="NICEnormal"/>
    <w:rsid w:val="007D7FBA"/>
    <w:pPr>
      <w:tabs>
        <w:tab w:val="num" w:pos="360"/>
      </w:tabs>
      <w:spacing w:after="0"/>
    </w:pPr>
  </w:style>
  <w:style w:type="character" w:customStyle="1" w:styleId="Bulletleft1Char">
    <w:name w:val="Bullet left 1 Char"/>
    <w:basedOn w:val="NICEnormalChar"/>
    <w:rsid w:val="007D7FBA"/>
    <w:rPr>
      <w:rFonts w:ascii="Arial" w:eastAsia="Times New Roman" w:hAnsi="Arial"/>
      <w:sz w:val="24"/>
      <w:szCs w:val="24"/>
      <w:lang w:val="en-GB" w:eastAsia="en-US" w:bidi="ar-SA"/>
    </w:rPr>
  </w:style>
  <w:style w:type="paragraph" w:customStyle="1" w:styleId="Bulletleft2">
    <w:name w:val="Bullet left 2"/>
    <w:basedOn w:val="NICEnormal"/>
    <w:rsid w:val="007D7FBA"/>
    <w:pPr>
      <w:tabs>
        <w:tab w:val="num" w:pos="360"/>
      </w:tabs>
      <w:spacing w:after="0"/>
      <w:ind w:left="568" w:hanging="284"/>
    </w:pPr>
  </w:style>
  <w:style w:type="paragraph" w:customStyle="1" w:styleId="Bulletleft3">
    <w:name w:val="Bullet left 3"/>
    <w:basedOn w:val="NICEnormal"/>
    <w:rsid w:val="007D7FBA"/>
    <w:pPr>
      <w:tabs>
        <w:tab w:val="num" w:pos="360"/>
      </w:tabs>
      <w:spacing w:after="0"/>
    </w:pPr>
  </w:style>
  <w:style w:type="paragraph" w:customStyle="1" w:styleId="Bulletindent1">
    <w:name w:val="Bullet indent 1"/>
    <w:basedOn w:val="NICEnormal"/>
    <w:rsid w:val="007D7FBA"/>
    <w:pPr>
      <w:numPr>
        <w:numId w:val="16"/>
      </w:numPr>
      <w:spacing w:before="120" w:after="120" w:line="240" w:lineRule="auto"/>
    </w:pPr>
    <w:rPr>
      <w:sz w:val="22"/>
      <w:lang w:val="en-GB"/>
    </w:rPr>
  </w:style>
  <w:style w:type="paragraph" w:customStyle="1" w:styleId="Bulletindent3">
    <w:name w:val="Bullet indent 3"/>
    <w:basedOn w:val="NICEnormal"/>
    <w:rsid w:val="007D7FBA"/>
    <w:pPr>
      <w:tabs>
        <w:tab w:val="num" w:pos="360"/>
      </w:tabs>
      <w:spacing w:after="0"/>
    </w:pPr>
  </w:style>
  <w:style w:type="paragraph" w:customStyle="1" w:styleId="Numberedlevel2text">
    <w:name w:val="Numbered level 2 text"/>
    <w:basedOn w:val="Numberedheading2"/>
    <w:rsid w:val="007D7FBA"/>
    <w:pPr>
      <w:spacing w:after="240"/>
    </w:pPr>
    <w:rPr>
      <w:b/>
      <w:i/>
    </w:rPr>
  </w:style>
  <w:style w:type="paragraph" w:customStyle="1" w:styleId="Bulletleft1last">
    <w:name w:val="Bullet left 1 last"/>
    <w:basedOn w:val="NICEnormal"/>
    <w:rsid w:val="007D7FBA"/>
    <w:pPr>
      <w:tabs>
        <w:tab w:val="num" w:pos="360"/>
      </w:tabs>
    </w:pPr>
    <w:rPr>
      <w:rFonts w:cs="Arial"/>
    </w:rPr>
  </w:style>
  <w:style w:type="character" w:customStyle="1" w:styleId="Bulletleft1lastChar">
    <w:name w:val="Bullet left 1 last Char"/>
    <w:rsid w:val="007D7FBA"/>
    <w:rPr>
      <w:rFonts w:ascii="Arial" w:eastAsia="Times New Roman" w:hAnsi="Arial" w:cs="Arial"/>
      <w:sz w:val="24"/>
      <w:szCs w:val="24"/>
      <w:lang w:eastAsia="en-US"/>
    </w:rPr>
  </w:style>
  <w:style w:type="paragraph" w:customStyle="1" w:styleId="boxedtext">
    <w:name w:val="boxed text"/>
    <w:basedOn w:val="NICEnormal"/>
    <w:rsid w:val="007D7FBA"/>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7D7FBA"/>
    <w:rPr>
      <w:rFonts w:ascii="Arial" w:hAnsi="Arial"/>
      <w:sz w:val="24"/>
    </w:rPr>
  </w:style>
  <w:style w:type="paragraph" w:customStyle="1" w:styleId="Bulletindent1last">
    <w:name w:val="Bullet indent 1 last"/>
    <w:basedOn w:val="NICEnormal"/>
    <w:next w:val="NICEnormal"/>
    <w:rsid w:val="007D7FBA"/>
    <w:pPr>
      <w:numPr>
        <w:numId w:val="12"/>
      </w:numPr>
    </w:pPr>
    <w:rPr>
      <w:sz w:val="22"/>
      <w:lang w:val="en-GB"/>
    </w:rPr>
  </w:style>
  <w:style w:type="paragraph" w:customStyle="1" w:styleId="NICEnormalindented">
    <w:name w:val="NICE normal indented"/>
    <w:basedOn w:val="NICEnormal"/>
    <w:rsid w:val="007D7FBA"/>
    <w:pPr>
      <w:tabs>
        <w:tab w:val="left" w:pos="1134"/>
      </w:tabs>
      <w:ind w:left="1134"/>
    </w:pPr>
  </w:style>
  <w:style w:type="paragraph" w:customStyle="1" w:styleId="Tabletitle">
    <w:name w:val="Table title"/>
    <w:basedOn w:val="NICEnormal"/>
    <w:next w:val="NICEnormal"/>
    <w:rsid w:val="007D7FBA"/>
    <w:pPr>
      <w:keepNext/>
      <w:spacing w:after="60" w:line="240" w:lineRule="auto"/>
    </w:pPr>
    <w:rPr>
      <w:b/>
    </w:rPr>
  </w:style>
  <w:style w:type="paragraph" w:customStyle="1" w:styleId="Tabletext">
    <w:name w:val="Table text"/>
    <w:basedOn w:val="PGDNormal"/>
    <w:rsid w:val="007D7FBA"/>
    <w:pPr>
      <w:keepNext/>
      <w:spacing w:after="60"/>
    </w:pPr>
  </w:style>
  <w:style w:type="paragraph" w:customStyle="1" w:styleId="Section2paragraphs">
    <w:name w:val="Section 2 paragraphs"/>
    <w:basedOn w:val="NICEnormal"/>
    <w:rsid w:val="007D7FBA"/>
    <w:pPr>
      <w:tabs>
        <w:tab w:val="num" w:pos="360"/>
      </w:tabs>
    </w:pPr>
  </w:style>
  <w:style w:type="paragraph" w:customStyle="1" w:styleId="Section3paragraphs">
    <w:name w:val="Section 3 paragraphs"/>
    <w:basedOn w:val="NICEnormal"/>
    <w:rsid w:val="007D7FBA"/>
    <w:pPr>
      <w:tabs>
        <w:tab w:val="num" w:pos="360"/>
      </w:tabs>
    </w:pPr>
  </w:style>
  <w:style w:type="paragraph" w:customStyle="1" w:styleId="Section411paragraphs">
    <w:name w:val="Section 4.1.1 paragraphs"/>
    <w:basedOn w:val="NICEnormal"/>
    <w:rsid w:val="007D7FBA"/>
    <w:pPr>
      <w:tabs>
        <w:tab w:val="num" w:pos="360"/>
      </w:tabs>
    </w:pPr>
  </w:style>
  <w:style w:type="paragraph" w:customStyle="1" w:styleId="Section412paragraphs">
    <w:name w:val="Section 4.1.2 paragraphs"/>
    <w:basedOn w:val="NICEnormal"/>
    <w:rsid w:val="007D7FBA"/>
    <w:pPr>
      <w:tabs>
        <w:tab w:val="num" w:pos="360"/>
      </w:tabs>
    </w:pPr>
  </w:style>
  <w:style w:type="paragraph" w:customStyle="1" w:styleId="Section42paragraphs">
    <w:name w:val="Section 4.2 paragraphs"/>
    <w:basedOn w:val="NICEnormal"/>
    <w:rsid w:val="007D7FBA"/>
    <w:pPr>
      <w:tabs>
        <w:tab w:val="num" w:pos="360"/>
      </w:tabs>
    </w:pPr>
  </w:style>
  <w:style w:type="paragraph" w:customStyle="1" w:styleId="Section43paragraphs">
    <w:name w:val="Section 4.3 paragraphs"/>
    <w:basedOn w:val="NICEnormal"/>
    <w:rsid w:val="007D7FBA"/>
    <w:pPr>
      <w:tabs>
        <w:tab w:val="num" w:pos="360"/>
      </w:tabs>
    </w:pPr>
  </w:style>
  <w:style w:type="paragraph" w:customStyle="1" w:styleId="Appendixlevel1">
    <w:name w:val="Appendix level 1"/>
    <w:basedOn w:val="NICEnormal"/>
    <w:autoRedefine/>
    <w:rsid w:val="007D7FBA"/>
    <w:pPr>
      <w:tabs>
        <w:tab w:val="num" w:pos="360"/>
      </w:tabs>
      <w:spacing w:before="240"/>
    </w:pPr>
  </w:style>
  <w:style w:type="paragraph" w:customStyle="1" w:styleId="Appendixlevel2">
    <w:name w:val="Appendix level 2"/>
    <w:basedOn w:val="NICEnormal"/>
    <w:rsid w:val="007D7FBA"/>
    <w:pPr>
      <w:tabs>
        <w:tab w:val="num" w:pos="360"/>
      </w:tabs>
      <w:spacing w:before="240"/>
    </w:pPr>
  </w:style>
  <w:style w:type="paragraph" w:customStyle="1" w:styleId="Appendixbullet">
    <w:name w:val="Appendix bullet"/>
    <w:basedOn w:val="NICEnormal"/>
    <w:rsid w:val="007D7FBA"/>
    <w:pPr>
      <w:tabs>
        <w:tab w:val="num" w:pos="360"/>
      </w:tabs>
      <w:spacing w:after="0" w:line="240" w:lineRule="auto"/>
    </w:pPr>
  </w:style>
  <w:style w:type="paragraph" w:customStyle="1" w:styleId="Appendixreferences">
    <w:name w:val="Appendix references"/>
    <w:basedOn w:val="NICEnormal"/>
    <w:rsid w:val="007D7FBA"/>
    <w:pPr>
      <w:tabs>
        <w:tab w:val="left" w:pos="567"/>
      </w:tabs>
      <w:spacing w:after="120" w:line="240" w:lineRule="auto"/>
      <w:ind w:left="567"/>
    </w:pPr>
  </w:style>
  <w:style w:type="paragraph" w:customStyle="1" w:styleId="References">
    <w:name w:val="References"/>
    <w:basedOn w:val="PGDNormal"/>
    <w:rsid w:val="007D7FBA"/>
    <w:pPr>
      <w:tabs>
        <w:tab w:val="num" w:pos="360"/>
      </w:tabs>
      <w:spacing w:after="120"/>
    </w:pPr>
  </w:style>
  <w:style w:type="paragraph" w:styleId="BalloonText">
    <w:name w:val="Balloon Text"/>
    <w:basedOn w:val="Normal"/>
    <w:link w:val="BalloonTextChar"/>
    <w:semiHidden/>
    <w:rsid w:val="007D7FBA"/>
    <w:rPr>
      <w:rFonts w:ascii="Tahoma" w:hAnsi="Tahoma" w:cs="Tahoma"/>
      <w:sz w:val="16"/>
      <w:szCs w:val="16"/>
    </w:rPr>
  </w:style>
  <w:style w:type="character" w:customStyle="1" w:styleId="BalloonTextChar">
    <w:name w:val="Balloon Text Char"/>
    <w:link w:val="BalloonText"/>
    <w:semiHidden/>
    <w:rsid w:val="007D7FBA"/>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7D7FBA"/>
    <w:rPr>
      <w:sz w:val="16"/>
      <w:szCs w:val="16"/>
    </w:rPr>
  </w:style>
  <w:style w:type="paragraph" w:styleId="CommentText">
    <w:name w:val="annotation text"/>
    <w:basedOn w:val="Normal"/>
    <w:link w:val="CommentTextChar1"/>
    <w:uiPriority w:val="99"/>
    <w:unhideWhenUsed/>
    <w:rsid w:val="007D7FBA"/>
  </w:style>
  <w:style w:type="character" w:customStyle="1" w:styleId="CommentTextChar">
    <w:name w:val="Comment Text Char"/>
    <w:uiPriority w:val="99"/>
    <w:rsid w:val="007D7FBA"/>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7D7FBA"/>
    <w:rPr>
      <w:b/>
      <w:bCs/>
    </w:rPr>
  </w:style>
  <w:style w:type="character" w:customStyle="1" w:styleId="CommentSubjectChar">
    <w:name w:val="Comment Subject Char"/>
    <w:semiHidden/>
    <w:rsid w:val="007D7FBA"/>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7D7FBA"/>
    <w:pPr>
      <w:spacing w:before="100" w:beforeAutospacing="1" w:after="100" w:afterAutospacing="1"/>
    </w:pPr>
  </w:style>
  <w:style w:type="paragraph" w:styleId="TOC1">
    <w:name w:val="toc 1"/>
    <w:basedOn w:val="Normal"/>
    <w:next w:val="Normal"/>
    <w:autoRedefine/>
    <w:rsid w:val="007D7FBA"/>
    <w:rPr>
      <w:rFonts w:ascii="Arial" w:hAnsi="Arial"/>
    </w:rPr>
  </w:style>
  <w:style w:type="paragraph" w:styleId="TOC2">
    <w:name w:val="toc 2"/>
    <w:basedOn w:val="Normal"/>
    <w:next w:val="Normal"/>
    <w:autoRedefine/>
    <w:rsid w:val="007D7FBA"/>
    <w:pPr>
      <w:ind w:left="240"/>
    </w:pPr>
    <w:rPr>
      <w:rFonts w:ascii="Arial" w:hAnsi="Arial"/>
    </w:rPr>
  </w:style>
  <w:style w:type="paragraph" w:customStyle="1" w:styleId="Frontpagetitle">
    <w:name w:val="Front page title"/>
    <w:basedOn w:val="Normal"/>
    <w:rsid w:val="007D7FBA"/>
    <w:pPr>
      <w:spacing w:after="240"/>
      <w:jc w:val="center"/>
    </w:pPr>
    <w:rPr>
      <w:rFonts w:ascii="Arial" w:hAnsi="Arial" w:cs="Arial"/>
      <w:sz w:val="48"/>
      <w:szCs w:val="48"/>
      <w:lang w:val="en-US"/>
    </w:rPr>
  </w:style>
  <w:style w:type="paragraph" w:customStyle="1" w:styleId="Frontpagedate">
    <w:name w:val="Front page date"/>
    <w:basedOn w:val="Normal"/>
    <w:rsid w:val="007D7FBA"/>
    <w:pPr>
      <w:spacing w:after="240"/>
    </w:pPr>
    <w:rPr>
      <w:rFonts w:ascii="Arial" w:hAnsi="Arial" w:cs="Arial"/>
      <w:sz w:val="32"/>
      <w:szCs w:val="32"/>
      <w:lang w:val="en-US"/>
    </w:rPr>
  </w:style>
  <w:style w:type="paragraph" w:customStyle="1" w:styleId="Frontpageguidelinenumber">
    <w:name w:val="Front page guideline number"/>
    <w:basedOn w:val="Normal"/>
    <w:rsid w:val="007D7FB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7D7FBA"/>
    <w:pPr>
      <w:outlineLvl w:val="9"/>
    </w:pPr>
    <w:rPr>
      <w:lang w:bidi="en-US"/>
    </w:rPr>
  </w:style>
  <w:style w:type="paragraph" w:styleId="TOC3">
    <w:name w:val="toc 3"/>
    <w:basedOn w:val="Normal"/>
    <w:next w:val="Normal"/>
    <w:autoRedefine/>
    <w:semiHidden/>
    <w:rsid w:val="007D7FBA"/>
    <w:pPr>
      <w:ind w:left="480"/>
    </w:pPr>
    <w:rPr>
      <w:rFonts w:ascii="Arial" w:hAnsi="Arial"/>
    </w:rPr>
  </w:style>
  <w:style w:type="character" w:styleId="FollowedHyperlink">
    <w:name w:val="FollowedHyperlink"/>
    <w:unhideWhenUsed/>
    <w:rsid w:val="007D7FBA"/>
    <w:rPr>
      <w:color w:val="800080"/>
      <w:u w:val="single"/>
    </w:rPr>
  </w:style>
  <w:style w:type="paragraph" w:customStyle="1" w:styleId="Level2text">
    <w:name w:val="Level 2 text"/>
    <w:basedOn w:val="Numberedheading2"/>
    <w:locked/>
    <w:rsid w:val="007D7FBA"/>
    <w:pPr>
      <w:numPr>
        <w:ilvl w:val="1"/>
        <w:numId w:val="2"/>
      </w:numPr>
    </w:pPr>
    <w:rPr>
      <w:b/>
      <w:i/>
    </w:rPr>
  </w:style>
  <w:style w:type="paragraph" w:styleId="FootnoteText">
    <w:name w:val="footnote text"/>
    <w:basedOn w:val="Normal"/>
    <w:link w:val="FootnoteTextChar1"/>
    <w:semiHidden/>
    <w:rsid w:val="007D7FBA"/>
    <w:rPr>
      <w:rFonts w:ascii="Arial" w:eastAsia="Calibri" w:hAnsi="Arial"/>
    </w:rPr>
  </w:style>
  <w:style w:type="character" w:customStyle="1" w:styleId="FootnoteTextChar">
    <w:name w:val="Footnote Text Char"/>
    <w:rsid w:val="007D7FBA"/>
    <w:rPr>
      <w:rFonts w:ascii="Arial" w:eastAsia="Times New Roman" w:hAnsi="Arial"/>
    </w:rPr>
  </w:style>
  <w:style w:type="character" w:styleId="FootnoteReference">
    <w:name w:val="footnote reference"/>
    <w:rsid w:val="007D7FBA"/>
    <w:rPr>
      <w:vertAlign w:val="superscript"/>
    </w:rPr>
  </w:style>
  <w:style w:type="paragraph" w:customStyle="1" w:styleId="Paragraph">
    <w:name w:val="Paragraph"/>
    <w:basedOn w:val="Paragraphnonumbers"/>
    <w:uiPriority w:val="4"/>
    <w:qFormat/>
    <w:rsid w:val="007D7FBA"/>
    <w:pPr>
      <w:numPr>
        <w:numId w:val="10"/>
      </w:numPr>
      <w:tabs>
        <w:tab w:val="left" w:pos="567"/>
      </w:tabs>
    </w:pPr>
  </w:style>
  <w:style w:type="paragraph" w:customStyle="1" w:styleId="Bullets">
    <w:name w:val="Bullets"/>
    <w:basedOn w:val="Normal"/>
    <w:uiPriority w:val="5"/>
    <w:qFormat/>
    <w:rsid w:val="007D7FBA"/>
    <w:pPr>
      <w:numPr>
        <w:numId w:val="17"/>
      </w:numPr>
      <w:spacing w:after="120" w:line="276" w:lineRule="auto"/>
    </w:pPr>
    <w:rPr>
      <w:rFonts w:ascii="Arial" w:hAnsi="Arial"/>
    </w:rPr>
  </w:style>
  <w:style w:type="paragraph" w:customStyle="1" w:styleId="Subbullets">
    <w:name w:val="Sub bullets"/>
    <w:basedOn w:val="Normal"/>
    <w:uiPriority w:val="6"/>
    <w:qFormat/>
    <w:rsid w:val="007D7FBA"/>
    <w:pPr>
      <w:numPr>
        <w:numId w:val="18"/>
      </w:numPr>
      <w:spacing w:after="120" w:line="276" w:lineRule="auto"/>
    </w:pPr>
    <w:rPr>
      <w:rFonts w:ascii="Arial" w:hAnsi="Arial"/>
    </w:rPr>
  </w:style>
  <w:style w:type="paragraph" w:customStyle="1" w:styleId="Paragraphnonumbers">
    <w:name w:val="Paragraph no numbers"/>
    <w:basedOn w:val="Normal"/>
    <w:uiPriority w:val="99"/>
    <w:qFormat/>
    <w:rsid w:val="007D7FBA"/>
    <w:pPr>
      <w:spacing w:after="240" w:line="276" w:lineRule="auto"/>
    </w:pPr>
    <w:rPr>
      <w:rFonts w:ascii="Arial" w:hAnsi="Arial"/>
    </w:rPr>
  </w:style>
  <w:style w:type="paragraph" w:styleId="TOAHeading">
    <w:name w:val="toa heading"/>
    <w:basedOn w:val="Normal"/>
    <w:next w:val="Normal"/>
    <w:semiHidden/>
    <w:rsid w:val="007D7FBA"/>
    <w:pPr>
      <w:spacing w:before="120"/>
    </w:pPr>
    <w:rPr>
      <w:rFonts w:ascii="Arial" w:hAnsi="Arial"/>
      <w:b/>
      <w:bCs/>
    </w:rPr>
  </w:style>
  <w:style w:type="paragraph" w:styleId="TOC4">
    <w:name w:val="toc 4"/>
    <w:basedOn w:val="Normal"/>
    <w:next w:val="Normal"/>
    <w:autoRedefine/>
    <w:semiHidden/>
    <w:rsid w:val="007D7FBA"/>
    <w:pPr>
      <w:ind w:left="720"/>
    </w:pPr>
    <w:rPr>
      <w:rFonts w:ascii="Arial" w:hAnsi="Arial"/>
    </w:rPr>
  </w:style>
  <w:style w:type="paragraph" w:customStyle="1" w:styleId="Bulletindent1alast">
    <w:name w:val="Bullet indent 1a last"/>
    <w:basedOn w:val="Bulletindent1last"/>
    <w:qFormat/>
    <w:rsid w:val="007D7FBA"/>
    <w:pPr>
      <w:ind w:left="2552"/>
    </w:pPr>
  </w:style>
  <w:style w:type="paragraph" w:customStyle="1" w:styleId="Bulletindent2a">
    <w:name w:val="Bullet indent 2a"/>
    <w:basedOn w:val="Normal"/>
    <w:qFormat/>
    <w:rsid w:val="007D7FBA"/>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7D7FBA"/>
    <w:pPr>
      <w:tabs>
        <w:tab w:val="num" w:pos="2552"/>
      </w:tabs>
      <w:ind w:left="2552"/>
    </w:pPr>
  </w:style>
  <w:style w:type="paragraph" w:customStyle="1" w:styleId="Frontpagegreentitle">
    <w:name w:val="Front page green title"/>
    <w:basedOn w:val="Normal"/>
    <w:rsid w:val="007D7FBA"/>
    <w:pPr>
      <w:jc w:val="center"/>
    </w:pPr>
    <w:rPr>
      <w:rFonts w:ascii="Arial" w:hAnsi="Arial" w:cs="Arial"/>
      <w:b/>
      <w:color w:val="009999"/>
      <w:sz w:val="64"/>
      <w:szCs w:val="64"/>
    </w:rPr>
  </w:style>
  <w:style w:type="paragraph" w:styleId="TOC5">
    <w:name w:val="toc 5"/>
    <w:basedOn w:val="Normal"/>
    <w:next w:val="Normal"/>
    <w:autoRedefine/>
    <w:semiHidden/>
    <w:unhideWhenUsed/>
    <w:rsid w:val="007D7FBA"/>
    <w:pPr>
      <w:spacing w:after="100" w:line="276" w:lineRule="auto"/>
      <w:ind w:left="880"/>
    </w:pPr>
  </w:style>
  <w:style w:type="paragraph" w:styleId="TOC6">
    <w:name w:val="toc 6"/>
    <w:basedOn w:val="Normal"/>
    <w:next w:val="Normal"/>
    <w:autoRedefine/>
    <w:semiHidden/>
    <w:unhideWhenUsed/>
    <w:rsid w:val="007D7FBA"/>
    <w:pPr>
      <w:spacing w:after="100" w:line="276" w:lineRule="auto"/>
      <w:ind w:left="1100"/>
    </w:pPr>
  </w:style>
  <w:style w:type="paragraph" w:styleId="TOC7">
    <w:name w:val="toc 7"/>
    <w:basedOn w:val="Normal"/>
    <w:next w:val="Normal"/>
    <w:autoRedefine/>
    <w:semiHidden/>
    <w:unhideWhenUsed/>
    <w:rsid w:val="007D7FBA"/>
    <w:pPr>
      <w:spacing w:after="100" w:line="276" w:lineRule="auto"/>
      <w:ind w:left="1320"/>
    </w:pPr>
  </w:style>
  <w:style w:type="paragraph" w:styleId="TOC8">
    <w:name w:val="toc 8"/>
    <w:basedOn w:val="Normal"/>
    <w:next w:val="Normal"/>
    <w:autoRedefine/>
    <w:semiHidden/>
    <w:unhideWhenUsed/>
    <w:rsid w:val="007D7FBA"/>
    <w:pPr>
      <w:spacing w:after="100" w:line="276" w:lineRule="auto"/>
      <w:ind w:left="1540"/>
    </w:pPr>
  </w:style>
  <w:style w:type="paragraph" w:styleId="TOC9">
    <w:name w:val="toc 9"/>
    <w:basedOn w:val="Normal"/>
    <w:next w:val="Normal"/>
    <w:autoRedefine/>
    <w:semiHidden/>
    <w:unhideWhenUsed/>
    <w:rsid w:val="007D7FBA"/>
    <w:pPr>
      <w:spacing w:after="100" w:line="276" w:lineRule="auto"/>
      <w:ind w:left="1760"/>
    </w:pPr>
  </w:style>
  <w:style w:type="paragraph" w:customStyle="1" w:styleId="Question">
    <w:name w:val="Question"/>
    <w:basedOn w:val="References"/>
    <w:qFormat/>
    <w:rsid w:val="007D7FBA"/>
    <w:pPr>
      <w:keepNext/>
      <w:numPr>
        <w:numId w:val="3"/>
      </w:numPr>
    </w:pPr>
    <w:rPr>
      <w:b/>
    </w:rPr>
  </w:style>
  <w:style w:type="paragraph" w:styleId="EndnoteText">
    <w:name w:val="endnote text"/>
    <w:basedOn w:val="Normal"/>
    <w:link w:val="EndnoteTextChar1"/>
    <w:semiHidden/>
    <w:unhideWhenUsed/>
    <w:rsid w:val="007D7FBA"/>
  </w:style>
  <w:style w:type="character" w:customStyle="1" w:styleId="EndnoteTextChar">
    <w:name w:val="Endnote Text Char"/>
    <w:semiHidden/>
    <w:rsid w:val="007D7FBA"/>
    <w:rPr>
      <w:rFonts w:ascii="Times New Roman" w:eastAsia="Times New Roman" w:hAnsi="Times New Roman"/>
    </w:rPr>
  </w:style>
  <w:style w:type="character" w:styleId="EndnoteReference">
    <w:name w:val="endnote reference"/>
    <w:semiHidden/>
    <w:unhideWhenUsed/>
    <w:rsid w:val="007D7FBA"/>
    <w:rPr>
      <w:vertAlign w:val="superscript"/>
    </w:rPr>
  </w:style>
  <w:style w:type="paragraph" w:customStyle="1" w:styleId="Style4">
    <w:name w:val="Style4"/>
    <w:basedOn w:val="Normal"/>
    <w:autoRedefine/>
    <w:rsid w:val="007D7FBA"/>
    <w:pPr>
      <w:keepNext/>
      <w:spacing w:line="360" w:lineRule="auto"/>
      <w:ind w:left="567"/>
    </w:pPr>
    <w:rPr>
      <w:rFonts w:ascii="Arial" w:hAnsi="Arial" w:cs="Arial"/>
    </w:rPr>
  </w:style>
  <w:style w:type="paragraph" w:customStyle="1" w:styleId="Bodytextosteo">
    <w:name w:val="Body text osteo"/>
    <w:basedOn w:val="BodyText"/>
    <w:autoRedefine/>
    <w:rsid w:val="007D7FBA"/>
    <w:pPr>
      <w:spacing w:after="0" w:line="360" w:lineRule="auto"/>
      <w:ind w:left="567"/>
    </w:pPr>
    <w:rPr>
      <w:rFonts w:ascii="Arial" w:hAnsi="Arial" w:cs="Arial"/>
    </w:rPr>
  </w:style>
  <w:style w:type="paragraph" w:styleId="BodyText">
    <w:name w:val="Body Text"/>
    <w:basedOn w:val="Normal"/>
    <w:link w:val="BodyTextChar"/>
    <w:rsid w:val="007D7FBA"/>
    <w:pPr>
      <w:spacing w:after="120"/>
    </w:pPr>
  </w:style>
  <w:style w:type="paragraph" w:customStyle="1" w:styleId="bulletdoubleindent">
    <w:name w:val="bullet double indent"/>
    <w:basedOn w:val="Normal"/>
    <w:autoRedefine/>
    <w:rsid w:val="007D7FBA"/>
    <w:pPr>
      <w:numPr>
        <w:numId w:val="4"/>
      </w:numPr>
      <w:spacing w:line="360" w:lineRule="auto"/>
    </w:pPr>
    <w:rPr>
      <w:rFonts w:ascii="Arial" w:eastAsia="Calibri" w:hAnsi="Arial"/>
    </w:rPr>
  </w:style>
  <w:style w:type="paragraph" w:customStyle="1" w:styleId="bulletindentosteo">
    <w:name w:val="bullet indent osteo"/>
    <w:basedOn w:val="Normal"/>
    <w:autoRedefine/>
    <w:rsid w:val="007D7FBA"/>
    <w:pPr>
      <w:numPr>
        <w:numId w:val="5"/>
      </w:numPr>
      <w:spacing w:line="360" w:lineRule="auto"/>
    </w:pPr>
    <w:rPr>
      <w:rFonts w:ascii="Arial" w:eastAsia="Calibri" w:hAnsi="Arial"/>
      <w:color w:val="000000"/>
    </w:rPr>
  </w:style>
  <w:style w:type="paragraph" w:customStyle="1" w:styleId="bulletosteoporosis">
    <w:name w:val="bullet osteoporosis"/>
    <w:basedOn w:val="Normal"/>
    <w:autoRedefine/>
    <w:rsid w:val="007D7FBA"/>
    <w:pPr>
      <w:numPr>
        <w:numId w:val="8"/>
      </w:numPr>
      <w:tabs>
        <w:tab w:val="left" w:pos="900"/>
      </w:tabs>
      <w:spacing w:line="360" w:lineRule="auto"/>
    </w:pPr>
    <w:rPr>
      <w:rFonts w:ascii="Arial" w:hAnsi="Arial" w:cs="Arial"/>
      <w:bCs/>
    </w:rPr>
  </w:style>
  <w:style w:type="paragraph" w:customStyle="1" w:styleId="Subheading">
    <w:name w:val="Sub heading"/>
    <w:basedOn w:val="Heading3"/>
    <w:autoRedefine/>
    <w:rsid w:val="007D7FBA"/>
    <w:pPr>
      <w:spacing w:after="0" w:line="360" w:lineRule="auto"/>
      <w:ind w:left="567"/>
    </w:pPr>
  </w:style>
  <w:style w:type="paragraph" w:customStyle="1" w:styleId="subheadingosteo">
    <w:name w:val="subheading osteo"/>
    <w:basedOn w:val="Heading6"/>
    <w:autoRedefine/>
    <w:rsid w:val="007D7FBA"/>
    <w:pPr>
      <w:keepNext/>
      <w:spacing w:line="360" w:lineRule="auto"/>
      <w:ind w:left="539"/>
    </w:pPr>
    <w:rPr>
      <w:rFonts w:ascii="Arial" w:hAnsi="Arial"/>
    </w:rPr>
  </w:style>
  <w:style w:type="paragraph" w:customStyle="1" w:styleId="bulletdoubleindentosteo">
    <w:name w:val="bullet double indent osteo"/>
    <w:basedOn w:val="bulletindentosteo"/>
    <w:autoRedefine/>
    <w:rsid w:val="007D7FBA"/>
    <w:pPr>
      <w:numPr>
        <w:numId w:val="6"/>
      </w:numPr>
    </w:pPr>
    <w:rPr>
      <w:rFonts w:eastAsia="Times New Roman"/>
      <w:lang w:eastAsia="en-GB"/>
    </w:rPr>
  </w:style>
  <w:style w:type="paragraph" w:styleId="ListBullet3">
    <w:name w:val="List Bullet 3"/>
    <w:basedOn w:val="Normal"/>
    <w:autoRedefine/>
    <w:rsid w:val="007D7FBA"/>
  </w:style>
  <w:style w:type="paragraph" w:customStyle="1" w:styleId="Bulletosteotable">
    <w:name w:val="Bullet osteo table"/>
    <w:basedOn w:val="bulletosteoporosis"/>
    <w:autoRedefine/>
    <w:rsid w:val="007D7FBA"/>
    <w:pPr>
      <w:numPr>
        <w:numId w:val="7"/>
      </w:numPr>
    </w:pPr>
  </w:style>
  <w:style w:type="paragraph" w:customStyle="1" w:styleId="StyleHeading2Before0ptAfter0ptLinespacing15l">
    <w:name w:val="Style Heading 2 + Before:  0 pt After:  0 pt Line spacing:  1.5 l..."/>
    <w:basedOn w:val="Heading2"/>
    <w:autoRedefine/>
    <w:rsid w:val="007D7FBA"/>
    <w:pPr>
      <w:spacing w:after="0" w:line="360" w:lineRule="auto"/>
    </w:pPr>
    <w:rPr>
      <w:szCs w:val="20"/>
      <w:lang w:val="en-US"/>
    </w:rPr>
  </w:style>
  <w:style w:type="paragraph" w:customStyle="1" w:styleId="NCC-ACChaptertitle">
    <w:name w:val="NCC-AC Chapter title"/>
    <w:basedOn w:val="Numberedheading1"/>
    <w:next w:val="Normal"/>
    <w:autoRedefine/>
    <w:rsid w:val="007D7FBA"/>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D7FBA"/>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D7FBA"/>
    <w:pPr>
      <w:numPr>
        <w:ilvl w:val="3"/>
        <w:numId w:val="9"/>
      </w:numPr>
    </w:pPr>
    <w:rPr>
      <w:b w:val="0"/>
    </w:rPr>
  </w:style>
  <w:style w:type="numbering" w:customStyle="1" w:styleId="NiceNumbering">
    <w:name w:val="Nice Numbering"/>
    <w:rsid w:val="007D7FBA"/>
    <w:pPr>
      <w:numPr>
        <w:numId w:val="9"/>
      </w:numPr>
    </w:pPr>
  </w:style>
  <w:style w:type="character" w:customStyle="1" w:styleId="FootnoteTextChar1">
    <w:name w:val="Footnote Text Char1"/>
    <w:link w:val="FootnoteText"/>
    <w:semiHidden/>
    <w:rsid w:val="007D7FBA"/>
    <w:rPr>
      <w:rFonts w:ascii="Arial" w:hAnsi="Arial"/>
      <w:kern w:val="2"/>
      <w:lang w:eastAsia="en-US"/>
      <w14:ligatures w14:val="standardContextual"/>
    </w:rPr>
  </w:style>
  <w:style w:type="table" w:styleId="TableGrid">
    <w:name w:val="Table Grid"/>
    <w:basedOn w:val="TableNormal"/>
    <w:rsid w:val="007D7FB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7D7FBA"/>
    <w:rPr>
      <w:rFonts w:ascii="Arial" w:hAnsi="Arial" w:cs="Arial"/>
      <w:color w:val="FFFFFF"/>
      <w:sz w:val="32"/>
      <w:szCs w:val="32"/>
    </w:rPr>
  </w:style>
  <w:style w:type="paragraph" w:customStyle="1" w:styleId="Default">
    <w:name w:val="Default"/>
    <w:rsid w:val="007D7FBA"/>
    <w:pPr>
      <w:autoSpaceDE w:val="0"/>
      <w:autoSpaceDN w:val="0"/>
      <w:adjustRightInd w:val="0"/>
    </w:pPr>
    <w:rPr>
      <w:rFonts w:eastAsia="Times New Roman" w:cs="Calibri"/>
      <w:color w:val="000000"/>
    </w:rPr>
  </w:style>
  <w:style w:type="paragraph" w:customStyle="1" w:styleId="PGDNormal">
    <w:name w:val="PGD Normal"/>
    <w:basedOn w:val="NICEnormal"/>
    <w:rsid w:val="007D7FBA"/>
    <w:pPr>
      <w:spacing w:line="240" w:lineRule="auto"/>
    </w:pPr>
    <w:rPr>
      <w:sz w:val="22"/>
    </w:rPr>
  </w:style>
  <w:style w:type="paragraph" w:customStyle="1" w:styleId="TabletextIPoverviewevidence">
    <w:name w:val="Table text IP overview evidence"/>
    <w:basedOn w:val="Tabletext"/>
    <w:rsid w:val="007D7FBA"/>
    <w:rPr>
      <w:sz w:val="18"/>
    </w:rPr>
  </w:style>
  <w:style w:type="character" w:customStyle="1" w:styleId="Heading5Char">
    <w:name w:val="Heading 5 Char"/>
    <w:link w:val="Heading5"/>
    <w:uiPriority w:val="9"/>
    <w:rsid w:val="007D7FBA"/>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7D7FBA"/>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7D7FBA"/>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7D7FBA"/>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7D7FBA"/>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7D7FBA"/>
    <w:pPr>
      <w:spacing w:after="600"/>
    </w:pPr>
    <w:rPr>
      <w:rFonts w:ascii="Cambria" w:hAnsi="Cambria"/>
      <w:i/>
      <w:iCs/>
      <w:spacing w:val="13"/>
    </w:rPr>
  </w:style>
  <w:style w:type="character" w:customStyle="1" w:styleId="SubtitleChar">
    <w:name w:val="Subtitle Char"/>
    <w:link w:val="Subtitle"/>
    <w:uiPriority w:val="11"/>
    <w:rsid w:val="007D7FBA"/>
    <w:rPr>
      <w:rFonts w:ascii="Cambria" w:eastAsiaTheme="minorHAnsi" w:hAnsi="Cambria"/>
      <w:i/>
      <w:iCs/>
      <w:spacing w:val="13"/>
      <w:kern w:val="2"/>
      <w:lang w:eastAsia="en-US"/>
      <w14:ligatures w14:val="standardContextual"/>
    </w:rPr>
  </w:style>
  <w:style w:type="character" w:styleId="Strong">
    <w:name w:val="Strong"/>
    <w:uiPriority w:val="22"/>
    <w:qFormat/>
    <w:rsid w:val="007D7FBA"/>
    <w:rPr>
      <w:b/>
      <w:bCs/>
    </w:rPr>
  </w:style>
  <w:style w:type="character" w:styleId="Emphasis">
    <w:name w:val="Emphasis"/>
    <w:uiPriority w:val="20"/>
    <w:qFormat/>
    <w:rsid w:val="007D7FBA"/>
    <w:rPr>
      <w:b/>
      <w:bCs/>
      <w:i/>
      <w:iCs/>
      <w:spacing w:val="10"/>
      <w:bdr w:val="none" w:sz="0" w:space="0" w:color="auto"/>
      <w:shd w:val="clear" w:color="auto" w:fill="auto"/>
    </w:rPr>
  </w:style>
  <w:style w:type="paragraph" w:styleId="NoSpacing">
    <w:name w:val="No Spacing"/>
    <w:basedOn w:val="Normal"/>
    <w:uiPriority w:val="1"/>
    <w:qFormat/>
    <w:rsid w:val="007D7FBA"/>
    <w:rPr>
      <w:rFonts w:eastAsia="Calibri"/>
    </w:rPr>
  </w:style>
  <w:style w:type="paragraph" w:styleId="Quote">
    <w:name w:val="Quote"/>
    <w:basedOn w:val="Normal"/>
    <w:next w:val="Normal"/>
    <w:link w:val="QuoteChar"/>
    <w:uiPriority w:val="29"/>
    <w:qFormat/>
    <w:rsid w:val="007D7FBA"/>
    <w:pPr>
      <w:spacing w:before="200"/>
      <w:ind w:left="360" w:right="360"/>
    </w:pPr>
    <w:rPr>
      <w:i/>
      <w:iCs/>
    </w:rPr>
  </w:style>
  <w:style w:type="character" w:customStyle="1" w:styleId="QuoteChar">
    <w:name w:val="Quote Char"/>
    <w:link w:val="Quote"/>
    <w:uiPriority w:val="29"/>
    <w:rsid w:val="007D7FB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7D7FB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D7FBA"/>
    <w:rPr>
      <w:rFonts w:eastAsiaTheme="minorHAnsi"/>
      <w:b/>
      <w:bCs/>
      <w:i/>
      <w:iCs/>
      <w:kern w:val="2"/>
      <w:lang w:eastAsia="en-US"/>
      <w14:ligatures w14:val="standardContextual"/>
    </w:rPr>
  </w:style>
  <w:style w:type="character" w:styleId="SubtleEmphasis">
    <w:name w:val="Subtle Emphasis"/>
    <w:uiPriority w:val="19"/>
    <w:qFormat/>
    <w:rsid w:val="007D7FBA"/>
    <w:rPr>
      <w:i/>
      <w:iCs/>
    </w:rPr>
  </w:style>
  <w:style w:type="character" w:styleId="IntenseEmphasis">
    <w:name w:val="Intense Emphasis"/>
    <w:uiPriority w:val="21"/>
    <w:qFormat/>
    <w:rsid w:val="007D7FBA"/>
    <w:rPr>
      <w:b/>
      <w:bCs/>
    </w:rPr>
  </w:style>
  <w:style w:type="character" w:styleId="SubtleReference">
    <w:name w:val="Subtle Reference"/>
    <w:uiPriority w:val="31"/>
    <w:qFormat/>
    <w:rsid w:val="007D7FBA"/>
    <w:rPr>
      <w:smallCaps/>
    </w:rPr>
  </w:style>
  <w:style w:type="character" w:styleId="IntenseReference">
    <w:name w:val="Intense Reference"/>
    <w:uiPriority w:val="32"/>
    <w:qFormat/>
    <w:rsid w:val="007D7FBA"/>
    <w:rPr>
      <w:smallCaps/>
      <w:spacing w:val="5"/>
      <w:u w:val="single"/>
    </w:rPr>
  </w:style>
  <w:style w:type="character" w:styleId="BookTitle">
    <w:name w:val="Book Title"/>
    <w:uiPriority w:val="33"/>
    <w:qFormat/>
    <w:rsid w:val="007D7FBA"/>
    <w:rPr>
      <w:i/>
      <w:iCs/>
      <w:smallCaps/>
      <w:spacing w:val="5"/>
    </w:rPr>
  </w:style>
  <w:style w:type="paragraph" w:customStyle="1" w:styleId="NICETitle2">
    <w:name w:val="NICE Title 2"/>
    <w:basedOn w:val="Normal"/>
    <w:qFormat/>
    <w:rsid w:val="007D7FBA"/>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D7FBA"/>
    <w:pPr>
      <w:spacing w:after="120" w:line="480" w:lineRule="auto"/>
    </w:pPr>
  </w:style>
  <w:style w:type="character" w:customStyle="1" w:styleId="BodyText2Char">
    <w:name w:val="Body Text 2 Char"/>
    <w:link w:val="BodyText2"/>
    <w:uiPriority w:val="99"/>
    <w:semiHidden/>
    <w:rsid w:val="007D7FBA"/>
    <w:rPr>
      <w:rFonts w:eastAsiaTheme="minorHAnsi"/>
      <w:kern w:val="2"/>
      <w:lang w:eastAsia="en-US"/>
      <w14:ligatures w14:val="standardContextual"/>
    </w:rPr>
  </w:style>
  <w:style w:type="character" w:styleId="UnresolvedMention">
    <w:name w:val="Unresolved Mention"/>
    <w:uiPriority w:val="99"/>
    <w:semiHidden/>
    <w:unhideWhenUsed/>
    <w:rsid w:val="007D7FBA"/>
    <w:rPr>
      <w:color w:val="605E5C"/>
      <w:shd w:val="clear" w:color="auto" w:fill="E1DFDD"/>
    </w:rPr>
  </w:style>
  <w:style w:type="paragraph" w:customStyle="1" w:styleId="PGDTitle2">
    <w:name w:val="PGD Title 2"/>
    <w:basedOn w:val="Normal"/>
    <w:rsid w:val="007D7FBA"/>
    <w:pPr>
      <w:jc w:val="center"/>
    </w:pPr>
    <w:rPr>
      <w:rFonts w:ascii="Arial" w:hAnsi="Arial"/>
      <w:b/>
      <w:sz w:val="36"/>
      <w:szCs w:val="36"/>
    </w:rPr>
  </w:style>
  <w:style w:type="paragraph" w:customStyle="1" w:styleId="PGDTitle1">
    <w:name w:val="PGD Title 1"/>
    <w:basedOn w:val="Normal"/>
    <w:rsid w:val="007D7FBA"/>
    <w:pPr>
      <w:jc w:val="center"/>
    </w:pPr>
    <w:rPr>
      <w:rFonts w:ascii="Arial" w:hAnsi="Arial"/>
      <w:b/>
      <w:bCs/>
      <w:sz w:val="44"/>
    </w:rPr>
  </w:style>
  <w:style w:type="character" w:customStyle="1" w:styleId="PGDVersionNumber">
    <w:name w:val="PGD Version Number"/>
    <w:basedOn w:val="DefaultParagraphFont"/>
    <w:qFormat/>
    <w:rsid w:val="007D7FBA"/>
    <w:rPr>
      <w:rFonts w:ascii="Arial" w:hAnsi="Arial"/>
      <w:sz w:val="28"/>
    </w:rPr>
  </w:style>
  <w:style w:type="paragraph" w:customStyle="1" w:styleId="TableHeaderRow">
    <w:name w:val="Table Header Row"/>
    <w:basedOn w:val="Normal"/>
    <w:rsid w:val="007D7FBA"/>
    <w:rPr>
      <w:rFonts w:ascii="Arial" w:hAnsi="Arial"/>
      <w:b/>
      <w:bCs/>
    </w:rPr>
  </w:style>
  <w:style w:type="character" w:customStyle="1" w:styleId="PGDNormalBold">
    <w:name w:val="PGD Normal Bold"/>
    <w:basedOn w:val="DefaultParagraphFont"/>
    <w:rsid w:val="007D7FBA"/>
    <w:rPr>
      <w:rFonts w:ascii="Arial" w:hAnsi="Arial"/>
      <w:b/>
      <w:bCs/>
    </w:rPr>
  </w:style>
  <w:style w:type="character" w:customStyle="1" w:styleId="TableHeaderColumn">
    <w:name w:val="Table Header Column"/>
    <w:basedOn w:val="DefaultParagraphFont"/>
    <w:rsid w:val="007D7FBA"/>
    <w:rPr>
      <w:rFonts w:ascii="Arial" w:hAnsi="Arial"/>
      <w:b/>
      <w:bCs/>
      <w:sz w:val="20"/>
    </w:rPr>
  </w:style>
  <w:style w:type="paragraph" w:customStyle="1" w:styleId="Title1">
    <w:name w:val="Title 1"/>
    <w:basedOn w:val="Title"/>
    <w:qFormat/>
    <w:rsid w:val="007D7FBA"/>
    <w:rPr>
      <w:rFonts w:ascii="Arial" w:hAnsi="Arial" w:cs="Arial"/>
      <w:sz w:val="44"/>
      <w:szCs w:val="44"/>
    </w:rPr>
  </w:style>
  <w:style w:type="paragraph" w:customStyle="1" w:styleId="Title2">
    <w:name w:val="Title 2"/>
    <w:basedOn w:val="Title"/>
    <w:qFormat/>
    <w:rsid w:val="007D7FBA"/>
    <w:rPr>
      <w:rFonts w:ascii="Arial" w:hAnsi="Arial" w:cs="Arial"/>
      <w:sz w:val="40"/>
      <w:szCs w:val="40"/>
    </w:rPr>
  </w:style>
  <w:style w:type="paragraph" w:customStyle="1" w:styleId="PGDHeading2">
    <w:name w:val="PGD Heading 2"/>
    <w:basedOn w:val="Heading2"/>
    <w:qFormat/>
    <w:rsid w:val="007D7FBA"/>
    <w:rPr>
      <w:rFonts w:ascii="Arial" w:hAnsi="Arial" w:cs="Arial"/>
      <w:color w:val="auto"/>
      <w:sz w:val="28"/>
      <w:szCs w:val="28"/>
    </w:rPr>
  </w:style>
  <w:style w:type="table" w:customStyle="1" w:styleId="Tableheading">
    <w:name w:val="Table heading"/>
    <w:basedOn w:val="TableNormal"/>
    <w:uiPriority w:val="99"/>
    <w:rsid w:val="007D7FBA"/>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7D7FBA"/>
    <w:pPr>
      <w:spacing w:line="240" w:lineRule="auto"/>
    </w:pPr>
  </w:style>
  <w:style w:type="paragraph" w:customStyle="1" w:styleId="PGDtablebullet0">
    <w:name w:val="PGD table bullet"/>
    <w:basedOn w:val="Normal"/>
    <w:rsid w:val="007D7FBA"/>
    <w:rPr>
      <w:rFonts w:ascii="Arial" w:eastAsia="Times New Roman" w:hAnsi="Arial"/>
    </w:rPr>
  </w:style>
  <w:style w:type="numbering" w:customStyle="1" w:styleId="PGDTableBullet">
    <w:name w:val="PGD Table Bullet"/>
    <w:basedOn w:val="NoList"/>
    <w:uiPriority w:val="99"/>
    <w:rsid w:val="007D7FBA"/>
    <w:pPr>
      <w:numPr>
        <w:numId w:val="11"/>
      </w:numPr>
    </w:pPr>
  </w:style>
  <w:style w:type="paragraph" w:customStyle="1" w:styleId="StyleLatinArialAfter0ptLinespacingsingle">
    <w:name w:val="Style (Latin) Arial After:  0 pt Line spacing:  single"/>
    <w:basedOn w:val="Normal"/>
    <w:rsid w:val="007D7FBA"/>
    <w:rPr>
      <w:rFonts w:ascii="Arial" w:eastAsia="Times New Roman" w:hAnsi="Arial"/>
    </w:rPr>
  </w:style>
  <w:style w:type="paragraph" w:customStyle="1" w:styleId="PGDlogo">
    <w:name w:val="PGD logo"/>
    <w:basedOn w:val="NICEnormal"/>
    <w:rsid w:val="007D7FBA"/>
    <w:pPr>
      <w:jc w:val="right"/>
    </w:pPr>
  </w:style>
  <w:style w:type="paragraph" w:customStyle="1" w:styleId="PGDLogo0">
    <w:name w:val="PGD Logo"/>
    <w:basedOn w:val="PGDNormal"/>
    <w:rsid w:val="007D7FBA"/>
    <w:pPr>
      <w:jc w:val="right"/>
    </w:pPr>
  </w:style>
  <w:style w:type="paragraph" w:customStyle="1" w:styleId="PGDVersion">
    <w:name w:val="PGD Version"/>
    <w:basedOn w:val="Normal"/>
    <w:rsid w:val="007D7FBA"/>
    <w:pPr>
      <w:jc w:val="center"/>
    </w:pPr>
    <w:rPr>
      <w:rFonts w:ascii="Arial" w:eastAsia="Times New Roman" w:hAnsi="Arial"/>
      <w:sz w:val="28"/>
    </w:rPr>
  </w:style>
  <w:style w:type="numbering" w:customStyle="1" w:styleId="PGDtablebullet2">
    <w:name w:val="PGD table bullet 2"/>
    <w:basedOn w:val="NoList"/>
    <w:rsid w:val="007D7FBA"/>
    <w:pPr>
      <w:numPr>
        <w:numId w:val="13"/>
      </w:numPr>
    </w:pPr>
  </w:style>
  <w:style w:type="numbering" w:customStyle="1" w:styleId="PGDbullet2">
    <w:name w:val="PGD bullet 2"/>
    <w:basedOn w:val="NoList"/>
    <w:rsid w:val="007D7FBA"/>
    <w:pPr>
      <w:numPr>
        <w:numId w:val="14"/>
      </w:numPr>
    </w:pPr>
  </w:style>
  <w:style w:type="numbering" w:customStyle="1" w:styleId="PGDtablebullet1">
    <w:name w:val="PGD table bullet 1"/>
    <w:basedOn w:val="NoList"/>
    <w:rsid w:val="007D7FBA"/>
    <w:pPr>
      <w:numPr>
        <w:numId w:val="15"/>
      </w:numPr>
    </w:pPr>
  </w:style>
  <w:style w:type="character" w:customStyle="1" w:styleId="BodyTextChar">
    <w:name w:val="Body Text Char"/>
    <w:basedOn w:val="DefaultParagraphFont"/>
    <w:link w:val="BodyText"/>
    <w:rsid w:val="007D7FBA"/>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7D7FBA"/>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7D7FBA"/>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7D7FB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www.medicines.org.uk/emc" TargetMode="External"/><Relationship Id="rId26" Type="http://schemas.openxmlformats.org/officeDocument/2006/relationships/hyperlink" Target="https://www.cosrh.org/Public/Documents/contraception-after-pregnancy-guideline-january-2017.aspx" TargetMode="External"/><Relationship Id="rId39" Type="http://schemas.openxmlformats.org/officeDocument/2006/relationships/hyperlink" Target="https://bnf.nice.org.uk/" TargetMode="External"/><Relationship Id="rId21" Type="http://schemas.openxmlformats.org/officeDocument/2006/relationships/hyperlink" Target="https://products.mhra.gov.uk/" TargetMode="External"/><Relationship Id="rId34" Type="http://schemas.openxmlformats.org/officeDocument/2006/relationships/hyperlink" Target="https://yellowcard.mhra.gov.uk/" TargetMode="External"/><Relationship Id="rId42" Type="http://schemas.openxmlformats.org/officeDocument/2006/relationships/hyperlink" Target="https://www.cosrh.org/Public/Documents/ceu-clinical-guidance-drug-interactions-with-hormonal.aspx" TargetMode="External"/><Relationship Id="rId47" Type="http://schemas.openxmlformats.org/officeDocument/2006/relationships/hyperlink" Target="https://www.fsrh.org/Common/Uploaded%20files/documents/fsrh-ceu-statement-upa-coc-restart-november-2020.pdf" TargetMode="External"/><Relationship Id="rId50"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55" Type="http://schemas.openxmlformats.org/officeDocument/2006/relationships/header" Target="header3.xml"/><Relationship Id="rId7" Type="http://schemas.openxmlformats.org/officeDocument/2006/relationships/hyperlink" Target="https://www.nice.org.uk/guidance/mpg2/chapter/Recommendations" TargetMode="External"/><Relationship Id="rId2" Type="http://schemas.openxmlformats.org/officeDocument/2006/relationships/styles" Target="styles.xml"/><Relationship Id="rId16" Type="http://schemas.openxmlformats.org/officeDocument/2006/relationships/hyperlink" Target="https://bnf.nice.org.uk/" TargetMode="External"/><Relationship Id="rId29" Type="http://schemas.openxmlformats.org/officeDocument/2006/relationships/hyperlink" Target="https://bnf.nice.org.uk/" TargetMode="External"/><Relationship Id="rId11" Type="http://schemas.openxmlformats.org/officeDocument/2006/relationships/hyperlink" Target="https://www.legislation.gov.uk/uksi/2012/1916/schedule/16" TargetMode="External"/><Relationship Id="rId24" Type="http://schemas.openxmlformats.org/officeDocument/2006/relationships/hyperlink" Target="https://www.cosrh.org/Common/Uploaded%20files/documents/fsrh-ceu-statement-upa-coc-restart-november-2020.pdf" TargetMode="External"/><Relationship Id="rId32" Type="http://schemas.openxmlformats.org/officeDocument/2006/relationships/hyperlink" Target="https://www.medicines.org.uk/emc" TargetMode="External"/><Relationship Id="rId37" Type="http://schemas.openxmlformats.org/officeDocument/2006/relationships/hyperlink" Target="https://www.cosrh.org/Common/Uploaded%20files/documents/fsrh-ceu-statement-upa-coc-restart-november-2020.pdf" TargetMode="External"/><Relationship Id="rId40" Type="http://schemas.openxmlformats.org/officeDocument/2006/relationships/hyperlink" Target="https://www.nice.org.uk/guidance/mpg2" TargetMode="External"/><Relationship Id="rId45" Type="http://schemas.openxmlformats.org/officeDocument/2006/relationships/hyperlink" Target="https://www.cosrh.org/Public/Standards-and-Guidance/Switching-or-Starting-Methods-of-Contraception.aspx" TargetMode="External"/><Relationship Id="rId53" Type="http://schemas.openxmlformats.org/officeDocument/2006/relationships/header" Target="header2.xml"/><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4" Type="http://schemas.openxmlformats.org/officeDocument/2006/relationships/webSettings" Target="webSettings.xml"/><Relationship Id="rId9" Type="http://schemas.openxmlformats.org/officeDocument/2006/relationships/hyperlink" Target="https://gbr01.safelinks.protection.outlook.com/" TargetMode="External"/><Relationship Id="rId14" Type="http://schemas.openxmlformats.org/officeDocument/2006/relationships/hyperlink" Target="https://www.fsrh.org/Public/Public/Documents/fsrh-guideline-combined-hormonal-contraception.aspx" TargetMode="External"/><Relationship Id="rId22" Type="http://schemas.openxmlformats.org/officeDocument/2006/relationships/hyperlink" Target="https://www.medicines.org.uk/emc" TargetMode="External"/><Relationship Id="rId27" Type="http://schemas.openxmlformats.org/officeDocument/2006/relationships/hyperlink" Target="https://www.medicines.org.uk/emc" TargetMode="External"/><Relationship Id="rId30" Type="http://schemas.openxmlformats.org/officeDocument/2006/relationships/hyperlink" Target="https://www.fsrh.org/Public/Documents/ceu-clinical-guidance-drug-interactions-with-hormonal.aspx" TargetMode="External"/><Relationship Id="rId35" Type="http://schemas.openxmlformats.org/officeDocument/2006/relationships/hyperlink" Target="https://www.cosrh.org/Public/Documents/fsrh-guideline-combined-hormonal-contraception.aspx" TargetMode="External"/><Relationship Id="rId43" Type="http://schemas.openxmlformats.org/officeDocument/2006/relationships/hyperlink" Target="https://www.fsrh.org/Public/Public/Standards-and-Guidance/uk-medical-eligibility-criteria-for-contraceptive-use-ukmec.aspx?hkey=82727ce6-756b-4b88-a5ab-acaf27c48669" TargetMode="External"/><Relationship Id="rId48" Type="http://schemas.openxmlformats.org/officeDocument/2006/relationships/hyperlink" Target="https://www.cosrh.org/Public/Documents/FSRH-statement-Use-of-desogestrel-and-risk-of-intracranial-meningioma.aspx" TargetMode="External"/><Relationship Id="rId56" Type="http://schemas.openxmlformats.org/officeDocument/2006/relationships/fontTable" Target="fontTable.xm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www.cosrh.org/Common/Uploaded%20files/documents/Patient-information-GLP-1-agonists-and-contraception.pdf?_gl=1*yx0y8r*_ga*NzE3NDA2NDEuMTc3MzI0ODQxMQ..*_ga_S2TDH89J5C*czE3NzM3NTU5NjAkbzUkZzEkdDE3NzM3NTc5MDgkajM4JGwwJGgw" TargetMode="External"/><Relationship Id="rId3" Type="http://schemas.openxmlformats.org/officeDocument/2006/relationships/settings" Target="settings.xml"/><Relationship Id="rId12" Type="http://schemas.openxmlformats.org/officeDocument/2006/relationships/hyperlink" Target="https://www.e-lfh.org.uk/programmes/patient-group-directions/" TargetMode="External"/><Relationship Id="rId17" Type="http://schemas.openxmlformats.org/officeDocument/2006/relationships/hyperlink" Target="http://www.medicines.org.uk/" TargetMode="External"/><Relationship Id="rId25" Type="http://schemas.openxmlformats.org/officeDocument/2006/relationships/hyperlink" Target="https://www.cosrh.org/Public/Standards-and-Guidance/Switching-or-Starting-Methods-of-Contraception.aspx" TargetMode="External"/><Relationship Id="rId33" Type="http://schemas.openxmlformats.org/officeDocument/2006/relationships/hyperlink" Target="https://bnf.nice.org.uk/" TargetMode="External"/><Relationship Id="rId38" Type="http://schemas.openxmlformats.org/officeDocument/2006/relationships/hyperlink" Target="https://www.medicines.org.uk/emc" TargetMode="External"/><Relationship Id="rId46" Type="http://schemas.openxmlformats.org/officeDocument/2006/relationships/hyperlink" Target="https://www.cosrh.org/Common/Uploaded%20files/documents/ceuguidanceproblematicbleedinghormonalcontraception.pdf" TargetMode="External"/><Relationship Id="rId59" Type="http://schemas.openxmlformats.org/officeDocument/2006/relationships/customXml" Target="../customXml/item2.xml"/><Relationship Id="rId20" Type="http://schemas.openxmlformats.org/officeDocument/2006/relationships/hyperlink" Target="https://www.cosrh.org/Public/Documents/fsrh-ceu-statement-contraception-for-women-using-known-teratogenic-drugs.aspx" TargetMode="External"/><Relationship Id="rId41" Type="http://schemas.openxmlformats.org/officeDocument/2006/relationships/hyperlink" Target="https://www.fsrh.org/Public/Documents/fsrh-guideline-combined-hormonal-contraception.aspx"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edicines.org.uk/emc" TargetMode="External"/><Relationship Id="rId23" Type="http://schemas.openxmlformats.org/officeDocument/2006/relationships/hyperlink" Target="https://www.medicines.org.uk/emc" TargetMode="External"/><Relationship Id="rId28" Type="http://schemas.openxmlformats.org/officeDocument/2006/relationships/hyperlink" Target="https://www.medicines.org.uk/emc" TargetMode="External"/><Relationship Id="rId36" Type="http://schemas.openxmlformats.org/officeDocument/2006/relationships/hyperlink" Target="https://www.cosrh.org/Common/Uploaded%20files/documents/1fsrh-guideline-quick-starting-contraception-april-2017.pdf" TargetMode="External"/><Relationship Id="rId49" Type="http://schemas.openxmlformats.org/officeDocument/2006/relationships/hyperlink" Target="https://digitalliverpool.sharepoint.com/sites/MUS/PGD%20Templates/Templates%20Under%20Review/Statement%20Response%20Lundstrom%20et%20al%20Progestogens%20and%20meningioma%20study%20(July%202026).pdf" TargetMode="External"/><Relationship Id="rId57" Type="http://schemas.openxmlformats.org/officeDocument/2006/relationships/theme" Target="theme/theme1.xml"/><Relationship Id="rId10" Type="http://schemas.openxmlformats.org/officeDocument/2006/relationships/hyperlink" Target="https://www.fsrh.org/Public/Documents/fsrh-ceu-statement-response-to-recent-publication-regarding.aspx" TargetMode="External"/><Relationship Id="rId31" Type="http://schemas.openxmlformats.org/officeDocument/2006/relationships/hyperlink" Target="https://www.hep-druginteractions.org/" TargetMode="External"/><Relationship Id="rId44" Type="http://schemas.openxmlformats.org/officeDocument/2006/relationships/hyperlink" Target="https://www.cosrh.org/Common/Uploaded%20files/documents/1fsrh-guideline-quick-starting-contraception-april-2017.pdf" TargetMode="External"/><Relationship Id="rId52" Type="http://schemas.openxmlformats.org/officeDocument/2006/relationships/header" Target="header1.xml"/><Relationship Id="rId6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2026-07-22T23:00:00+00:00</PublishedDate>
    <Accessibletemplate xmlns="f161132f-3af4-47f5-b28f-8075dccddbe8">true</Accessibletemplate>
    <ExpiryDate xmlns="f161132f-3af4-47f5-b28f-8075dccddbe8">2029-03-30T23:00:00+00:00</ExpiryDate>
    <Effectivefromdate xmlns="f161132f-3af4-47f5-b28f-8075dccddbe8">2026-03-31T23:00:00+00:00</Effectivefromdate>
    <_ApprovalStatus xmlns="f161132f-3af4-47f5-b28f-8075dccddbe8">0</_ApprovalStatus>
    <Versionnumber xmlns="f161132f-3af4-47f5-b28f-8075dccddbe8">3.2</Versionnumber>
    <Reviewcompleted xmlns="f161132f-3af4-47f5-b28f-8075dccddbe8" xsi:nil="true"/>
    <ReviewDate xmlns="f161132f-3af4-47f5-b28f-8075dccddbe8">2028-08-31T23:00:00+00:00</ReviewDate>
    <_ApprovalRespondedBy xmlns="f161132f-3af4-47f5-b28f-8075dccddbe8">
      <UserInfo>
        <DisplayName/>
        <AccountId xsi:nil="true"/>
        <AccountType/>
      </UserInfo>
    </_ApprovalRespondedBy>
    <ProgrammeBoardMeeting xmlns="f161132f-3af4-47f5-b28f-8075dccddbe8">2028-10-18T23:00:00+00:00</ProgrammeBoardMeeting>
    <Cardcreated xmlns="f161132f-3af4-47f5-b28f-8075dccddbe8">
      <Url>https://digitalliverpool.sharepoint.com/sites/SPSDigital/Lists/Content%20Directory/DispForm.aspx?ID=2881</Url>
      <Description>COC card</Description>
    </Cardcreated>
  </documentManagement>
</p:properties>
</file>

<file path=customXml/itemProps1.xml><?xml version="1.0" encoding="utf-8"?>
<ds:datastoreItem xmlns:ds="http://schemas.openxmlformats.org/officeDocument/2006/customXml" ds:itemID="{7983C4D7-996C-4E17-BE33-B8E236887F11}"/>
</file>

<file path=customXml/itemProps2.xml><?xml version="1.0" encoding="utf-8"?>
<ds:datastoreItem xmlns:ds="http://schemas.openxmlformats.org/officeDocument/2006/customXml" ds:itemID="{623EC45A-9174-4481-B91B-FB0304886240}"/>
</file>

<file path=customXml/itemProps3.xml><?xml version="1.0" encoding="utf-8"?>
<ds:datastoreItem xmlns:ds="http://schemas.openxmlformats.org/officeDocument/2006/customXml" ds:itemID="{3E2B151E-AE4F-415B-8720-91E71D4F9EDC}"/>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6459</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43195</CharactersWithSpaces>
  <SharedDoc>false</SharedDoc>
  <HLinks>
    <vt:vector size="288" baseType="variant">
      <vt:variant>
        <vt:i4>4915201</vt:i4>
      </vt:variant>
      <vt:variant>
        <vt:i4>141</vt:i4>
      </vt:variant>
      <vt:variant>
        <vt:i4>0</vt:i4>
      </vt:variant>
      <vt:variant>
        <vt:i4>5</vt:i4>
      </vt:variant>
      <vt:variant>
        <vt:lpwstr>https://hep-druginteractions.org/checker?_gl=1*1rbmy9o*_ga*MTI1NTg5ODU4Ny4xNzEzNTE2Njg4*_ga_S2TDH89J5C*MTc0MTk0NjQyOS42OC4xLjE3NDE5NDY0OTcuMC4wLjA.</vt:lpwstr>
      </vt:variant>
      <vt:variant>
        <vt:lpwstr/>
      </vt:variant>
      <vt:variant>
        <vt:i4>4915226</vt:i4>
      </vt:variant>
      <vt:variant>
        <vt:i4>138</vt:i4>
      </vt:variant>
      <vt:variant>
        <vt:i4>0</vt:i4>
      </vt:variant>
      <vt:variant>
        <vt:i4>5</vt:i4>
      </vt:variant>
      <vt:variant>
        <vt:lpwstr>https://fsrh.org/Common/Uploaded files/documents/CEU-statement-GLP-1-agonists-and-contraception.pdf?_gl=1*1ai7lsa*_ga*MTI1NTg5ODU4Ny4xNzEzNTE2Njg4*_ga_S2TDH89J5C*MTc0MTk0NjQyOS42OC4xLjE3NDE5NDY0OTQuMC4wLjA.</vt:lpwstr>
      </vt:variant>
      <vt:variant>
        <vt:lpwstr/>
      </vt:variant>
      <vt:variant>
        <vt:i4>1441822</vt:i4>
      </vt:variant>
      <vt:variant>
        <vt:i4>135</vt:i4>
      </vt:variant>
      <vt:variant>
        <vt:i4>0</vt:i4>
      </vt:variant>
      <vt:variant>
        <vt:i4>5</vt:i4>
      </vt:variant>
      <vt:variant>
        <vt:lpwstr>https://www.cosrh.org/Public/Documents/contraception-after-pregnancy-guideline-january-2017.aspx</vt:lpwstr>
      </vt:variant>
      <vt:variant>
        <vt:lpwstr/>
      </vt:variant>
      <vt:variant>
        <vt:i4>5898327</vt:i4>
      </vt:variant>
      <vt:variant>
        <vt:i4>132</vt:i4>
      </vt:variant>
      <vt:variant>
        <vt:i4>0</vt:i4>
      </vt:variant>
      <vt:variant>
        <vt:i4>5</vt:i4>
      </vt:variant>
      <vt:variant>
        <vt:lpwstr>https://www.fsrh.org/Common/Uploaded files/documents/fsrh-ceu-statement-upa-coc-restart-november-2020.pdf</vt:lpwstr>
      </vt:variant>
      <vt:variant>
        <vt:lpwstr/>
      </vt:variant>
      <vt:variant>
        <vt:i4>7012454</vt:i4>
      </vt:variant>
      <vt:variant>
        <vt:i4>129</vt:i4>
      </vt:variant>
      <vt:variant>
        <vt:i4>0</vt:i4>
      </vt:variant>
      <vt:variant>
        <vt:i4>5</vt:i4>
      </vt:variant>
      <vt:variant>
        <vt:lpwstr>https://www.fsrh.org/Public/Documents/fsrh-ceu-statement-response-to-recent-publication-regarding.aspx?WebsiteKey=f858b086-d221-4a83-9688-824162920b1b</vt:lpwstr>
      </vt:variant>
      <vt:variant>
        <vt:lpwstr/>
      </vt:variant>
      <vt:variant>
        <vt:i4>2949228</vt:i4>
      </vt:variant>
      <vt:variant>
        <vt:i4>126</vt:i4>
      </vt:variant>
      <vt:variant>
        <vt:i4>0</vt:i4>
      </vt:variant>
      <vt:variant>
        <vt:i4>5</vt:i4>
      </vt:variant>
      <vt:variant>
        <vt:lpwstr>https://digitalliverpool.sharepoint.com/sites/MUS/PGD Templates/Templates Under Review/CoSRH - Switching or Starting Methods of Contraception (log in required)</vt:lpwstr>
      </vt:variant>
      <vt:variant>
        <vt:lpwstr/>
      </vt:variant>
      <vt:variant>
        <vt:i4>5701640</vt:i4>
      </vt:variant>
      <vt:variant>
        <vt:i4>123</vt:i4>
      </vt:variant>
      <vt:variant>
        <vt:i4>0</vt:i4>
      </vt:variant>
      <vt:variant>
        <vt:i4>5</vt:i4>
      </vt:variant>
      <vt:variant>
        <vt:lpwstr>https://www.medicines.org.uk/emc</vt:lpwstr>
      </vt:variant>
      <vt:variant>
        <vt:lpwstr/>
      </vt:variant>
      <vt:variant>
        <vt:i4>5111838</vt:i4>
      </vt:variant>
      <vt:variant>
        <vt:i4>120</vt:i4>
      </vt:variant>
      <vt:variant>
        <vt:i4>0</vt:i4>
      </vt:variant>
      <vt:variant>
        <vt:i4>5</vt:i4>
      </vt:variant>
      <vt:variant>
        <vt:lpwstr>https://www.fsrh.org/Public/Public/Standards-and-Guidance/uk-medical-eligibility-criteria-for-contraceptive-use-ukmec.aspx?hkey=82727ce6-756b-4b88-a5ab-acaf27c48669</vt:lpwstr>
      </vt:variant>
      <vt:variant>
        <vt:lpwstr/>
      </vt:variant>
      <vt:variant>
        <vt:i4>983120</vt:i4>
      </vt:variant>
      <vt:variant>
        <vt:i4>117</vt:i4>
      </vt:variant>
      <vt:variant>
        <vt:i4>0</vt:i4>
      </vt:variant>
      <vt:variant>
        <vt:i4>5</vt:i4>
      </vt:variant>
      <vt:variant>
        <vt:lpwstr>https://bnf.nice.org.uk/</vt:lpwstr>
      </vt:variant>
      <vt:variant>
        <vt:lpwstr/>
      </vt:variant>
      <vt:variant>
        <vt:i4>131146</vt:i4>
      </vt:variant>
      <vt:variant>
        <vt:i4>114</vt:i4>
      </vt:variant>
      <vt:variant>
        <vt:i4>0</vt:i4>
      </vt:variant>
      <vt:variant>
        <vt:i4>5</vt:i4>
      </vt:variant>
      <vt:variant>
        <vt:lpwstr>https://www.fsrh.org/Public/Documents/fsrh-guideline-combined-hormonal-contraception.aspx</vt:lpwstr>
      </vt:variant>
      <vt:variant>
        <vt:lpwstr/>
      </vt:variant>
      <vt:variant>
        <vt:i4>393223</vt:i4>
      </vt:variant>
      <vt:variant>
        <vt:i4>111</vt:i4>
      </vt:variant>
      <vt:variant>
        <vt:i4>0</vt:i4>
      </vt:variant>
      <vt:variant>
        <vt:i4>5</vt:i4>
      </vt:variant>
      <vt:variant>
        <vt:lpwstr>https://www.nice.org.uk/guidance/mpg2</vt:lpwstr>
      </vt:variant>
      <vt:variant>
        <vt:lpwstr/>
      </vt:variant>
      <vt:variant>
        <vt:i4>983120</vt:i4>
      </vt:variant>
      <vt:variant>
        <vt:i4>108</vt:i4>
      </vt:variant>
      <vt:variant>
        <vt:i4>0</vt:i4>
      </vt:variant>
      <vt:variant>
        <vt:i4>5</vt:i4>
      </vt:variant>
      <vt:variant>
        <vt:lpwstr>https://bnf.nice.org.uk/</vt:lpwstr>
      </vt:variant>
      <vt:variant>
        <vt:lpwstr/>
      </vt:variant>
      <vt:variant>
        <vt:i4>5701640</vt:i4>
      </vt:variant>
      <vt:variant>
        <vt:i4>105</vt:i4>
      </vt:variant>
      <vt:variant>
        <vt:i4>0</vt:i4>
      </vt:variant>
      <vt:variant>
        <vt:i4>5</vt:i4>
      </vt:variant>
      <vt:variant>
        <vt:lpwstr>https://www.medicines.org.uk/emc</vt:lpwstr>
      </vt:variant>
      <vt:variant>
        <vt:lpwstr/>
      </vt:variant>
      <vt:variant>
        <vt:i4>589841</vt:i4>
      </vt:variant>
      <vt:variant>
        <vt:i4>102</vt:i4>
      </vt:variant>
      <vt:variant>
        <vt:i4>0</vt:i4>
      </vt:variant>
      <vt:variant>
        <vt:i4>5</vt:i4>
      </vt:variant>
      <vt:variant>
        <vt:lpwstr/>
      </vt:variant>
      <vt:variant>
        <vt:lpwstr>Cautions</vt:lpwstr>
      </vt:variant>
      <vt:variant>
        <vt:i4>2556002</vt:i4>
      </vt:variant>
      <vt:variant>
        <vt:i4>99</vt:i4>
      </vt:variant>
      <vt:variant>
        <vt:i4>0</vt:i4>
      </vt:variant>
      <vt:variant>
        <vt:i4>5</vt:i4>
      </vt:variant>
      <vt:variant>
        <vt:lpwstr>http://www.bnf.org/</vt:lpwstr>
      </vt:variant>
      <vt:variant>
        <vt:lpwstr/>
      </vt:variant>
      <vt:variant>
        <vt:i4>5701640</vt:i4>
      </vt:variant>
      <vt:variant>
        <vt:i4>96</vt:i4>
      </vt:variant>
      <vt:variant>
        <vt:i4>0</vt:i4>
      </vt:variant>
      <vt:variant>
        <vt:i4>5</vt:i4>
      </vt:variant>
      <vt:variant>
        <vt:lpwstr>https://www.medicines.org.uk/emc</vt:lpwstr>
      </vt:variant>
      <vt:variant>
        <vt:lpwstr/>
      </vt:variant>
      <vt:variant>
        <vt:i4>2162787</vt:i4>
      </vt:variant>
      <vt:variant>
        <vt:i4>93</vt:i4>
      </vt:variant>
      <vt:variant>
        <vt:i4>0</vt:i4>
      </vt:variant>
      <vt:variant>
        <vt:i4>5</vt:i4>
      </vt:variant>
      <vt:variant>
        <vt:lpwstr>https://gbr01.safelinks.protection.outlook.com/?url=https%3A%2F%2Fwww.cosrh.org%2FPublic%2FDocuments%2Ffsrh-guideline-combined-hormonal-contraception.aspx&amp;data=05%7C02%7Cbarbara.parkinson4%40nhs.net%7C3457da78f4624d7b06fe08de1d2564e3%7C37c354b285b047f5b22207b48d774ee3%7C0%7C0%7C638980243602879925%7CUnknown%7CTWFpbGZsb3d8eyJFbXB0eU1hcGkiOnRydWUsIlYiOiIwLjAuMDAwMCIsIlAiOiJXaW4zMiIsIkFOIjoiTWFpbCIsIldUIjoyfQ%3D%3D%7C0%7C%7C%7C&amp;sdata=mZef61XDiPhcDg81OzTfpAGG19tqH90%2FWeISW%2FvJgZM%3D&amp;reserved=0</vt:lpwstr>
      </vt:variant>
      <vt:variant>
        <vt:lpwstr/>
      </vt:variant>
      <vt:variant>
        <vt:i4>3407906</vt:i4>
      </vt:variant>
      <vt:variant>
        <vt:i4>90</vt:i4>
      </vt:variant>
      <vt:variant>
        <vt:i4>0</vt:i4>
      </vt:variant>
      <vt:variant>
        <vt:i4>5</vt:i4>
      </vt:variant>
      <vt:variant>
        <vt:lpwstr>https://www.nice.org.uk/guidance/mpg2/resources</vt:lpwstr>
      </vt:variant>
      <vt:variant>
        <vt:lpwstr/>
      </vt:variant>
      <vt:variant>
        <vt:i4>983120</vt:i4>
      </vt:variant>
      <vt:variant>
        <vt:i4>87</vt:i4>
      </vt:variant>
      <vt:variant>
        <vt:i4>0</vt:i4>
      </vt:variant>
      <vt:variant>
        <vt:i4>5</vt:i4>
      </vt:variant>
      <vt:variant>
        <vt:lpwstr>https://bnf.nice.org.uk/</vt:lpwstr>
      </vt:variant>
      <vt:variant>
        <vt:lpwstr/>
      </vt:variant>
      <vt:variant>
        <vt:i4>5177423</vt:i4>
      </vt:variant>
      <vt:variant>
        <vt:i4>84</vt:i4>
      </vt:variant>
      <vt:variant>
        <vt:i4>0</vt:i4>
      </vt:variant>
      <vt:variant>
        <vt:i4>5</vt:i4>
      </vt:variant>
      <vt:variant>
        <vt:lpwstr>https://www.pharmaceuticalpress.com/bnf-and-bnfc/</vt:lpwstr>
      </vt:variant>
      <vt:variant>
        <vt:lpwstr/>
      </vt:variant>
      <vt:variant>
        <vt:i4>5701640</vt:i4>
      </vt:variant>
      <vt:variant>
        <vt:i4>81</vt:i4>
      </vt:variant>
      <vt:variant>
        <vt:i4>0</vt:i4>
      </vt:variant>
      <vt:variant>
        <vt:i4>5</vt:i4>
      </vt:variant>
      <vt:variant>
        <vt:lpwstr>https://www.medicines.org.uk/emc</vt:lpwstr>
      </vt:variant>
      <vt:variant>
        <vt:lpwstr/>
      </vt:variant>
      <vt:variant>
        <vt:i4>4980744</vt:i4>
      </vt:variant>
      <vt:variant>
        <vt:i4>78</vt:i4>
      </vt:variant>
      <vt:variant>
        <vt:i4>0</vt:i4>
      </vt:variant>
      <vt:variant>
        <vt:i4>5</vt:i4>
      </vt:variant>
      <vt:variant>
        <vt:lpwstr>https://www.fsrh.org/Public/Documents/ceu-clinical-guidance-drug-interactions-with-hormonal.aspx</vt:lpwstr>
      </vt:variant>
      <vt:variant>
        <vt:lpwstr/>
      </vt:variant>
      <vt:variant>
        <vt:i4>983120</vt:i4>
      </vt:variant>
      <vt:variant>
        <vt:i4>75</vt:i4>
      </vt:variant>
      <vt:variant>
        <vt:i4>0</vt:i4>
      </vt:variant>
      <vt:variant>
        <vt:i4>5</vt:i4>
      </vt:variant>
      <vt:variant>
        <vt:lpwstr>https://bnf.nice.org.uk/</vt:lpwstr>
      </vt:variant>
      <vt:variant>
        <vt:lpwstr/>
      </vt:variant>
      <vt:variant>
        <vt:i4>393223</vt:i4>
      </vt:variant>
      <vt:variant>
        <vt:i4>72</vt:i4>
      </vt:variant>
      <vt:variant>
        <vt:i4>0</vt:i4>
      </vt:variant>
      <vt:variant>
        <vt:i4>5</vt:i4>
      </vt:variant>
      <vt:variant>
        <vt:lpwstr>https://www.nice.org.uk/Guidance/MPG2</vt:lpwstr>
      </vt:variant>
      <vt:variant>
        <vt:lpwstr/>
      </vt:variant>
      <vt:variant>
        <vt:i4>5701640</vt:i4>
      </vt:variant>
      <vt:variant>
        <vt:i4>69</vt:i4>
      </vt:variant>
      <vt:variant>
        <vt:i4>0</vt:i4>
      </vt:variant>
      <vt:variant>
        <vt:i4>5</vt:i4>
      </vt:variant>
      <vt:variant>
        <vt:lpwstr>https://www.medicines.org.uk/emc</vt:lpwstr>
      </vt:variant>
      <vt:variant>
        <vt:lpwstr/>
      </vt:variant>
      <vt:variant>
        <vt:i4>327769</vt:i4>
      </vt:variant>
      <vt:variant>
        <vt:i4>66</vt:i4>
      </vt:variant>
      <vt:variant>
        <vt:i4>0</vt:i4>
      </vt:variant>
      <vt:variant>
        <vt:i4>5</vt:i4>
      </vt:variant>
      <vt:variant>
        <vt:lpwstr>https://www.sps.nhs.uk/home/guidance/patient-group-directions/templates/</vt:lpwstr>
      </vt:variant>
      <vt:variant>
        <vt:lpwstr/>
      </vt:variant>
      <vt:variant>
        <vt:i4>2752556</vt:i4>
      </vt:variant>
      <vt:variant>
        <vt:i4>63</vt:i4>
      </vt:variant>
      <vt:variant>
        <vt:i4>0</vt:i4>
      </vt:variant>
      <vt:variant>
        <vt:i4>5</vt:i4>
      </vt:variant>
      <vt:variant>
        <vt:lpwstr>https://www.cosrh.org/Public/Standards-and-Guidance/Switching-or-Starting-Methods-of-Contraception.aspx</vt:lpwstr>
      </vt:variant>
      <vt:variant>
        <vt:lpwstr/>
      </vt:variant>
      <vt:variant>
        <vt:i4>2228281</vt:i4>
      </vt:variant>
      <vt:variant>
        <vt:i4>60</vt:i4>
      </vt:variant>
      <vt:variant>
        <vt:i4>0</vt:i4>
      </vt:variant>
      <vt:variant>
        <vt:i4>5</vt:i4>
      </vt:variant>
      <vt:variant>
        <vt:lpwstr>https://www.cosrh.org/Public/Documents/fsrh-ceu-statement-response-to-recent-publication-regarding.aspx</vt:lpwstr>
      </vt:variant>
      <vt:variant>
        <vt:lpwstr/>
      </vt:variant>
      <vt:variant>
        <vt:i4>1703958</vt:i4>
      </vt:variant>
      <vt:variant>
        <vt:i4>57</vt:i4>
      </vt:variant>
      <vt:variant>
        <vt:i4>0</vt:i4>
      </vt:variant>
      <vt:variant>
        <vt:i4>5</vt:i4>
      </vt:variant>
      <vt:variant>
        <vt:lpwstr/>
      </vt:variant>
      <vt:variant>
        <vt:lpwstr>Regimens</vt:lpwstr>
      </vt:variant>
      <vt:variant>
        <vt:i4>1703958</vt:i4>
      </vt:variant>
      <vt:variant>
        <vt:i4>54</vt:i4>
      </vt:variant>
      <vt:variant>
        <vt:i4>0</vt:i4>
      </vt:variant>
      <vt:variant>
        <vt:i4>5</vt:i4>
      </vt:variant>
      <vt:variant>
        <vt:lpwstr/>
      </vt:variant>
      <vt:variant>
        <vt:lpwstr>Regimens</vt:lpwstr>
      </vt:variant>
      <vt:variant>
        <vt:i4>6357117</vt:i4>
      </vt:variant>
      <vt:variant>
        <vt:i4>51</vt:i4>
      </vt:variant>
      <vt:variant>
        <vt:i4>0</vt:i4>
      </vt:variant>
      <vt:variant>
        <vt:i4>5</vt:i4>
      </vt:variant>
      <vt:variant>
        <vt:lpwstr/>
      </vt:variant>
      <vt:variant>
        <vt:lpwstr>Storage</vt:lpwstr>
      </vt:variant>
      <vt:variant>
        <vt:i4>5701640</vt:i4>
      </vt:variant>
      <vt:variant>
        <vt:i4>48</vt:i4>
      </vt:variant>
      <vt:variant>
        <vt:i4>0</vt:i4>
      </vt:variant>
      <vt:variant>
        <vt:i4>5</vt:i4>
      </vt:variant>
      <vt:variant>
        <vt:lpwstr>https://www.medicines.org.uk/emc</vt:lpwstr>
      </vt:variant>
      <vt:variant>
        <vt:lpwstr/>
      </vt:variant>
      <vt:variant>
        <vt:i4>5701640</vt:i4>
      </vt:variant>
      <vt:variant>
        <vt:i4>45</vt:i4>
      </vt:variant>
      <vt:variant>
        <vt:i4>0</vt:i4>
      </vt:variant>
      <vt:variant>
        <vt:i4>5</vt:i4>
      </vt:variant>
      <vt:variant>
        <vt:lpwstr>https://www.medicines.org.uk/emc</vt:lpwstr>
      </vt:variant>
      <vt:variant>
        <vt:lpwstr/>
      </vt:variant>
      <vt:variant>
        <vt:i4>786461</vt:i4>
      </vt:variant>
      <vt:variant>
        <vt:i4>42</vt:i4>
      </vt:variant>
      <vt:variant>
        <vt:i4>0</vt:i4>
      </vt:variant>
      <vt:variant>
        <vt:i4>5</vt:i4>
      </vt:variant>
      <vt:variant>
        <vt:lpwstr>https://products.mhra.gov.uk/</vt:lpwstr>
      </vt:variant>
      <vt:variant>
        <vt:lpwstr/>
      </vt:variant>
      <vt:variant>
        <vt:i4>4587610</vt:i4>
      </vt:variant>
      <vt:variant>
        <vt:i4>39</vt:i4>
      </vt:variant>
      <vt:variant>
        <vt:i4>0</vt:i4>
      </vt:variant>
      <vt:variant>
        <vt:i4>5</vt:i4>
      </vt:variant>
      <vt:variant>
        <vt:lpwstr>https://www.cosrh.org/Public/Documents/fsrh-ceu-statement-contraception-for-women-using-known-teratogenic-drugs.aspx</vt:lpwstr>
      </vt:variant>
      <vt:variant>
        <vt:lpwstr/>
      </vt:variant>
      <vt:variant>
        <vt:i4>1769559</vt:i4>
      </vt:variant>
      <vt:variant>
        <vt:i4>36</vt:i4>
      </vt:variant>
      <vt:variant>
        <vt:i4>0</vt:i4>
      </vt:variant>
      <vt:variant>
        <vt:i4>5</vt:i4>
      </vt:variant>
      <vt:variant>
        <vt:lpwstr>https://www.cosrh.org/Common/Uploaded files/documents/CEU-statement-GLP-1-agonists-and-contraception.pdf?_gl=1*1ai7lsa*_ga*MTI1NTg5ODU4Ny4xNzEzNTE2Njg4*_ga_S2TDH89J5C*MTc0MTk0NjQyOS42OC4xLjE3NDE5NDY0OTQuMC4wLjA.</vt:lpwstr>
      </vt:variant>
      <vt:variant>
        <vt:lpwstr/>
      </vt:variant>
      <vt:variant>
        <vt:i4>5701640</vt:i4>
      </vt:variant>
      <vt:variant>
        <vt:i4>33</vt:i4>
      </vt:variant>
      <vt:variant>
        <vt:i4>0</vt:i4>
      </vt:variant>
      <vt:variant>
        <vt:i4>5</vt:i4>
      </vt:variant>
      <vt:variant>
        <vt:lpwstr>https://www.medicines.org.uk/emc</vt:lpwstr>
      </vt:variant>
      <vt:variant>
        <vt:lpwstr/>
      </vt:variant>
      <vt:variant>
        <vt:i4>917577</vt:i4>
      </vt:variant>
      <vt:variant>
        <vt:i4>30</vt:i4>
      </vt:variant>
      <vt:variant>
        <vt:i4>0</vt:i4>
      </vt:variant>
      <vt:variant>
        <vt:i4>5</vt:i4>
      </vt:variant>
      <vt:variant>
        <vt:lpwstr>http://www.medicines.org.uk/</vt:lpwstr>
      </vt:variant>
      <vt:variant>
        <vt:lpwstr/>
      </vt:variant>
      <vt:variant>
        <vt:i4>983120</vt:i4>
      </vt:variant>
      <vt:variant>
        <vt:i4>27</vt:i4>
      </vt:variant>
      <vt:variant>
        <vt:i4>0</vt:i4>
      </vt:variant>
      <vt:variant>
        <vt:i4>5</vt:i4>
      </vt:variant>
      <vt:variant>
        <vt:lpwstr>https://bnf.nice.org.uk/</vt:lpwstr>
      </vt:variant>
      <vt:variant>
        <vt:lpwstr/>
      </vt:variant>
      <vt:variant>
        <vt:i4>5701640</vt:i4>
      </vt:variant>
      <vt:variant>
        <vt:i4>24</vt:i4>
      </vt:variant>
      <vt:variant>
        <vt:i4>0</vt:i4>
      </vt:variant>
      <vt:variant>
        <vt:i4>5</vt:i4>
      </vt:variant>
      <vt:variant>
        <vt:lpwstr>https://www.medicines.org.uk/emc</vt:lpwstr>
      </vt:variant>
      <vt:variant>
        <vt:lpwstr/>
      </vt:variant>
      <vt:variant>
        <vt:i4>1703940</vt:i4>
      </vt:variant>
      <vt:variant>
        <vt:i4>21</vt:i4>
      </vt:variant>
      <vt:variant>
        <vt:i4>0</vt:i4>
      </vt:variant>
      <vt:variant>
        <vt:i4>5</vt:i4>
      </vt:variant>
      <vt:variant>
        <vt:lpwstr>https://www.fsrh.org/Public/Public/Documents/fsrh-guideline-combined-hormonal-contraception.aspx</vt:lpwstr>
      </vt:variant>
      <vt:variant>
        <vt:lpwstr/>
      </vt:variant>
      <vt:variant>
        <vt:i4>3407906</vt:i4>
      </vt:variant>
      <vt:variant>
        <vt:i4>18</vt:i4>
      </vt:variant>
      <vt:variant>
        <vt:i4>0</vt:i4>
      </vt:variant>
      <vt:variant>
        <vt:i4>5</vt:i4>
      </vt:variant>
      <vt:variant>
        <vt:lpwstr>https://www.nice.org.uk/guidance/mpg2/resources</vt:lpwstr>
      </vt:variant>
      <vt:variant>
        <vt:lpwstr/>
      </vt:variant>
      <vt:variant>
        <vt:i4>5570566</vt:i4>
      </vt:variant>
      <vt:variant>
        <vt:i4>15</vt:i4>
      </vt:variant>
      <vt:variant>
        <vt:i4>0</vt:i4>
      </vt:variant>
      <vt:variant>
        <vt:i4>5</vt:i4>
      </vt:variant>
      <vt:variant>
        <vt:lpwstr>https://www.e-lfh.org.uk/programmes/patient-group-directions/</vt:lpwstr>
      </vt:variant>
      <vt:variant>
        <vt:lpwstr/>
      </vt:variant>
      <vt:variant>
        <vt:i4>4128877</vt:i4>
      </vt:variant>
      <vt:variant>
        <vt:i4>12</vt:i4>
      </vt:variant>
      <vt:variant>
        <vt:i4>0</vt:i4>
      </vt:variant>
      <vt:variant>
        <vt:i4>5</vt:i4>
      </vt:variant>
      <vt:variant>
        <vt:lpwstr>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vt:lpwstr>
      </vt:variant>
      <vt:variant>
        <vt:lpwstr/>
      </vt:variant>
      <vt:variant>
        <vt:i4>655382</vt:i4>
      </vt:variant>
      <vt:variant>
        <vt:i4>9</vt:i4>
      </vt:variant>
      <vt:variant>
        <vt:i4>0</vt:i4>
      </vt:variant>
      <vt:variant>
        <vt:i4>5</vt:i4>
      </vt:variant>
      <vt:variant>
        <vt:lpwstr>https://www.fsrh.org/Public/Documents/fsrh-ceu-statement-response-to-recent-publication-regarding.aspx</vt:lpwstr>
      </vt:variant>
      <vt:variant>
        <vt:lpwstr>terms-used-in-the-guideline</vt:lpwstr>
      </vt:variant>
      <vt:variant>
        <vt:i4>3539064</vt:i4>
      </vt:variant>
      <vt:variant>
        <vt:i4>6</vt:i4>
      </vt:variant>
      <vt:variant>
        <vt:i4>0</vt:i4>
      </vt:variant>
      <vt:variant>
        <vt:i4>5</vt:i4>
      </vt:variant>
      <vt:variant>
        <vt:lpwstr>https://gbr01.safelinks.protection.outlook.com/</vt:lpwstr>
      </vt:variant>
      <vt:variant>
        <vt:lpwstr/>
      </vt:variant>
      <vt:variant>
        <vt:i4>5505113</vt:i4>
      </vt:variant>
      <vt:variant>
        <vt:i4>3</vt:i4>
      </vt:variant>
      <vt:variant>
        <vt:i4>0</vt:i4>
      </vt:variant>
      <vt:variant>
        <vt:i4>5</vt:i4>
      </vt:variant>
      <vt:variant>
        <vt:lpwstr>https://www.sps.nhs.uk/home/guidance/patient-group-directions-and-legal-mechanisms/national-pgd-protocol-and-written-instructions-templates/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2026-07-23T10:48:00Z</dcterms:created>
  <dcterms:modified xsi:type="dcterms:W3CDTF">2026-07-23T10:48:00Z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