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7A11C8F7"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1B1ABD">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0EF98E5F" w14:textId="77777777" w:rsidR="00867446" w:rsidRDefault="00AB5250" w:rsidP="006529F3">
      <w:pPr>
        <w:pStyle w:val="PGDTitle2"/>
        <w:rPr>
          <w:bCs/>
        </w:rPr>
      </w:pPr>
      <w:r w:rsidRPr="00AB5250">
        <w:t xml:space="preserve">Supply </w:t>
      </w:r>
      <w:r w:rsidR="003F15B0" w:rsidRPr="003F15B0">
        <w:rPr>
          <w:bCs/>
        </w:rPr>
        <w:t xml:space="preserve">of a </w:t>
      </w:r>
      <w:r w:rsidR="00867446" w:rsidRPr="00867446">
        <w:rPr>
          <w:bCs/>
        </w:rPr>
        <w:t xml:space="preserve">progestogen only </w:t>
      </w:r>
    </w:p>
    <w:p w14:paraId="523AC6C1" w14:textId="16D77E0C" w:rsidR="00AB5250" w:rsidRDefault="00867446" w:rsidP="006529F3">
      <w:pPr>
        <w:pStyle w:val="PGDTitle2"/>
      </w:pPr>
      <w:r w:rsidRPr="00867446">
        <w:rPr>
          <w:bCs/>
        </w:rPr>
        <w:t>contraceptive pill (POP)</w:t>
      </w:r>
      <w:r w:rsidR="005C6771" w:rsidRPr="00DF77C7">
        <w:t xml:space="preserve">in </w:t>
      </w:r>
    </w:p>
    <w:p w14:paraId="4799BFF7" w14:textId="1CC52575" w:rsidR="007A1448" w:rsidRPr="00DF77C7" w:rsidRDefault="00E46E97" w:rsidP="006529F3">
      <w:pPr>
        <w:pStyle w:val="PGDTitle2"/>
      </w:pPr>
      <w:r w:rsidRPr="00CB4B5A">
        <w:rPr>
          <w:highlight w:val="cyan"/>
        </w:rPr>
        <w:t>[</w:t>
      </w:r>
      <w:r w:rsidR="005C6771" w:rsidRPr="00CB4B5A">
        <w:rPr>
          <w:highlight w:val="cyan"/>
        </w:rPr>
        <w:t>location/service/organisation</w:t>
      </w:r>
      <w:r w:rsidRPr="00CB4B5A">
        <w:rPr>
          <w:highlight w:val="cyan"/>
        </w:rPr>
        <w:t>]</w:t>
      </w:r>
    </w:p>
    <w:p w14:paraId="446CEE0D" w14:textId="77777777" w:rsidR="006529F3" w:rsidRPr="00DF77C7" w:rsidRDefault="006529F3" w:rsidP="004C1FDF">
      <w:pPr>
        <w:pStyle w:val="PGDNormal"/>
      </w:pPr>
    </w:p>
    <w:p w14:paraId="70665420" w14:textId="7B6D740B"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5C38B5" w:rsidRPr="00097DDC">
        <w:rPr>
          <w:rStyle w:val="PGDVersionNumber"/>
          <w:color w:val="000000" w:themeColor="text1"/>
        </w:rPr>
        <w:t>3.</w:t>
      </w:r>
      <w:r w:rsidR="00E642F5" w:rsidRPr="00097DDC">
        <w:rPr>
          <w:rStyle w:val="PGDVersionNumber"/>
          <w:color w:val="000000" w:themeColor="text1"/>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03F15B0">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6829D5">
            <w:pPr>
              <w:pStyle w:val="TableHeaderRow"/>
              <w:rPr>
                <w:rStyle w:val="TableHeaderColumn"/>
                <w:b/>
                <w:bCs/>
                <w:sz w:val="22"/>
              </w:rPr>
            </w:pPr>
            <w:r w:rsidRPr="006A3850">
              <w:rPr>
                <w:rStyle w:val="TableHeaderColumn"/>
                <w:b/>
                <w:bCs/>
                <w:sz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044C6C">
            <w:pPr>
              <w:pStyle w:val="Tabletext"/>
            </w:pPr>
            <w:r w:rsidRPr="00044C6C">
              <w:rPr>
                <w:lang w:val="en-GB"/>
              </w:rPr>
              <w:t>Version 1</w:t>
            </w:r>
          </w:p>
          <w:p w14:paraId="564FB0F8" w14:textId="185EEF8A" w:rsidR="00E15FB4" w:rsidRPr="00044C6C" w:rsidRDefault="003F15B0" w:rsidP="00044C6C">
            <w:pPr>
              <w:pStyle w:val="Tabletext"/>
            </w:pPr>
            <w:r w:rsidRPr="00044C6C">
              <w:rPr>
                <w:lang w:val="en-GB"/>
              </w:rPr>
              <w:t>April</w:t>
            </w:r>
            <w:r w:rsidR="00AB5250" w:rsidRPr="00044C6C">
              <w:rPr>
                <w:lang w:val="en-GB"/>
              </w:rPr>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044C6C">
            <w:pPr>
              <w:pStyle w:val="Tabletext"/>
            </w:pPr>
            <w:r w:rsidRPr="00044C6C">
              <w:rPr>
                <w:lang w:val="en-GB"/>
              </w:rPr>
              <w:t>Version 1.1</w:t>
            </w:r>
          </w:p>
          <w:p w14:paraId="706980D9" w14:textId="107F10D0" w:rsidR="003F15B0" w:rsidRPr="00044C6C" w:rsidRDefault="003F15B0" w:rsidP="00044C6C">
            <w:pPr>
              <w:pStyle w:val="Tabletext"/>
            </w:pPr>
            <w:r w:rsidRPr="00044C6C">
              <w:rPr>
                <w:lang w:val="en-GB"/>
              </w:rPr>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00084D8E" w:rsidRPr="003F15B0">
              <w:t>cautions</w:t>
            </w:r>
            <w:r w:rsidRPr="003F15B0">
              <w:t xml:space="preserve"> section</w:t>
            </w:r>
            <w:proofErr w:type="gramEnd"/>
            <w:r w:rsidRPr="003F15B0">
              <w:t xml:space="preserve">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w:t>
            </w:r>
            <w:proofErr w:type="gramStart"/>
            <w:r w:rsidRPr="003F15B0">
              <w:t>added</w:t>
            </w:r>
            <w:proofErr w:type="gramEnd"/>
            <w:r w:rsidRPr="003F15B0">
              <w:t xml:space="preserve"> to exclusion criteria.  </w:t>
            </w:r>
          </w:p>
        </w:tc>
      </w:tr>
      <w:tr w:rsidR="003F15B0"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044C6C">
            <w:pPr>
              <w:pStyle w:val="Tabletext"/>
            </w:pPr>
            <w:r w:rsidRPr="00044C6C">
              <w:rPr>
                <w:lang w:val="en-GB"/>
              </w:rPr>
              <w:t>Version 2.0</w:t>
            </w:r>
          </w:p>
          <w:p w14:paraId="2B4ADCF1" w14:textId="4A2FF02C" w:rsidR="003F15B0" w:rsidRPr="00044C6C" w:rsidRDefault="003F15B0" w:rsidP="00044C6C">
            <w:pPr>
              <w:pStyle w:val="Tabletext"/>
            </w:pPr>
            <w:r w:rsidRPr="00044C6C">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63411FDA" w:rsidR="003F15B0" w:rsidRPr="003F15B0" w:rsidRDefault="003F15B0" w:rsidP="00867446">
            <w:pPr>
              <w:pStyle w:val="Tabletext"/>
            </w:pPr>
            <w:r w:rsidRPr="003F15B0">
              <w:t xml:space="preserve">Updated template – amended references and minor editing and wording changes/clarifications.  </w:t>
            </w:r>
          </w:p>
        </w:tc>
      </w:tr>
    </w:tbl>
    <w:p w14:paraId="79E41E39" w14:textId="77777777" w:rsidR="00097DDC" w:rsidRDefault="00097DDC"/>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67446" w14:paraId="0BEED8FE" w14:textId="77777777" w:rsidTr="00867446">
        <w:trPr>
          <w:trHeight w:val="442"/>
        </w:trPr>
        <w:tc>
          <w:tcPr>
            <w:tcW w:w="1995" w:type="dxa"/>
            <w:tcBorders>
              <w:top w:val="single" w:sz="4" w:space="0" w:color="auto"/>
              <w:left w:val="single" w:sz="4" w:space="0" w:color="auto"/>
              <w:bottom w:val="single" w:sz="4" w:space="0" w:color="auto"/>
              <w:right w:val="single" w:sz="4" w:space="0" w:color="auto"/>
            </w:tcBorders>
          </w:tcPr>
          <w:p w14:paraId="0E0C084C" w14:textId="77777777" w:rsidR="00867446" w:rsidRPr="00044C6C" w:rsidRDefault="00867446" w:rsidP="00044C6C">
            <w:pPr>
              <w:pStyle w:val="Tabletext"/>
            </w:pPr>
            <w:r w:rsidRPr="00044C6C">
              <w:rPr>
                <w:lang w:val="en-GB"/>
              </w:rPr>
              <w:lastRenderedPageBreak/>
              <w:t>Version 2.1</w:t>
            </w:r>
          </w:p>
          <w:p w14:paraId="7EA6F857" w14:textId="77777777" w:rsidR="00867446" w:rsidRPr="00044C6C" w:rsidRDefault="00867446" w:rsidP="00044C6C">
            <w:pPr>
              <w:pStyle w:val="Tabletext"/>
            </w:pPr>
            <w:r w:rsidRPr="00044C6C">
              <w:rPr>
                <w:lang w:val="en-GB"/>
              </w:rPr>
              <w:t>April 2024</w:t>
            </w:r>
          </w:p>
        </w:tc>
        <w:tc>
          <w:tcPr>
            <w:tcW w:w="6806" w:type="dxa"/>
            <w:tcBorders>
              <w:top w:val="single" w:sz="4" w:space="0" w:color="auto"/>
              <w:left w:val="single" w:sz="4" w:space="0" w:color="auto"/>
              <w:bottom w:val="single" w:sz="4" w:space="0" w:color="auto"/>
              <w:right w:val="single" w:sz="4" w:space="0" w:color="auto"/>
            </w:tcBorders>
          </w:tcPr>
          <w:p w14:paraId="66920C4D" w14:textId="77777777" w:rsidR="00867446" w:rsidRPr="00867446" w:rsidRDefault="00867446" w:rsidP="00867446">
            <w:pPr>
              <w:pStyle w:val="Tabletext"/>
            </w:pPr>
            <w:r w:rsidRPr="00867446">
              <w:t>Revised content with drospirenone information now UK product is available. Expanded on other POP active ingredients to distinguish. Added note re low risk of breast cancer. Updated references. Updated SLWG.</w:t>
            </w:r>
          </w:p>
        </w:tc>
      </w:tr>
      <w:tr w:rsidR="00867446" w:rsidRPr="00404E02" w14:paraId="1E742B3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7A94CCC8" w14:textId="77777777" w:rsidR="00867446" w:rsidRPr="00044C6C" w:rsidRDefault="00867446" w:rsidP="00044C6C">
            <w:pPr>
              <w:pStyle w:val="Tabletext"/>
            </w:pPr>
            <w:r w:rsidRPr="00044C6C">
              <w:rPr>
                <w:lang w:val="en-GB"/>
              </w:rPr>
              <w:t>Version 2.2</w:t>
            </w:r>
          </w:p>
          <w:p w14:paraId="67818BB9" w14:textId="39810859" w:rsidR="00867446" w:rsidRPr="00044C6C" w:rsidRDefault="00867446" w:rsidP="00044C6C">
            <w:pPr>
              <w:pStyle w:val="Tabletext"/>
            </w:pPr>
            <w:r w:rsidRPr="00044C6C">
              <w:rPr>
                <w:lang w:val="en-GB"/>
              </w:rPr>
              <w:t>April 2025</w:t>
            </w:r>
          </w:p>
        </w:tc>
        <w:tc>
          <w:tcPr>
            <w:tcW w:w="6806" w:type="dxa"/>
            <w:tcBorders>
              <w:top w:val="single" w:sz="4" w:space="0" w:color="auto"/>
              <w:left w:val="single" w:sz="4" w:space="0" w:color="auto"/>
              <w:bottom w:val="single" w:sz="4" w:space="0" w:color="auto"/>
              <w:right w:val="single" w:sz="4" w:space="0" w:color="auto"/>
            </w:tcBorders>
          </w:tcPr>
          <w:p w14:paraId="6FDA22C1" w14:textId="34C945DE" w:rsidR="00867446" w:rsidRPr="003F15B0" w:rsidRDefault="00867446" w:rsidP="00867446">
            <w:pPr>
              <w:pStyle w:val="Tabletext"/>
            </w:pPr>
            <w:r w:rsidRPr="00867446">
              <w:t>Added statement on advice when used in combination with GLP-1 agonists. Updated references.</w:t>
            </w:r>
          </w:p>
        </w:tc>
      </w:tr>
      <w:tr w:rsidR="003F15B0" w:rsidRPr="00404E02" w14:paraId="7C4F80B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4BB0BB22" w:rsidR="003F15B0" w:rsidRPr="00044C6C" w:rsidRDefault="003F15B0" w:rsidP="00044C6C">
            <w:pPr>
              <w:pStyle w:val="Tabletext"/>
            </w:pPr>
            <w:r w:rsidRPr="00044C6C">
              <w:rPr>
                <w:lang w:val="en-GB"/>
              </w:rPr>
              <w:t>Vers</w:t>
            </w:r>
            <w:r w:rsidR="00867446" w:rsidRPr="00044C6C">
              <w:rPr>
                <w:lang w:val="en-GB"/>
              </w:rPr>
              <w:t>io</w:t>
            </w:r>
            <w:r w:rsidRPr="00044C6C">
              <w:rPr>
                <w:lang w:val="en-GB"/>
              </w:rPr>
              <w:t>n 2.3</w:t>
            </w:r>
          </w:p>
          <w:p w14:paraId="173E6837" w14:textId="0B4B168A" w:rsidR="003F15B0" w:rsidRPr="00044C6C" w:rsidRDefault="00867446" w:rsidP="00044C6C">
            <w:pPr>
              <w:pStyle w:val="Tabletext"/>
            </w:pPr>
            <w:r w:rsidRPr="00044C6C">
              <w:rPr>
                <w:lang w:val="en-GB"/>
              </w:rPr>
              <w:t xml:space="preserve">July </w:t>
            </w:r>
            <w:r w:rsidR="003F15B0" w:rsidRPr="00044C6C">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5030D45B" w14:textId="535142FB" w:rsidR="003F15B0" w:rsidRPr="003F15B0" w:rsidRDefault="00867446" w:rsidP="003F15B0">
            <w:pPr>
              <w:pStyle w:val="Tabletext"/>
            </w:pPr>
            <w:r w:rsidRPr="00867446">
              <w:rPr>
                <w:lang w:val="en-GB"/>
              </w:rPr>
              <w:t>Added statement on advice on desogestrel and risk of meningioma. Updated references.</w:t>
            </w:r>
          </w:p>
        </w:tc>
      </w:tr>
      <w:tr w:rsidR="005C38B5" w:rsidRPr="00404E02" w14:paraId="56DC140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D9D97A1" w14:textId="77777777" w:rsidR="005C38B5" w:rsidRPr="00044C6C" w:rsidRDefault="005C38B5" w:rsidP="00044C6C">
            <w:pPr>
              <w:pStyle w:val="Tabletext"/>
            </w:pPr>
            <w:r w:rsidRPr="00044C6C">
              <w:rPr>
                <w:lang w:val="en-GB"/>
              </w:rPr>
              <w:t>Version 3.0</w:t>
            </w:r>
          </w:p>
          <w:p w14:paraId="3998D9CA" w14:textId="736BF649" w:rsidR="005C38B5" w:rsidRPr="00044C6C" w:rsidRDefault="005C38B5" w:rsidP="00044C6C">
            <w:pPr>
              <w:pStyle w:val="Tabletext"/>
            </w:pPr>
            <w:r w:rsidRPr="00044C6C">
              <w:rPr>
                <w:lang w:val="en-GB"/>
              </w:rPr>
              <w:t>October 2025</w:t>
            </w:r>
          </w:p>
        </w:tc>
        <w:tc>
          <w:tcPr>
            <w:tcW w:w="6806" w:type="dxa"/>
            <w:tcBorders>
              <w:top w:val="single" w:sz="4" w:space="0" w:color="auto"/>
              <w:left w:val="single" w:sz="4" w:space="0" w:color="auto"/>
              <w:bottom w:val="single" w:sz="4" w:space="0" w:color="auto"/>
              <w:right w:val="single" w:sz="4" w:space="0" w:color="auto"/>
            </w:tcBorders>
          </w:tcPr>
          <w:p w14:paraId="37E7E8D5" w14:textId="745515B3" w:rsidR="005C38B5" w:rsidRPr="003F15B0" w:rsidRDefault="00867446" w:rsidP="003F15B0">
            <w:pPr>
              <w:pStyle w:val="Tabletext"/>
            </w:pPr>
            <w:r w:rsidRPr="00867446">
              <w:rPr>
                <w:lang w:val="en-GB"/>
              </w:rPr>
              <w:t>Planned end of life review. Updated reference to FSRH to CoSRH. Added statement regarding use after childbirth. Minor rewording to align the RH PGDs content, and update terminology. Update SLWG and references.</w:t>
            </w:r>
          </w:p>
        </w:tc>
      </w:tr>
      <w:tr w:rsidR="008C23F4" w:rsidRPr="00097DDC" w14:paraId="6D0F0F3A"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918B0D8" w14:textId="006A8CFC" w:rsidR="008C23F4" w:rsidRPr="00097DDC" w:rsidRDefault="008C23F4" w:rsidP="008C23F4">
            <w:pPr>
              <w:pStyle w:val="Tabletext"/>
              <w:rPr>
                <w:color w:val="000000" w:themeColor="text1"/>
              </w:rPr>
            </w:pPr>
            <w:r w:rsidRPr="00097DDC">
              <w:rPr>
                <w:color w:val="000000" w:themeColor="text1"/>
              </w:rPr>
              <w:t>Version 3.</w:t>
            </w:r>
            <w:r w:rsidR="00FD1904" w:rsidRPr="00097DDC">
              <w:rPr>
                <w:color w:val="000000" w:themeColor="text1"/>
              </w:rPr>
              <w:t>1</w:t>
            </w:r>
          </w:p>
          <w:p w14:paraId="7D764EC9" w14:textId="23452D2E" w:rsidR="008C23F4" w:rsidRPr="00097DDC" w:rsidRDefault="008C23F4" w:rsidP="008C23F4">
            <w:pPr>
              <w:pStyle w:val="Tabletext"/>
              <w:rPr>
                <w:color w:val="000000" w:themeColor="text1"/>
                <w:lang w:val="en-GB"/>
              </w:rPr>
            </w:pPr>
            <w:r w:rsidRPr="00097DDC">
              <w:rPr>
                <w:color w:val="000000" w:themeColor="text1"/>
              </w:rPr>
              <w:t>July 2026</w:t>
            </w:r>
          </w:p>
        </w:tc>
        <w:tc>
          <w:tcPr>
            <w:tcW w:w="6806" w:type="dxa"/>
            <w:tcBorders>
              <w:top w:val="single" w:sz="4" w:space="0" w:color="auto"/>
              <w:left w:val="single" w:sz="4" w:space="0" w:color="auto"/>
              <w:bottom w:val="single" w:sz="4" w:space="0" w:color="auto"/>
              <w:right w:val="single" w:sz="4" w:space="0" w:color="auto"/>
            </w:tcBorders>
          </w:tcPr>
          <w:p w14:paraId="3EB97D77" w14:textId="73659B93" w:rsidR="008C23F4" w:rsidRPr="00097DDC" w:rsidRDefault="008C23F4" w:rsidP="008C23F4">
            <w:pPr>
              <w:pStyle w:val="Tabletext"/>
              <w:rPr>
                <w:color w:val="000000" w:themeColor="text1"/>
                <w:lang w:val="en-GB"/>
              </w:rPr>
            </w:pPr>
            <w:r w:rsidRPr="00097DDC">
              <w:rPr>
                <w:color w:val="000000" w:themeColor="text1"/>
              </w:rPr>
              <w:t>Progestogen-containing contraceptives and risk of meningioma added to Criteria for Exclusion and Further Advice to be Given to Individual</w:t>
            </w:r>
            <w:r w:rsidR="39C88B5D" w:rsidRPr="00097DDC">
              <w:rPr>
                <w:color w:val="000000" w:themeColor="text1"/>
              </w:rPr>
              <w:t xml:space="preserve"> </w:t>
            </w:r>
            <w:r w:rsidR="39C88B5D" w:rsidRPr="00097DDC">
              <w:rPr>
                <w:rFonts w:eastAsia="Arial" w:cs="Arial"/>
                <w:color w:val="000000" w:themeColor="text1"/>
                <w:szCs w:val="22"/>
              </w:rPr>
              <w:t>reflecting CoSRH statement July 2026</w:t>
            </w:r>
            <w:r w:rsidRPr="00097DDC">
              <w:rPr>
                <w:color w:val="000000" w:themeColor="text1"/>
              </w:rPr>
              <w:t xml:space="preserve">. </w:t>
            </w:r>
            <w:r w:rsidR="00614AA5" w:rsidRPr="00097DDC">
              <w:rPr>
                <w:color w:val="000000" w:themeColor="text1"/>
                <w:lang w:val="en-GB"/>
              </w:rPr>
              <w:t xml:space="preserve">Removed specific reference to desogestrel and meningioma risk. </w:t>
            </w:r>
            <w:r w:rsidRPr="00097DDC">
              <w:rPr>
                <w:color w:val="000000" w:themeColor="text1"/>
              </w:rPr>
              <w:t>References updated.</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1B1ABD">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305"/>
        <w:gridCol w:w="4200"/>
      </w:tblGrid>
      <w:tr w:rsidR="003F15B0" w:rsidRPr="00DF77C7" w14:paraId="2D1BCEA8" w14:textId="77777777" w:rsidTr="55E89EEF">
        <w:tc>
          <w:tcPr>
            <w:tcW w:w="4305"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200" w:type="dxa"/>
            <w:tcBorders>
              <w:top w:val="single" w:sz="4" w:space="0" w:color="auto"/>
              <w:left w:val="single" w:sz="4" w:space="0" w:color="auto"/>
              <w:bottom w:val="single" w:sz="4" w:space="0" w:color="auto"/>
              <w:right w:val="single" w:sz="4" w:space="0" w:color="auto"/>
            </w:tcBorders>
          </w:tcPr>
          <w:p w14:paraId="1C02A90B" w14:textId="43497A40"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April 202</w:t>
            </w:r>
            <w:r w:rsidR="005C38B5">
              <w:t>6</w:t>
            </w:r>
          </w:p>
        </w:tc>
      </w:tr>
      <w:tr w:rsidR="003F15B0" w:rsidRPr="00DF77C7" w14:paraId="18F33630" w14:textId="77777777" w:rsidTr="55E89EEF">
        <w:tc>
          <w:tcPr>
            <w:tcW w:w="4305" w:type="dxa"/>
          </w:tcPr>
          <w:p w14:paraId="40ECC743" w14:textId="7F4BD51B" w:rsidR="003F15B0" w:rsidRPr="00DF77C7" w:rsidRDefault="003F15B0" w:rsidP="003F15B0">
            <w:pPr>
              <w:pStyle w:val="Tabletext"/>
              <w:rPr>
                <w:lang w:val="en-GB"/>
              </w:rPr>
            </w:pPr>
            <w:r w:rsidRPr="00DF77C7">
              <w:rPr>
                <w:lang w:val="en-GB"/>
              </w:rPr>
              <w:t>Review date</w:t>
            </w:r>
          </w:p>
        </w:tc>
        <w:tc>
          <w:tcPr>
            <w:tcW w:w="4200" w:type="dxa"/>
            <w:tcBorders>
              <w:top w:val="single" w:sz="4" w:space="0" w:color="auto"/>
              <w:left w:val="single" w:sz="4" w:space="0" w:color="auto"/>
              <w:bottom w:val="single" w:sz="4" w:space="0" w:color="auto"/>
              <w:right w:val="single" w:sz="4" w:space="0" w:color="auto"/>
            </w:tcBorders>
          </w:tcPr>
          <w:p w14:paraId="56A527C3" w14:textId="0E1DDBA8"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September 202</w:t>
            </w:r>
            <w:r w:rsidR="005C38B5">
              <w:t>8</w:t>
            </w:r>
          </w:p>
        </w:tc>
      </w:tr>
      <w:tr w:rsidR="003F15B0" w:rsidRPr="00DF77C7" w14:paraId="0FB80BBA" w14:textId="77777777" w:rsidTr="55E89EEF">
        <w:tc>
          <w:tcPr>
            <w:tcW w:w="4305"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200" w:type="dxa"/>
            <w:tcBorders>
              <w:top w:val="single" w:sz="4" w:space="0" w:color="auto"/>
              <w:left w:val="single" w:sz="4" w:space="0" w:color="auto"/>
              <w:bottom w:val="single" w:sz="4" w:space="0" w:color="auto"/>
              <w:right w:val="single" w:sz="4" w:space="0" w:color="auto"/>
            </w:tcBorders>
          </w:tcPr>
          <w:p w14:paraId="58AA136C" w14:textId="4D193BC7" w:rsidR="003F15B0" w:rsidRPr="00AE42D7" w:rsidRDefault="00187B60" w:rsidP="003F15B0">
            <w:pPr>
              <w:pStyle w:val="Tabletext"/>
              <w:rPr>
                <w:lang w:val="en-GB"/>
              </w:rPr>
            </w:pPr>
            <w:r>
              <w:t>31</w:t>
            </w:r>
            <w:r w:rsidR="006A3850" w:rsidRPr="006A3850">
              <w:rPr>
                <w:vertAlign w:val="superscript"/>
              </w:rPr>
              <w:t>st</w:t>
            </w:r>
            <w:r>
              <w:t xml:space="preserve"> </w:t>
            </w:r>
            <w:r w:rsidR="003F15B0" w:rsidRPr="009418FD">
              <w:t>March 202</w:t>
            </w:r>
            <w:r w:rsidR="005C38B5">
              <w:t>9</w:t>
            </w:r>
            <w:r w:rsidR="00D23423">
              <w:t xml:space="preserve">   </w:t>
            </w:r>
          </w:p>
        </w:tc>
      </w:tr>
    </w:tbl>
    <w:p w14:paraId="22A68ADB" w14:textId="77777777" w:rsidR="00050C45" w:rsidRPr="00DF77C7" w:rsidRDefault="00050C45" w:rsidP="00F57606">
      <w:pPr>
        <w:pStyle w:val="Tabletext"/>
      </w:pPr>
    </w:p>
    <w:p w14:paraId="48BE52E5" w14:textId="5319F3F6" w:rsidR="00AB5250" w:rsidRDefault="00AB5250" w:rsidP="55E89EEF">
      <w:pPr>
        <w:pStyle w:val="PGDNormal"/>
      </w:pPr>
      <w:r>
        <w:t xml:space="preserve">This PGD template has been peer reviewed by the Reproductive Health PGDs Short Life Working Group in accordance with their Terms of Reference. </w:t>
      </w:r>
      <w:r w:rsidR="6CE4AF9F">
        <w:t xml:space="preserve"> </w:t>
      </w:r>
      <w:r w:rsidR="6CE4AF9F" w:rsidRPr="55E89EEF">
        <w:rPr>
          <w:rFonts w:eastAsia="Arial" w:cs="Arial"/>
          <w:color w:val="000000" w:themeColor="text1"/>
          <w:szCs w:val="22"/>
          <w:lang w:val="en-GB"/>
        </w:rPr>
        <w:t xml:space="preserve">It has been approved by the College of Sexual and Reproductive Healthcare (CoSRH) </w:t>
      </w:r>
      <w:r w:rsidR="6CE4AF9F" w:rsidRPr="55E89EEF">
        <w:rPr>
          <w:rFonts w:eastAsia="Arial" w:cs="Arial"/>
          <w:color w:val="000000" w:themeColor="text1"/>
          <w:szCs w:val="22"/>
        </w:rPr>
        <w:t xml:space="preserve">in January 2026. </w:t>
      </w:r>
    </w:p>
    <w:p w14:paraId="58CD625E" w14:textId="4D052F2D" w:rsidR="00050C45" w:rsidRPr="00627030"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627030">
        <w:fldChar w:fldCharType="begin"/>
      </w:r>
      <w:r w:rsidR="00627030">
        <w:instrText>HYPERLINK "https://www.sps.nhs.uk/home/guidance/patient-group-directions-and-legal-mechanisms/national-pgd-protocol-and-written-instructions-templates/"</w:instrText>
      </w:r>
      <w:r w:rsidR="00627030">
        <w:fldChar w:fldCharType="separate"/>
      </w:r>
      <w:r w:rsidR="006829D5" w:rsidRPr="00627030">
        <w:rPr>
          <w:rStyle w:val="Hyperlink"/>
        </w:rPr>
        <w:t>SPS national PGD template webpage.</w:t>
      </w:r>
    </w:p>
    <w:p w14:paraId="6EA0E318" w14:textId="68C7C38F" w:rsidR="00050C45" w:rsidRPr="00DF77C7" w:rsidRDefault="00627030" w:rsidP="00F57606">
      <w:pPr>
        <w:pStyle w:val="Tabletext"/>
      </w:pPr>
      <w: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8F46D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58595B">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58595B">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0058595B">
        <w:trPr>
          <w:trHeight w:val="413"/>
        </w:trPr>
        <w:tc>
          <w:tcPr>
            <w:tcW w:w="2297" w:type="dxa"/>
            <w:vAlign w:val="center"/>
          </w:tcPr>
          <w:p w14:paraId="239390D1" w14:textId="77777777" w:rsidR="00064511" w:rsidRPr="00DF59C5" w:rsidRDefault="00064511" w:rsidP="0058595B">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58595B">
            <w:pPr>
              <w:pStyle w:val="Tabletext"/>
              <w:rPr>
                <w:rFonts w:eastAsia="Calibri"/>
                <w:lang w:val="en-GB"/>
              </w:rPr>
            </w:pPr>
            <w:r w:rsidRPr="0050579C">
              <w:rPr>
                <w:rFonts w:cs="Arial"/>
              </w:rPr>
              <w:t>Community pharmacist</w:t>
            </w:r>
          </w:p>
        </w:tc>
      </w:tr>
      <w:tr w:rsidR="00064511" w:rsidRPr="00DF77C7" w14:paraId="16AFD468" w14:textId="77777777" w:rsidTr="0058595B">
        <w:trPr>
          <w:trHeight w:val="413"/>
        </w:trPr>
        <w:tc>
          <w:tcPr>
            <w:tcW w:w="2297" w:type="dxa"/>
            <w:vAlign w:val="center"/>
          </w:tcPr>
          <w:p w14:paraId="22BC4D5A" w14:textId="77777777" w:rsidR="00064511" w:rsidRPr="00DF59C5" w:rsidRDefault="00064511" w:rsidP="0058595B">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58595B">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0058595B">
        <w:trPr>
          <w:trHeight w:val="413"/>
        </w:trPr>
        <w:tc>
          <w:tcPr>
            <w:tcW w:w="2297" w:type="dxa"/>
            <w:vAlign w:val="center"/>
          </w:tcPr>
          <w:p w14:paraId="72745439" w14:textId="77777777" w:rsidR="00064511" w:rsidRPr="00DF59C5" w:rsidRDefault="00064511" w:rsidP="0058595B">
            <w:pPr>
              <w:pStyle w:val="Tabletext"/>
              <w:rPr>
                <w:lang w:val="en-GB"/>
              </w:rPr>
            </w:pPr>
            <w:r w:rsidRPr="00C749BF">
              <w:t>Carmel Lloyd</w:t>
            </w:r>
          </w:p>
        </w:tc>
        <w:tc>
          <w:tcPr>
            <w:tcW w:w="6912" w:type="dxa"/>
            <w:vAlign w:val="center"/>
          </w:tcPr>
          <w:p w14:paraId="73D0029E" w14:textId="77777777" w:rsidR="00064511" w:rsidRPr="002416AD" w:rsidRDefault="00064511" w:rsidP="0058595B">
            <w:pPr>
              <w:pStyle w:val="Tabletext"/>
              <w:rPr>
                <w:lang w:val="en-GB"/>
              </w:rPr>
            </w:pPr>
            <w:r w:rsidRPr="00D10926">
              <w:rPr>
                <w:rFonts w:cs="Arial"/>
              </w:rPr>
              <w:t>Royal College of Midwives (RCM)</w:t>
            </w:r>
          </w:p>
        </w:tc>
      </w:tr>
      <w:tr w:rsidR="00064511" w:rsidRPr="00DF77C7" w14:paraId="3F58FB80" w14:textId="77777777" w:rsidTr="0058595B">
        <w:trPr>
          <w:trHeight w:val="382"/>
        </w:trPr>
        <w:tc>
          <w:tcPr>
            <w:tcW w:w="2297" w:type="dxa"/>
            <w:vAlign w:val="center"/>
          </w:tcPr>
          <w:p w14:paraId="66F050B1" w14:textId="77777777" w:rsidR="00064511" w:rsidRPr="00DF59C5" w:rsidRDefault="00064511" w:rsidP="0058595B">
            <w:pPr>
              <w:pStyle w:val="Tabletext"/>
              <w:rPr>
                <w:lang w:val="en-GB"/>
              </w:rPr>
            </w:pPr>
            <w:r w:rsidRPr="00C749BF">
              <w:t>Dr Cindy Farmer</w:t>
            </w:r>
          </w:p>
        </w:tc>
        <w:tc>
          <w:tcPr>
            <w:tcW w:w="6912" w:type="dxa"/>
            <w:vAlign w:val="center"/>
          </w:tcPr>
          <w:p w14:paraId="2C5476A9" w14:textId="77777777" w:rsidR="00064511" w:rsidRPr="002416AD" w:rsidRDefault="00064511" w:rsidP="0058595B">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0058595B">
        <w:trPr>
          <w:trHeight w:val="383"/>
        </w:trPr>
        <w:tc>
          <w:tcPr>
            <w:tcW w:w="2297" w:type="dxa"/>
            <w:vAlign w:val="center"/>
          </w:tcPr>
          <w:p w14:paraId="53B529A0" w14:textId="77777777" w:rsidR="00064511" w:rsidRPr="00DF59C5" w:rsidRDefault="00064511" w:rsidP="0058595B">
            <w:pPr>
              <w:pStyle w:val="Tabletext"/>
              <w:rPr>
                <w:lang w:val="en-GB"/>
              </w:rPr>
            </w:pPr>
            <w:r w:rsidRPr="00C749BF">
              <w:t>Clare Livingstone</w:t>
            </w:r>
          </w:p>
        </w:tc>
        <w:tc>
          <w:tcPr>
            <w:tcW w:w="6912" w:type="dxa"/>
            <w:vAlign w:val="center"/>
          </w:tcPr>
          <w:p w14:paraId="680ACDF1" w14:textId="77777777" w:rsidR="00064511" w:rsidRPr="002416AD" w:rsidRDefault="00064511" w:rsidP="0058595B">
            <w:pPr>
              <w:pStyle w:val="Tabletext"/>
              <w:rPr>
                <w:lang w:val="en-GB"/>
              </w:rPr>
            </w:pPr>
            <w:r w:rsidRPr="00D10926">
              <w:rPr>
                <w:rFonts w:cs="Arial"/>
              </w:rPr>
              <w:t>Royal College of Midwives (RCM)</w:t>
            </w:r>
          </w:p>
        </w:tc>
      </w:tr>
      <w:tr w:rsidR="00064511" w:rsidRPr="00DF77C7" w14:paraId="63CC4C22" w14:textId="77777777" w:rsidTr="0058595B">
        <w:trPr>
          <w:trHeight w:val="383"/>
        </w:trPr>
        <w:tc>
          <w:tcPr>
            <w:tcW w:w="2297" w:type="dxa"/>
            <w:vAlign w:val="center"/>
          </w:tcPr>
          <w:p w14:paraId="611AF331" w14:textId="77777777" w:rsidR="00064511" w:rsidRPr="00DF59C5" w:rsidRDefault="00064511" w:rsidP="0058595B">
            <w:pPr>
              <w:pStyle w:val="Tabletext"/>
              <w:rPr>
                <w:lang w:val="en-GB"/>
              </w:rPr>
            </w:pPr>
            <w:r w:rsidRPr="00C749BF">
              <w:t>Dipti Patel</w:t>
            </w:r>
          </w:p>
        </w:tc>
        <w:tc>
          <w:tcPr>
            <w:tcW w:w="6912" w:type="dxa"/>
            <w:vAlign w:val="center"/>
          </w:tcPr>
          <w:p w14:paraId="61F08933" w14:textId="77777777" w:rsidR="00064511" w:rsidRPr="002416AD" w:rsidRDefault="00064511" w:rsidP="0058595B">
            <w:pPr>
              <w:pStyle w:val="Tabletext"/>
              <w:rPr>
                <w:lang w:val="en-GB"/>
              </w:rPr>
            </w:pPr>
            <w:r w:rsidRPr="00D10926">
              <w:t xml:space="preserve">Local authority pharmacist </w:t>
            </w:r>
          </w:p>
        </w:tc>
      </w:tr>
      <w:tr w:rsidR="00064511" w:rsidRPr="00DF77C7" w14:paraId="4E26A429" w14:textId="77777777" w:rsidTr="0058595B">
        <w:trPr>
          <w:trHeight w:val="383"/>
        </w:trPr>
        <w:tc>
          <w:tcPr>
            <w:tcW w:w="2297" w:type="dxa"/>
            <w:vAlign w:val="center"/>
          </w:tcPr>
          <w:p w14:paraId="2F918FB1" w14:textId="77777777" w:rsidR="00064511" w:rsidRPr="00DF59C5" w:rsidRDefault="00064511" w:rsidP="0058595B">
            <w:pPr>
              <w:pStyle w:val="Tabletext"/>
              <w:rPr>
                <w:lang w:val="en-GB"/>
              </w:rPr>
            </w:pPr>
            <w:r w:rsidRPr="00C749BF">
              <w:t>Emma Anderson</w:t>
            </w:r>
          </w:p>
        </w:tc>
        <w:tc>
          <w:tcPr>
            <w:tcW w:w="6912" w:type="dxa"/>
            <w:vAlign w:val="center"/>
          </w:tcPr>
          <w:p w14:paraId="7E423CE2" w14:textId="77777777" w:rsidR="00064511" w:rsidRPr="002416AD" w:rsidRDefault="00064511" w:rsidP="0058595B">
            <w:pPr>
              <w:pStyle w:val="Tabletext"/>
              <w:rPr>
                <w:lang w:val="en-GB"/>
              </w:rPr>
            </w:pPr>
            <w:r w:rsidRPr="00D10926">
              <w:t>Centre for Postgraduate Pharmacy Education (CPPE)</w:t>
            </w:r>
          </w:p>
        </w:tc>
      </w:tr>
      <w:tr w:rsidR="00064511" w:rsidRPr="00DF77C7" w14:paraId="781A3862" w14:textId="77777777" w:rsidTr="0058595B">
        <w:trPr>
          <w:trHeight w:val="383"/>
        </w:trPr>
        <w:tc>
          <w:tcPr>
            <w:tcW w:w="2297" w:type="dxa"/>
            <w:vAlign w:val="center"/>
          </w:tcPr>
          <w:p w14:paraId="3B748EB0" w14:textId="77777777" w:rsidR="00064511" w:rsidRPr="00DF59C5" w:rsidRDefault="00064511" w:rsidP="0058595B">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58595B">
            <w:pPr>
              <w:pStyle w:val="Tabletext"/>
              <w:rPr>
                <w:rFonts w:eastAsia="Calibri"/>
                <w:lang w:val="en-GB"/>
              </w:rPr>
            </w:pPr>
            <w:r w:rsidRPr="00121A81">
              <w:t>Royal College of Nursing</w:t>
            </w:r>
          </w:p>
        </w:tc>
      </w:tr>
      <w:tr w:rsidR="00064511" w:rsidRPr="00DF77C7" w14:paraId="37FA6C30" w14:textId="77777777" w:rsidTr="0058595B">
        <w:trPr>
          <w:trHeight w:val="383"/>
        </w:trPr>
        <w:tc>
          <w:tcPr>
            <w:tcW w:w="2297" w:type="dxa"/>
            <w:vAlign w:val="center"/>
          </w:tcPr>
          <w:p w14:paraId="20F20E53" w14:textId="77777777" w:rsidR="00064511" w:rsidRPr="00DF59C5" w:rsidRDefault="00064511" w:rsidP="0058595B">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58595B">
            <w:pPr>
              <w:pStyle w:val="Tabletext"/>
              <w:rPr>
                <w:rFonts w:eastAsia="Calibri"/>
                <w:lang w:val="en-GB"/>
              </w:rPr>
            </w:pPr>
            <w:r w:rsidRPr="0050579C">
              <w:t>Clinical Nurse Specialist</w:t>
            </w:r>
          </w:p>
        </w:tc>
      </w:tr>
      <w:tr w:rsidR="00064511" w:rsidRPr="00094B2C" w14:paraId="50668E9D" w14:textId="77777777" w:rsidTr="0058595B">
        <w:trPr>
          <w:trHeight w:val="383"/>
        </w:trPr>
        <w:tc>
          <w:tcPr>
            <w:tcW w:w="2297" w:type="dxa"/>
            <w:vAlign w:val="center"/>
          </w:tcPr>
          <w:p w14:paraId="1D15476E" w14:textId="77777777" w:rsidR="00064511" w:rsidRPr="00094B2C" w:rsidRDefault="00064511" w:rsidP="0058595B">
            <w:pPr>
              <w:pStyle w:val="Tabletext"/>
              <w:rPr>
                <w:kern w:val="2"/>
              </w:rPr>
            </w:pPr>
            <w:r w:rsidRPr="00C749BF">
              <w:t>Kate Devonport</w:t>
            </w:r>
          </w:p>
        </w:tc>
        <w:tc>
          <w:tcPr>
            <w:tcW w:w="6912" w:type="dxa"/>
            <w:vAlign w:val="center"/>
          </w:tcPr>
          <w:p w14:paraId="54620BAB" w14:textId="77777777" w:rsidR="00064511" w:rsidRPr="00094B2C" w:rsidRDefault="00064511" w:rsidP="0058595B">
            <w:pPr>
              <w:pStyle w:val="Tabletext"/>
              <w:rPr>
                <w:kern w:val="2"/>
              </w:rPr>
            </w:pPr>
            <w:r w:rsidRPr="00D04FDD">
              <w:t>National Unplanned Pregnancy Association (NUPAS)</w:t>
            </w:r>
          </w:p>
        </w:tc>
      </w:tr>
      <w:tr w:rsidR="00064511" w:rsidRPr="00DF77C7" w14:paraId="6A965301" w14:textId="77777777" w:rsidTr="0058595B">
        <w:trPr>
          <w:trHeight w:val="383"/>
        </w:trPr>
        <w:tc>
          <w:tcPr>
            <w:tcW w:w="2297" w:type="dxa"/>
            <w:vAlign w:val="center"/>
          </w:tcPr>
          <w:p w14:paraId="097A01AB" w14:textId="77777777" w:rsidR="00064511" w:rsidRPr="00DF59C5" w:rsidRDefault="00064511" w:rsidP="0058595B">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58595B">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0058595B">
        <w:trPr>
          <w:trHeight w:val="383"/>
        </w:trPr>
        <w:tc>
          <w:tcPr>
            <w:tcW w:w="2297" w:type="dxa"/>
            <w:vAlign w:val="center"/>
          </w:tcPr>
          <w:p w14:paraId="23FB2B2D" w14:textId="77777777" w:rsidR="00064511" w:rsidRPr="00DF59C5" w:rsidRDefault="00064511" w:rsidP="0058595B">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58595B">
            <w:pPr>
              <w:pStyle w:val="Tabletext"/>
              <w:rPr>
                <w:rFonts w:eastAsia="Calibri"/>
                <w:color w:val="000000"/>
                <w:lang w:val="en-GB"/>
              </w:rPr>
            </w:pPr>
            <w:r w:rsidRPr="00D10926">
              <w:t xml:space="preserve">Community Health Services pharmacist </w:t>
            </w:r>
          </w:p>
        </w:tc>
      </w:tr>
      <w:tr w:rsidR="00064511" w:rsidRPr="00DF77C7" w14:paraId="5423EC55" w14:textId="77777777" w:rsidTr="0058595B">
        <w:trPr>
          <w:trHeight w:val="428"/>
        </w:trPr>
        <w:tc>
          <w:tcPr>
            <w:tcW w:w="2297" w:type="dxa"/>
            <w:vAlign w:val="center"/>
          </w:tcPr>
          <w:p w14:paraId="2F5E3A83" w14:textId="77777777" w:rsidR="00064511" w:rsidRPr="00C749BF" w:rsidRDefault="00064511" w:rsidP="0058595B">
            <w:pPr>
              <w:pStyle w:val="Tabletext"/>
            </w:pPr>
            <w:r w:rsidRPr="00C749BF">
              <w:t>Michelle Jenkins</w:t>
            </w:r>
          </w:p>
          <w:p w14:paraId="4CF79273" w14:textId="77777777" w:rsidR="00064511" w:rsidRPr="00DF59C5" w:rsidRDefault="00064511" w:rsidP="0058595B">
            <w:pPr>
              <w:pStyle w:val="Tabletext"/>
              <w:rPr>
                <w:rFonts w:eastAsia="Calibri"/>
                <w:lang w:val="en-GB"/>
              </w:rPr>
            </w:pPr>
          </w:p>
        </w:tc>
        <w:tc>
          <w:tcPr>
            <w:tcW w:w="6912" w:type="dxa"/>
            <w:vAlign w:val="center"/>
          </w:tcPr>
          <w:p w14:paraId="50BA1DF8" w14:textId="77777777" w:rsidR="00064511" w:rsidRDefault="00064511" w:rsidP="0058595B">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58595B">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0058595B">
        <w:trPr>
          <w:trHeight w:val="331"/>
        </w:trPr>
        <w:tc>
          <w:tcPr>
            <w:tcW w:w="2297" w:type="dxa"/>
            <w:vAlign w:val="center"/>
          </w:tcPr>
          <w:p w14:paraId="012E653B" w14:textId="77777777" w:rsidR="00064511" w:rsidRPr="00900916" w:rsidRDefault="00064511" w:rsidP="0058595B">
            <w:pPr>
              <w:pStyle w:val="Tabletext"/>
            </w:pPr>
            <w:r w:rsidRPr="00C749BF">
              <w:t>Portia Jackson</w:t>
            </w:r>
          </w:p>
        </w:tc>
        <w:tc>
          <w:tcPr>
            <w:tcW w:w="6912" w:type="dxa"/>
            <w:vAlign w:val="center"/>
          </w:tcPr>
          <w:p w14:paraId="6BEE2E92" w14:textId="30DC3D56" w:rsidR="00064511" w:rsidRPr="00900916" w:rsidRDefault="00E34F53" w:rsidP="0058595B">
            <w:pPr>
              <w:pStyle w:val="Tabletext"/>
            </w:pPr>
            <w:r w:rsidRPr="00C8140C">
              <w:rPr>
                <w:rFonts w:cs="Arial"/>
                <w:szCs w:val="22"/>
              </w:rPr>
              <w:t xml:space="preserve">Deputy Chief Pharmacist and Lead for iCaSH </w:t>
            </w:r>
            <w:r>
              <w:rPr>
                <w:rFonts w:cs="Arial"/>
                <w:szCs w:val="22"/>
              </w:rPr>
              <w:br/>
            </w:r>
            <w:r w:rsidRPr="00C8140C">
              <w:rPr>
                <w:rFonts w:cs="Arial"/>
                <w:szCs w:val="22"/>
              </w:rPr>
              <w:t>East of England Community Health and Care NHS Trust</w:t>
            </w:r>
          </w:p>
        </w:tc>
      </w:tr>
      <w:tr w:rsidR="00064511" w:rsidRPr="00DF77C7" w14:paraId="1C13EA67" w14:textId="77777777" w:rsidTr="0058595B">
        <w:trPr>
          <w:trHeight w:val="331"/>
        </w:trPr>
        <w:tc>
          <w:tcPr>
            <w:tcW w:w="2297" w:type="dxa"/>
            <w:vAlign w:val="center"/>
          </w:tcPr>
          <w:p w14:paraId="08FE06D2" w14:textId="77777777" w:rsidR="00064511" w:rsidRPr="00900916" w:rsidRDefault="00064511" w:rsidP="0058595B">
            <w:pPr>
              <w:pStyle w:val="Tabletext"/>
            </w:pPr>
            <w:r w:rsidRPr="00121A81">
              <w:t>Rachel Logan</w:t>
            </w:r>
          </w:p>
        </w:tc>
        <w:tc>
          <w:tcPr>
            <w:tcW w:w="6912" w:type="dxa"/>
            <w:vAlign w:val="center"/>
          </w:tcPr>
          <w:p w14:paraId="14585725" w14:textId="77777777" w:rsidR="00064511" w:rsidRPr="00900916" w:rsidRDefault="00064511" w:rsidP="0058595B">
            <w:pPr>
              <w:pStyle w:val="Tabletext"/>
            </w:pPr>
            <w:r w:rsidRPr="00121A81">
              <w:t>Senior Pharmacist, BPAS</w:t>
            </w:r>
          </w:p>
        </w:tc>
      </w:tr>
      <w:tr w:rsidR="00064511" w:rsidRPr="00DF77C7" w14:paraId="5B1601CC" w14:textId="77777777" w:rsidTr="0058595B">
        <w:trPr>
          <w:trHeight w:val="331"/>
        </w:trPr>
        <w:tc>
          <w:tcPr>
            <w:tcW w:w="2297" w:type="dxa"/>
            <w:vAlign w:val="center"/>
          </w:tcPr>
          <w:p w14:paraId="43144197" w14:textId="77777777" w:rsidR="00064511" w:rsidRPr="00900916" w:rsidRDefault="00064511" w:rsidP="0058595B">
            <w:pPr>
              <w:pStyle w:val="Tabletext"/>
            </w:pPr>
            <w:r>
              <w:t>Tanya Lane</w:t>
            </w:r>
          </w:p>
        </w:tc>
        <w:tc>
          <w:tcPr>
            <w:tcW w:w="6912" w:type="dxa"/>
            <w:vAlign w:val="center"/>
          </w:tcPr>
          <w:p w14:paraId="7B252554" w14:textId="099A4AF5" w:rsidR="00064511" w:rsidRPr="00900916" w:rsidRDefault="00064511" w:rsidP="0058595B">
            <w:pPr>
              <w:pStyle w:val="Tabletext"/>
            </w:pPr>
            <w:r>
              <w:t>Co</w:t>
            </w:r>
            <w:r w:rsidRPr="00121A81">
              <w:t xml:space="preserve">SRH Registered Trainer MSI </w:t>
            </w:r>
            <w:r w:rsidR="004874F5">
              <w:t>R</w:t>
            </w:r>
            <w:r w:rsidRPr="00121A81">
              <w:t>eproductive Choices</w:t>
            </w:r>
          </w:p>
        </w:tc>
      </w:tr>
      <w:tr w:rsidR="00064511" w:rsidRPr="00DF77C7" w14:paraId="4BBE6253" w14:textId="77777777" w:rsidTr="0058595B">
        <w:trPr>
          <w:trHeight w:val="394"/>
        </w:trPr>
        <w:tc>
          <w:tcPr>
            <w:tcW w:w="2297" w:type="dxa"/>
            <w:vAlign w:val="center"/>
          </w:tcPr>
          <w:p w14:paraId="764FD9BB" w14:textId="77777777" w:rsidR="00064511" w:rsidRPr="00900916" w:rsidRDefault="00064511" w:rsidP="0058595B">
            <w:pPr>
              <w:pStyle w:val="Tabletext"/>
            </w:pPr>
            <w:r w:rsidRPr="00D10926">
              <w:lastRenderedPageBreak/>
              <w:t xml:space="preserve">Jo Jenkins </w:t>
            </w:r>
          </w:p>
        </w:tc>
        <w:tc>
          <w:tcPr>
            <w:tcW w:w="6912" w:type="dxa"/>
            <w:vAlign w:val="center"/>
          </w:tcPr>
          <w:p w14:paraId="7060C6FA" w14:textId="77777777" w:rsidR="00064511" w:rsidRPr="00900916" w:rsidRDefault="00064511" w:rsidP="0058595B">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0058595B">
        <w:trPr>
          <w:trHeight w:val="436"/>
        </w:trPr>
        <w:tc>
          <w:tcPr>
            <w:tcW w:w="2297" w:type="dxa"/>
            <w:vAlign w:val="center"/>
          </w:tcPr>
          <w:p w14:paraId="61CEED95" w14:textId="77777777" w:rsidR="00064511" w:rsidRPr="00900916" w:rsidRDefault="00064511" w:rsidP="0058595B">
            <w:pPr>
              <w:pStyle w:val="Tabletext"/>
            </w:pPr>
            <w:r w:rsidRPr="00C749BF">
              <w:t>Kieran Reynolds</w:t>
            </w:r>
          </w:p>
        </w:tc>
        <w:tc>
          <w:tcPr>
            <w:tcW w:w="6912" w:type="dxa"/>
            <w:vAlign w:val="center"/>
          </w:tcPr>
          <w:p w14:paraId="5A7D4864" w14:textId="77777777" w:rsidR="00064511" w:rsidRPr="00900916" w:rsidRDefault="00064511" w:rsidP="0058595B">
            <w:pPr>
              <w:pStyle w:val="Tabletext"/>
            </w:pPr>
            <w:r w:rsidRPr="00121A81">
              <w:t>Advanced Specialist Pharmacist - Medicines Governance</w:t>
            </w:r>
            <w:r>
              <w:t>,</w:t>
            </w:r>
            <w:r w:rsidRPr="00121A81">
              <w:t> </w:t>
            </w:r>
            <w:r w:rsidRPr="00D10926">
              <w:t>Specialist Pharmacy Service</w:t>
            </w:r>
          </w:p>
        </w:tc>
      </w:tr>
      <w:tr w:rsidR="00064511" w:rsidRPr="00DF77C7" w14:paraId="0119032F" w14:textId="77777777" w:rsidTr="0058595B">
        <w:trPr>
          <w:trHeight w:val="458"/>
        </w:trPr>
        <w:tc>
          <w:tcPr>
            <w:tcW w:w="2297" w:type="dxa"/>
            <w:vAlign w:val="center"/>
          </w:tcPr>
          <w:p w14:paraId="59D83984" w14:textId="77777777" w:rsidR="00064511" w:rsidRPr="008B4094" w:rsidRDefault="00064511" w:rsidP="0058595B">
            <w:pPr>
              <w:pStyle w:val="Tabletext"/>
              <w:rPr>
                <w:i/>
                <w:iCs/>
              </w:rPr>
            </w:pPr>
            <w:r w:rsidRPr="00C749BF">
              <w:t>Rosie Furner (Working Group Co-Ordinator)</w:t>
            </w:r>
          </w:p>
        </w:tc>
        <w:tc>
          <w:tcPr>
            <w:tcW w:w="6912" w:type="dxa"/>
            <w:vAlign w:val="center"/>
          </w:tcPr>
          <w:p w14:paraId="5723524C" w14:textId="77777777" w:rsidR="00064511" w:rsidRPr="00900916" w:rsidRDefault="00064511" w:rsidP="0058595B">
            <w:pPr>
              <w:pStyle w:val="Tabletext"/>
            </w:pPr>
            <w:r w:rsidRPr="00121A81">
              <w:t>Advanced Specialist Pharmacist</w:t>
            </w:r>
            <w:r>
              <w:t>,</w:t>
            </w:r>
            <w:r w:rsidRPr="00121A81">
              <w:t xml:space="preserve"> PGDs and Medicine Mechanisms, Specialist Pharmacy Service</w:t>
            </w:r>
          </w:p>
        </w:tc>
      </w:tr>
      <w:tr w:rsidR="00064511" w:rsidRPr="00DF77C7" w14:paraId="354768C1" w14:textId="77777777" w:rsidTr="0058595B">
        <w:trPr>
          <w:trHeight w:val="362"/>
        </w:trPr>
        <w:tc>
          <w:tcPr>
            <w:tcW w:w="2297" w:type="dxa"/>
            <w:vAlign w:val="center"/>
          </w:tcPr>
          <w:p w14:paraId="379BBFD2" w14:textId="77777777" w:rsidR="00064511" w:rsidRPr="00900916" w:rsidRDefault="00064511" w:rsidP="0058595B">
            <w:pPr>
              <w:pStyle w:val="Tabletext"/>
            </w:pPr>
            <w:r w:rsidRPr="00D10926">
              <w:t xml:space="preserve">Sandra Wolper </w:t>
            </w:r>
          </w:p>
        </w:tc>
        <w:tc>
          <w:tcPr>
            <w:tcW w:w="6912" w:type="dxa"/>
            <w:vAlign w:val="center"/>
          </w:tcPr>
          <w:p w14:paraId="6D1AB966" w14:textId="77777777" w:rsidR="00064511" w:rsidRPr="00900916" w:rsidRDefault="00064511" w:rsidP="0058595B">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BD2772">
        <w:rPr>
          <w:highlight w:val="yellow"/>
          <w:lang w:val="en-GB"/>
        </w:rPr>
        <w:t>.</w:t>
      </w:r>
      <w:r w:rsidRPr="00BD2772">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BD2772">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8" w:history="1">
        <w:r w:rsidRPr="00DF77C7">
          <w:rPr>
            <w:rStyle w:val="Hyperlink"/>
            <w:highlight w:val="yellow"/>
            <w:lang w:val="en-GB"/>
          </w:rPr>
          <w:t>NICE MPG2 PGD 2017</w:t>
        </w:r>
      </w:hyperlink>
      <w:r w:rsidRPr="00DF77C7">
        <w:rPr>
          <w:highlight w:val="yellow"/>
          <w:lang w:val="en-GB"/>
        </w:rPr>
        <w:t>.</w:t>
      </w:r>
      <w:r w:rsidR="005E6491" w:rsidRPr="00BD2772">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9"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386E45">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lastRenderedPageBreak/>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386E45">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709B3F5B" w14:textId="23E2651A" w:rsidR="004C3BB3" w:rsidRPr="004C3BB3" w:rsidRDefault="004C3BB3" w:rsidP="004C3BB3">
            <w:pPr>
              <w:pStyle w:val="Tabletext"/>
            </w:pPr>
            <w:r w:rsidRPr="004C3BB3">
              <w:t xml:space="preserve">Registered healthcare professional </w:t>
            </w:r>
            <w:r>
              <w:t xml:space="preserve">(HCP) </w:t>
            </w:r>
            <w:r w:rsidRPr="004C3BB3">
              <w:t xml:space="preserve">listed in </w:t>
            </w:r>
            <w:hyperlink r:id="rId10" w:tgtFrame="_blank" w:history="1">
              <w:r w:rsidRPr="004C3BB3">
                <w:rPr>
                  <w:rStyle w:val="Hyperlink"/>
                </w:rPr>
                <w:t>The Human Medicines Regulation 2012, Schedule 16 Part 4 legislation</w:t>
              </w:r>
            </w:hyperlink>
            <w:r w:rsidRPr="004C3BB3">
              <w:t xml:space="preserve"> as able to practice under Patient Group Directions.  </w:t>
            </w:r>
          </w:p>
          <w:p w14:paraId="111D2851" w14:textId="2AB4AE9B" w:rsidR="00B81529" w:rsidRPr="00AF5E60" w:rsidRDefault="00B81529" w:rsidP="00311DC1">
            <w:pPr>
              <w:pStyle w:val="Tabletext"/>
              <w:rPr>
                <w:highlight w:val="green"/>
                <w:lang w:val="en-GB"/>
              </w:rPr>
            </w:pP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588A1AF3" w:rsidR="00446FC4" w:rsidRDefault="00446FC4" w:rsidP="00FE6E1E">
            <w:pPr>
              <w:pStyle w:val="Tabletext"/>
            </w:pPr>
            <w:r w:rsidRPr="00446FC4">
              <w:t xml:space="preserve">The registered healthcare </w:t>
            </w:r>
            <w:r w:rsidR="004C3BB3" w:rsidRPr="00446FC4">
              <w:t xml:space="preserve">professional </w:t>
            </w:r>
            <w:r w:rsidR="004C3BB3">
              <w:t xml:space="preserve">(HCP) </w:t>
            </w:r>
            <w:r w:rsidRPr="00446FC4">
              <w:t xml:space="preserve">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72B85A48" w:rsidR="00A61B14" w:rsidRDefault="004C3BB3" w:rsidP="00FE6E1E">
            <w:pPr>
              <w:pStyle w:val="Tabletext"/>
              <w:rPr>
                <w:rStyle w:val="Hyperlink"/>
              </w:rPr>
            </w:pPr>
            <w:r>
              <w:t xml:space="preserve">Registered HCP </w:t>
            </w:r>
            <w:r w:rsidR="00FE6E1E">
              <w:t xml:space="preserve">has undertaken appropriate training for working under PGDs for the supply and administration of medicines.  Recommended training - </w:t>
            </w:r>
            <w:hyperlink r:id="rId11"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31F7763A" w:rsidR="00B81529" w:rsidRPr="00DF77C7" w:rsidRDefault="00446FC4" w:rsidP="00A61B14">
            <w:pPr>
              <w:pStyle w:val="Tabletext"/>
              <w:rPr>
                <w:lang w:val="en-GB"/>
              </w:rPr>
            </w:pPr>
            <w:r w:rsidRPr="00446FC4">
              <w:t xml:space="preserve">The </w:t>
            </w:r>
            <w:proofErr w:type="gramStart"/>
            <w:r w:rsidR="004C3BB3">
              <w:t xml:space="preserve">HCP </w:t>
            </w:r>
            <w:r w:rsidRPr="00446FC4">
              <w:t xml:space="preserve"> has</w:t>
            </w:r>
            <w:proofErr w:type="gramEnd"/>
            <w:r w:rsidRPr="00446FC4">
              <w:t xml:space="preserve"> completed training and is up to date with </w:t>
            </w:r>
            <w:r w:rsidRPr="00752167">
              <w:rPr>
                <w:highlight w:val="cyan"/>
              </w:rPr>
              <w:t>[</w:t>
            </w:r>
            <w:r w:rsidRPr="00446FC4">
              <w:rPr>
                <w:highlight w:val="cyan"/>
              </w:rPr>
              <w:t>service requirements/specification</w:t>
            </w:r>
            <w:r w:rsidRPr="00752167">
              <w:rPr>
                <w:highlight w:val="cyan"/>
              </w:rPr>
              <w:t>]</w:t>
            </w:r>
            <w:r w:rsidRPr="00446FC4">
              <w:t xml:space="preserve"> for safeguarding children and vulnerable adults. </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BC48E5">
              <w:rPr>
                <w:highlight w:val="cyan"/>
                <w:lang w:val="en-GB"/>
              </w:rPr>
              <w:t>[</w:t>
            </w:r>
            <w:r w:rsidR="008B2A57" w:rsidRPr="00BC48E5">
              <w:rPr>
                <w:highlight w:val="cyan"/>
                <w:lang w:val="en-GB"/>
              </w:rPr>
              <w:t>Organisational</w:t>
            </w:r>
            <w:r w:rsidR="00B81529" w:rsidRPr="00BC48E5">
              <w:rPr>
                <w:highlight w:val="cyan"/>
                <w:lang w:val="en-GB"/>
              </w:rPr>
              <w:t xml:space="preserve"> </w:t>
            </w:r>
            <w:r w:rsidR="00FE6E1E" w:rsidRPr="00BC48E5">
              <w:rPr>
                <w:highlight w:val="cyan"/>
                <w:lang w:val="en-GB"/>
              </w:rPr>
              <w:t>PGD and</w:t>
            </w:r>
            <w:r w:rsidR="008B2A57" w:rsidRPr="00BC48E5">
              <w:rPr>
                <w:highlight w:val="cyan"/>
                <w:lang w:val="en-GB"/>
              </w:rPr>
              <w:t>/or</w:t>
            </w:r>
            <w:r w:rsidR="00B81529" w:rsidRPr="00BC48E5">
              <w:rPr>
                <w:highlight w:val="cyan"/>
                <w:lang w:val="en-GB"/>
              </w:rPr>
              <w:t xml:space="preserve"> medication training</w:t>
            </w:r>
            <w:r w:rsidR="008B2A57" w:rsidRPr="00BC48E5">
              <w:rPr>
                <w:highlight w:val="cyan"/>
                <w:lang w:val="en-GB"/>
              </w:rPr>
              <w:t xml:space="preserve"> </w:t>
            </w:r>
            <w:r w:rsidR="00B36F46" w:rsidRPr="00BC48E5">
              <w:rPr>
                <w:highlight w:val="cyan"/>
                <w:lang w:val="en-GB"/>
              </w:rPr>
              <w:t>as required</w:t>
            </w:r>
            <w:r w:rsidR="00B81529" w:rsidRPr="00BC48E5">
              <w:rPr>
                <w:highlight w:val="cyan"/>
                <w:lang w:val="en-GB"/>
              </w:rPr>
              <w:t xml:space="preserve"> by</w:t>
            </w:r>
            <w:r w:rsidR="008B2A57" w:rsidRPr="00BC48E5">
              <w:rPr>
                <w:highlight w:val="cyan"/>
                <w:lang w:val="en-GB"/>
              </w:rPr>
              <w:t xml:space="preserve"> employing Trust/</w:t>
            </w:r>
            <w:r w:rsidR="00B81529" w:rsidRPr="00BC48E5">
              <w:rPr>
                <w:highlight w:val="cyan"/>
                <w:lang w:val="en-GB"/>
              </w:rPr>
              <w:t xml:space="preserve"> organisation</w:t>
            </w:r>
            <w:r w:rsidR="00FE6E1E" w:rsidRPr="00BC48E5">
              <w:rPr>
                <w:highlight w:val="cyan"/>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23199E08">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23199E08">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5EC86C9F" w14:textId="77777777" w:rsidR="00773410" w:rsidRDefault="00773410" w:rsidP="00773410">
            <w:pPr>
              <w:pStyle w:val="Bulletindent1"/>
              <w:rPr>
                <w:rFonts w:eastAsia="Calibri"/>
                <w:kern w:val="2"/>
                <w14:ligatures w14:val="standardContextual"/>
              </w:rPr>
            </w:pPr>
            <w:r>
              <w:t>Norethisterone, levonorgestrel and desogestrel - Individual (age from menarche to 55 years) presenting for contraception.</w:t>
            </w:r>
          </w:p>
          <w:p w14:paraId="49FBE93A" w14:textId="1E8D055F" w:rsidR="00773410" w:rsidRPr="00773410" w:rsidRDefault="3DFA0153" w:rsidP="08D3297E">
            <w:pPr>
              <w:pStyle w:val="Bulletindent1"/>
              <w:rPr>
                <w:highlight w:val="cyan"/>
              </w:rPr>
            </w:pPr>
            <w:r w:rsidRPr="23199E08">
              <w:rPr>
                <w:highlight w:val="cyan"/>
              </w:rPr>
              <w:t>[</w:t>
            </w:r>
            <w:r w:rsidR="5D2FDCEC" w:rsidRPr="23199E08">
              <w:rPr>
                <w:highlight w:val="cyan"/>
              </w:rPr>
              <w:t>Drospirenone only - age from menarche to 49 years</w:t>
            </w:r>
            <w:r w:rsidR="1A3ED7F0" w:rsidRPr="23199E08">
              <w:rPr>
                <w:highlight w:val="cyan"/>
              </w:rPr>
              <w:t>]</w:t>
            </w:r>
          </w:p>
          <w:p w14:paraId="02A2FFD7" w14:textId="675CEC2E" w:rsidR="00AE4F4B" w:rsidRDefault="00D51690" w:rsidP="00773410">
            <w:pPr>
              <w:pStyle w:val="Bulletindent1"/>
            </w:pPr>
            <w:r w:rsidRPr="001071E6">
              <w:t xml:space="preserve">Consent given  </w:t>
            </w:r>
          </w:p>
        </w:tc>
      </w:tr>
      <w:tr w:rsidR="00AE4F4B" w14:paraId="6FC007A9" w14:textId="77777777" w:rsidTr="23199E08">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139F631" w14:textId="1667E026" w:rsidR="00617AA0" w:rsidRPr="00AF42D9" w:rsidRDefault="00617AA0" w:rsidP="004874F5">
            <w:pPr>
              <w:pStyle w:val="Bulletindent1"/>
            </w:pPr>
            <w:r w:rsidRPr="00AF42D9">
              <w:t xml:space="preserve">Consent not given  </w:t>
            </w:r>
          </w:p>
          <w:p w14:paraId="606A7B22" w14:textId="140F535D" w:rsidR="004874F5" w:rsidRPr="00902A7B" w:rsidRDefault="33EAF501" w:rsidP="08D3297E">
            <w:pPr>
              <w:pStyle w:val="Bulletindent1"/>
              <w:rPr>
                <w:rFonts w:cs="Arial"/>
                <w:highlight w:val="cyan"/>
              </w:rPr>
            </w:pPr>
            <w:r w:rsidRPr="23199E08">
              <w:rPr>
                <w:rStyle w:val="cf01"/>
                <w:rFonts w:ascii="Arial" w:hAnsi="Arial" w:cs="Arial"/>
                <w:sz w:val="22"/>
                <w:szCs w:val="22"/>
                <w:highlight w:val="cyan"/>
              </w:rPr>
              <w:t>[</w:t>
            </w:r>
            <w:r w:rsidR="2F3E8A63" w:rsidRPr="23199E08">
              <w:rPr>
                <w:rStyle w:val="cf01"/>
                <w:rFonts w:ascii="Arial" w:hAnsi="Arial" w:cs="Arial"/>
                <w:sz w:val="22"/>
                <w:szCs w:val="22"/>
                <w:highlight w:val="cyan"/>
              </w:rPr>
              <w:t>Drospirenone only –</w:t>
            </w:r>
            <w:r w:rsidR="6271C74A" w:rsidRPr="23199E08">
              <w:rPr>
                <w:rStyle w:val="cf01"/>
                <w:rFonts w:ascii="Arial" w:hAnsi="Arial" w:cs="Arial"/>
                <w:sz w:val="22"/>
                <w:szCs w:val="22"/>
                <w:highlight w:val="cyan"/>
              </w:rPr>
              <w:t xml:space="preserve"> </w:t>
            </w:r>
            <w:r w:rsidR="2F3E8A63" w:rsidRPr="23199E08">
              <w:rPr>
                <w:rStyle w:val="cf01"/>
                <w:rFonts w:ascii="Arial" w:hAnsi="Arial" w:cs="Arial"/>
                <w:sz w:val="22"/>
                <w:szCs w:val="22"/>
                <w:highlight w:val="cyan"/>
              </w:rPr>
              <w:t>50 years or older</w:t>
            </w:r>
            <w:r w:rsidR="165773FE" w:rsidRPr="23199E08">
              <w:rPr>
                <w:rStyle w:val="cf01"/>
                <w:rFonts w:ascii="Arial" w:hAnsi="Arial" w:cs="Arial"/>
                <w:sz w:val="22"/>
                <w:szCs w:val="22"/>
                <w:highlight w:val="cyan"/>
              </w:rPr>
              <w:t>]</w:t>
            </w:r>
          </w:p>
          <w:p w14:paraId="07A69171" w14:textId="0B4E9302" w:rsidR="00617AA0" w:rsidRPr="00AF42D9" w:rsidRDefault="00617AA0" w:rsidP="004874F5">
            <w:pPr>
              <w:pStyle w:val="Bulletindent1"/>
            </w:pPr>
            <w:r w:rsidRPr="00AF42D9">
              <w:t>Individuals under 16 years of age and assessed as not competent using Fraser Guidelines.</w:t>
            </w:r>
          </w:p>
          <w:p w14:paraId="1C265526" w14:textId="77777777" w:rsidR="00617AA0" w:rsidRPr="00AF42D9" w:rsidRDefault="00617AA0" w:rsidP="004874F5">
            <w:pPr>
              <w:pStyle w:val="Bulletindent1"/>
            </w:pPr>
            <w:r w:rsidRPr="00AF42D9">
              <w:t>Individuals 16 years of age and over and assessed as lacking capacity to consent.</w:t>
            </w:r>
          </w:p>
          <w:p w14:paraId="059D5605" w14:textId="1A158829" w:rsidR="00617AA0" w:rsidRPr="00583C3F" w:rsidRDefault="00617AA0" w:rsidP="004874F5">
            <w:pPr>
              <w:pStyle w:val="Bulletindent1"/>
            </w:pPr>
            <w:r w:rsidRPr="00583C3F">
              <w:t>Established pregnancy. Note - risk of pregnancy with a negative pregnancy test is not an exclusion</w:t>
            </w:r>
            <w:r w:rsidR="00F825C4">
              <w:t>.</w:t>
            </w:r>
          </w:p>
          <w:p w14:paraId="7FF9AEAB" w14:textId="699548F6" w:rsidR="00617AA0" w:rsidRPr="001643D3" w:rsidRDefault="00617AA0" w:rsidP="004874F5">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r:id="rId13" w:history="1">
              <w:r w:rsidR="00773410">
                <w:rPr>
                  <w:color w:val="0000FF"/>
                  <w:u w:val="single"/>
                </w:rPr>
                <w:t>individual Summary of Product Characteristics which can be accessed on the EMC website</w:t>
              </w:r>
            </w:hyperlink>
          </w:p>
          <w:p w14:paraId="70862367" w14:textId="77777777" w:rsidR="00773410" w:rsidRPr="00773410" w:rsidRDefault="00773410" w:rsidP="004874F5">
            <w:pPr>
              <w:pStyle w:val="Bulletindent1"/>
            </w:pPr>
            <w:r w:rsidRPr="00773410">
              <w:t>Some POP products contain lactose/sucrose – individuals with rare hereditary problems of galactose intolerance, total lactase deficiency, fructose intolerance or glucose-galactose malabsorption or sucrase-isomaltase deficiency should not take these medicines.  Where applicable, check product excipients before supplying.</w:t>
            </w:r>
          </w:p>
          <w:p w14:paraId="2D25A94F" w14:textId="77777777" w:rsidR="00D84064" w:rsidRPr="00D84064" w:rsidRDefault="00773410" w:rsidP="004874F5">
            <w:pPr>
              <w:pStyle w:val="Bulletindent1"/>
              <w:rPr>
                <w:rFonts w:eastAsia="Calibri"/>
                <w:kern w:val="2"/>
                <w:lang w:val="en-US"/>
                <w14:ligatures w14:val="standardContextual"/>
              </w:rPr>
            </w:pPr>
            <w:r>
              <w:rPr>
                <w:lang w:val="en-US"/>
              </w:rPr>
              <w:t>Acute porphyria</w:t>
            </w:r>
          </w:p>
          <w:p w14:paraId="53F71D12" w14:textId="77777777" w:rsidR="00CB4A2B" w:rsidRDefault="00617AA0" w:rsidP="00617AA0">
            <w:pPr>
              <w:pStyle w:val="Tabletext"/>
              <w:rPr>
                <w:b/>
                <w:bCs/>
              </w:rPr>
            </w:pPr>
            <w:r w:rsidRPr="00617AA0">
              <w:rPr>
                <w:b/>
                <w:bCs/>
              </w:rPr>
              <w:t>Cardiovascular disease</w:t>
            </w:r>
          </w:p>
          <w:p w14:paraId="06704989" w14:textId="465C623D" w:rsidR="00773410" w:rsidRPr="00773410" w:rsidRDefault="00773410" w:rsidP="004874F5">
            <w:pPr>
              <w:pStyle w:val="Bulletindent1"/>
              <w:rPr>
                <w:lang w:val="en-US"/>
              </w:rPr>
            </w:pPr>
            <w:r w:rsidRPr="00773410">
              <w:rPr>
                <w:lang w:val="en-US"/>
              </w:rPr>
              <w:t xml:space="preserve">Current or </w:t>
            </w:r>
            <w:proofErr w:type="gramStart"/>
            <w:r w:rsidRPr="00773410">
              <w:rPr>
                <w:lang w:val="en-US"/>
              </w:rPr>
              <w:t>past history</w:t>
            </w:r>
            <w:proofErr w:type="gramEnd"/>
            <w:r w:rsidRPr="00773410">
              <w:rPr>
                <w:lang w:val="en-US"/>
              </w:rPr>
              <w:t xml:space="preserve"> of ischaemic heart disease, vascular disease,</w:t>
            </w:r>
            <w:r w:rsidR="00902A7B">
              <w:rPr>
                <w:lang w:val="en-US"/>
              </w:rPr>
              <w:t xml:space="preserve"> </w:t>
            </w:r>
            <w:r w:rsidRPr="00773410">
              <w:rPr>
                <w:lang w:val="en-US"/>
              </w:rPr>
              <w:t>stroke or transient ischaemic first attack,</w:t>
            </w:r>
            <w:r w:rsidR="00902A7B">
              <w:rPr>
                <w:lang w:val="en-US"/>
              </w:rPr>
              <w:t xml:space="preserve"> </w:t>
            </w:r>
            <w:r w:rsidRPr="00773410">
              <w:rPr>
                <w:lang w:val="en-US"/>
              </w:rPr>
              <w:t>only if taking the method when the event occurred.</w:t>
            </w:r>
          </w:p>
          <w:p w14:paraId="576D3FFF" w14:textId="77777777" w:rsidR="00617AA0" w:rsidRPr="00617AA0" w:rsidRDefault="00617AA0" w:rsidP="00617AA0">
            <w:pPr>
              <w:pStyle w:val="Tabletext"/>
              <w:rPr>
                <w:b/>
                <w:bCs/>
              </w:rPr>
            </w:pPr>
            <w:r w:rsidRPr="00617AA0">
              <w:rPr>
                <w:b/>
                <w:bCs/>
              </w:rPr>
              <w:t>Cancers</w:t>
            </w:r>
          </w:p>
          <w:p w14:paraId="766D8B91" w14:textId="77777777" w:rsidR="00773410" w:rsidRPr="00097DDC" w:rsidRDefault="00773410" w:rsidP="004874F5">
            <w:pPr>
              <w:pStyle w:val="Bulletindent1"/>
              <w:rPr>
                <w:color w:val="000000" w:themeColor="text1"/>
                <w:lang w:val="en-US"/>
              </w:rPr>
            </w:pPr>
            <w:r w:rsidRPr="00097DDC">
              <w:rPr>
                <w:color w:val="000000" w:themeColor="text1"/>
                <w:lang w:val="en-US"/>
              </w:rPr>
              <w:t xml:space="preserve">Current or </w:t>
            </w:r>
            <w:proofErr w:type="gramStart"/>
            <w:r w:rsidRPr="00097DDC">
              <w:rPr>
                <w:color w:val="000000" w:themeColor="text1"/>
                <w:lang w:val="en-US"/>
              </w:rPr>
              <w:t>past history</w:t>
            </w:r>
            <w:proofErr w:type="gramEnd"/>
            <w:r w:rsidRPr="00097DDC">
              <w:rPr>
                <w:color w:val="000000" w:themeColor="text1"/>
                <w:lang w:val="en-US"/>
              </w:rPr>
              <w:t xml:space="preserve"> of breast cancer.</w:t>
            </w:r>
          </w:p>
          <w:p w14:paraId="5E99017B" w14:textId="77777777" w:rsidR="003E7D6C" w:rsidRPr="00097DDC" w:rsidRDefault="00773410" w:rsidP="003E7D6C">
            <w:pPr>
              <w:pStyle w:val="Bulletindent1"/>
              <w:rPr>
                <w:color w:val="000000" w:themeColor="text1"/>
                <w:lang w:val="en-US"/>
              </w:rPr>
            </w:pPr>
            <w:r w:rsidRPr="00097DDC">
              <w:rPr>
                <w:color w:val="000000" w:themeColor="text1"/>
                <w:lang w:val="en-US"/>
              </w:rPr>
              <w:t>Malignant liver tumour (hepatocellular carcinoma)</w:t>
            </w:r>
          </w:p>
          <w:p w14:paraId="63902652" w14:textId="74BD2022" w:rsidR="00773410" w:rsidRPr="00097DDC" w:rsidRDefault="003E7D6C" w:rsidP="003E7D6C">
            <w:pPr>
              <w:pStyle w:val="Bulletindent1"/>
              <w:rPr>
                <w:color w:val="000000" w:themeColor="text1"/>
                <w:lang w:val="en-US"/>
              </w:rPr>
            </w:pPr>
            <w:r w:rsidRPr="00097DDC">
              <w:rPr>
                <w:color w:val="000000" w:themeColor="text1"/>
              </w:rPr>
              <w:t>Individuals with a current meningioma or a history of meningioma</w:t>
            </w:r>
          </w:p>
          <w:p w14:paraId="2ACA05CF" w14:textId="77777777" w:rsidR="00617AA0" w:rsidRPr="00617AA0" w:rsidRDefault="00617AA0" w:rsidP="00617AA0">
            <w:pPr>
              <w:pStyle w:val="Tabletext"/>
              <w:rPr>
                <w:b/>
                <w:bCs/>
              </w:rPr>
            </w:pPr>
            <w:r w:rsidRPr="00617AA0">
              <w:rPr>
                <w:b/>
                <w:bCs/>
              </w:rPr>
              <w:lastRenderedPageBreak/>
              <w:t>Gastro-intestinal Conditions</w:t>
            </w:r>
          </w:p>
          <w:p w14:paraId="05DB58AB" w14:textId="77777777" w:rsidR="00773410" w:rsidRPr="00617AA0" w:rsidRDefault="00773410" w:rsidP="004874F5">
            <w:pPr>
              <w:pStyle w:val="Bulletindent1"/>
            </w:pPr>
            <w:r w:rsidRPr="00617AA0">
              <w:t>Severe decompensated cirrhosis</w:t>
            </w:r>
          </w:p>
          <w:p w14:paraId="71E97508" w14:textId="487AA3A1" w:rsidR="00617AA0" w:rsidRPr="00617AA0" w:rsidRDefault="00617AA0" w:rsidP="004874F5">
            <w:pPr>
              <w:pStyle w:val="Bulletindent1"/>
            </w:pPr>
            <w:r w:rsidRPr="00617AA0">
              <w:t>Benign liver tumour (hepatocellular adenoma)</w:t>
            </w:r>
          </w:p>
          <w:p w14:paraId="4F876922" w14:textId="77777777" w:rsidR="00617AA0" w:rsidRDefault="00617AA0" w:rsidP="004874F5">
            <w:pPr>
              <w:pStyle w:val="Bulletindent1"/>
            </w:pPr>
            <w:r w:rsidRPr="00617AA0">
              <w:t>Any bariatric or other surgery resulting in malabsorption.</w:t>
            </w:r>
          </w:p>
          <w:p w14:paraId="25594127" w14:textId="77777777" w:rsidR="00773410" w:rsidRDefault="00773410" w:rsidP="00773410">
            <w:pPr>
              <w:overflowPunct w:val="0"/>
              <w:autoSpaceDE w:val="0"/>
              <w:autoSpaceDN w:val="0"/>
              <w:adjustRightInd w:val="0"/>
              <w:textAlignment w:val="baseline"/>
              <w:rPr>
                <w:rFonts w:ascii="Arial" w:eastAsia="Calibri" w:hAnsi="Arial" w:cs="Arial"/>
                <w:lang w:val="en-US"/>
              </w:rPr>
            </w:pPr>
          </w:p>
          <w:p w14:paraId="6C253A53" w14:textId="2E4D3C9B" w:rsidR="00773410" w:rsidRDefault="00773410" w:rsidP="00773410">
            <w:pPr>
              <w:pStyle w:val="Tabletext"/>
              <w:rPr>
                <w:rFonts w:eastAsia="Calibri"/>
                <w:highlight w:val="cyan"/>
              </w:rPr>
            </w:pPr>
            <w:r>
              <w:rPr>
                <w:rFonts w:eastAsia="Calibri"/>
                <w:highlight w:val="cyan"/>
              </w:rPr>
              <w:t>[</w:t>
            </w:r>
            <w:r w:rsidRPr="00773410">
              <w:rPr>
                <w:rFonts w:eastAsia="Calibri"/>
                <w:b/>
                <w:bCs/>
                <w:highlight w:val="cyan"/>
              </w:rPr>
              <w:t>Drospirenone only</w:t>
            </w:r>
          </w:p>
          <w:p w14:paraId="6B3B7517" w14:textId="77777777" w:rsidR="00773410" w:rsidRDefault="00773410" w:rsidP="004874F5">
            <w:pPr>
              <w:pStyle w:val="Bulletindent1"/>
              <w:rPr>
                <w:rFonts w:eastAsia="Calibri"/>
                <w:highlight w:val="cyan"/>
                <w:lang w:val="en-US"/>
              </w:rPr>
            </w:pPr>
            <w:r>
              <w:rPr>
                <w:highlight w:val="cyan"/>
              </w:rPr>
              <w:t xml:space="preserve">Individuals with known hyperkalaemia or hypoaldosteronism (eg, Addison’s disease). </w:t>
            </w:r>
          </w:p>
          <w:p w14:paraId="6307E5C5" w14:textId="029309D4" w:rsidR="00773410" w:rsidRDefault="00773410" w:rsidP="004874F5">
            <w:pPr>
              <w:pStyle w:val="Bulletindent1"/>
              <w:rPr>
                <w:highlight w:val="cyan"/>
                <w:lang w:val="en-US"/>
              </w:rPr>
            </w:pPr>
            <w:r>
              <w:rPr>
                <w:highlight w:val="cyan"/>
              </w:rPr>
              <w:t>Individuals currently</w:t>
            </w:r>
            <w:r w:rsidR="00902A7B">
              <w:rPr>
                <w:highlight w:val="cyan"/>
              </w:rPr>
              <w:t xml:space="preserve"> </w:t>
            </w:r>
            <w:r>
              <w:rPr>
                <w:highlight w:val="cyan"/>
              </w:rPr>
              <w:t xml:space="preserve">taking potassium-sparing diuretics, aldosterone antagonists or potassium supplements (including </w:t>
            </w:r>
            <w:r w:rsidR="00931846">
              <w:rPr>
                <w:highlight w:val="cyan"/>
              </w:rPr>
              <w:t>Over the Counter (</w:t>
            </w:r>
            <w:r>
              <w:rPr>
                <w:highlight w:val="cyan"/>
              </w:rPr>
              <w:t>OTC)</w:t>
            </w:r>
            <w:r w:rsidR="00931846">
              <w:rPr>
                <w:highlight w:val="cyan"/>
              </w:rPr>
              <w:t>)</w:t>
            </w:r>
            <w:r>
              <w:rPr>
                <w:highlight w:val="cyan"/>
              </w:rPr>
              <w:t>.</w:t>
            </w:r>
          </w:p>
          <w:p w14:paraId="41069E7E" w14:textId="77777777" w:rsidR="00773410" w:rsidRDefault="00773410" w:rsidP="004874F5">
            <w:pPr>
              <w:pStyle w:val="Bulletindent1"/>
              <w:rPr>
                <w:highlight w:val="cyan"/>
                <w:lang w:val="en-US"/>
              </w:rPr>
            </w:pPr>
            <w:r>
              <w:rPr>
                <w:highlight w:val="cyan"/>
                <w:lang w:val="en-US"/>
              </w:rPr>
              <w:t>Known or suspected severe hepatic disease with deranged liver function values.</w:t>
            </w:r>
          </w:p>
          <w:p w14:paraId="35FB1F24" w14:textId="77777777" w:rsidR="00773410" w:rsidRDefault="00773410" w:rsidP="004874F5">
            <w:pPr>
              <w:pStyle w:val="Bulletindent1"/>
              <w:rPr>
                <w:highlight w:val="cyan"/>
                <w:lang w:val="en-US"/>
              </w:rPr>
            </w:pPr>
            <w:r>
              <w:rPr>
                <w:highlight w:val="cyan"/>
              </w:rPr>
              <w:t>Known renal impairment (all stages) or acute renal failure.</w:t>
            </w:r>
          </w:p>
          <w:p w14:paraId="7DE679F9" w14:textId="59585F4F" w:rsidR="00773410" w:rsidRDefault="00773410" w:rsidP="004874F5">
            <w:pPr>
              <w:pStyle w:val="Bulletindent1"/>
              <w:rPr>
                <w:highlight w:val="cyan"/>
                <w:lang w:val="en-US"/>
              </w:rPr>
            </w:pPr>
            <w:r>
              <w:rPr>
                <w:highlight w:val="cyan"/>
              </w:rPr>
              <w:t>Known or suspected sex-steroid sensitive malignancies.]</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4874F5">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242D0FB3" w14:textId="021E1C3A" w:rsidR="00617AA0" w:rsidRPr="00617AA0" w:rsidRDefault="009A0C30" w:rsidP="005877A8">
            <w:pPr>
              <w:pStyle w:val="Bulletindent1"/>
              <w:numPr>
                <w:ilvl w:val="0"/>
                <w:numId w:val="0"/>
              </w:numPr>
            </w:pPr>
            <w:r>
              <w:t>Individuals taking any i</w:t>
            </w:r>
            <w:r w:rsidR="00617AA0" w:rsidRPr="00617AA0">
              <w:t xml:space="preserve">nteracting medicines (other than enzyme inducers), including any medicines purchased </w:t>
            </w:r>
            <w:hyperlink r:id="rId14" w:history="1">
              <w:r w:rsidR="00993285">
                <w:t>-</w:t>
              </w:r>
              <w:r w:rsidRPr="00863134">
                <w:rPr>
                  <w:rStyle w:val="Hyperlink"/>
                </w:rPr>
                <w:t xml:space="preserve"> see current British National Formulary (BNF)</w:t>
              </w:r>
            </w:hyperlink>
            <w:r w:rsidR="00863134">
              <w:t xml:space="preserve"> or</w:t>
            </w:r>
            <w:r w:rsidRPr="009A0C30">
              <w:t xml:space="preserve"> </w:t>
            </w:r>
            <w:hyperlink r:id="rId15" w:history="1">
              <w:r w:rsidRPr="00863134">
                <w:rPr>
                  <w:rStyle w:val="Hyperlink"/>
                </w:rPr>
                <w:t>individual product S</w:t>
              </w:r>
              <w:r w:rsidR="00863134" w:rsidRPr="00863134">
                <w:rPr>
                  <w:rStyle w:val="Hyperlink"/>
                </w:rPr>
                <w:t>m</w:t>
              </w:r>
              <w:r w:rsidRPr="00863134">
                <w:rPr>
                  <w:rStyle w:val="Hyperlink"/>
                </w:rPr>
                <w:t xml:space="preserve">PC </w:t>
              </w:r>
              <w:r w:rsidR="00863134" w:rsidRPr="00863134">
                <w:rPr>
                  <w:rStyle w:val="Hyperlink"/>
                </w:rPr>
                <w:t>which is available on the EMC website</w:t>
              </w:r>
            </w:hyperlink>
            <w:r w:rsidR="00863134">
              <w:t xml:space="preserve"> </w:t>
            </w:r>
          </w:p>
        </w:tc>
      </w:tr>
      <w:tr w:rsidR="007043FB" w14:paraId="2086F951" w14:textId="77777777" w:rsidTr="23199E08">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9A3065">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9A3065">
            <w:pPr>
              <w:pStyle w:val="Bulletindent1"/>
            </w:pPr>
            <w:r w:rsidRPr="00E269B0">
              <w:t>If the individual is less than 13 years of age the healthcare professional should speak to local safeguarding lead and follow the local safeguarding policy.</w:t>
            </w:r>
          </w:p>
          <w:p w14:paraId="4E780F1C" w14:textId="77777777" w:rsidR="00900154" w:rsidRDefault="00900154" w:rsidP="009A3065">
            <w:pPr>
              <w:pStyle w:val="Bulletindent1"/>
            </w:pPr>
            <w:r w:rsidRPr="00900154">
              <w:t xml:space="preserve">Discuss with appropriate medical/independent non-medical prescriber any medical condition or medication of which the healthcare professional is unsure or uncertain </w:t>
            </w:r>
          </w:p>
          <w:p w14:paraId="2B434E25" w14:textId="77777777" w:rsidR="009A3065" w:rsidRPr="00EE599B" w:rsidRDefault="009A3065" w:rsidP="009A3065">
            <w:pPr>
              <w:pStyle w:val="Bulletindent1"/>
            </w:pPr>
            <w:r w:rsidRPr="00EE599B">
              <w:t xml:space="preserve">Consideration should be given to the current disease status of those with severe malabsorption syndromes, such as acute/active inflammatory bowel disease or Crohn’s disease. Although the use of POP is not contra-indicated it may be less effective and so these individuals should be </w:t>
            </w:r>
            <w:r w:rsidRPr="00EE599B">
              <w:lastRenderedPageBreak/>
              <w:t xml:space="preserve">advised offered </w:t>
            </w:r>
            <w:proofErr w:type="gramStart"/>
            <w:r w:rsidRPr="00EE599B">
              <w:t>Long Acting</w:t>
            </w:r>
            <w:proofErr w:type="gramEnd"/>
            <w:r w:rsidRPr="00EE599B">
              <w:t xml:space="preserve"> Reversible Contraception (LARC).</w:t>
            </w:r>
          </w:p>
          <w:p w14:paraId="2A8C6EAF" w14:textId="7ADC6F3A" w:rsidR="009A3065" w:rsidRPr="009A3065" w:rsidRDefault="009A3065" w:rsidP="009A3065">
            <w:pPr>
              <w:pStyle w:val="Bulletindent1"/>
              <w:rPr>
                <w:b/>
              </w:rPr>
            </w:pPr>
            <w:r w:rsidRPr="009A3065">
              <w:t>Individuals should be advised that it is possible that medications that induce diarrhoea and/or vomiting (e.g. orlistat, laxatives, GLP-1 agonists) could reduce the effectiveness of POP.</w:t>
            </w:r>
          </w:p>
          <w:p w14:paraId="5DA072E5" w14:textId="77777777" w:rsidR="009E32F3" w:rsidRDefault="007043FB" w:rsidP="009A3065">
            <w:pPr>
              <w:pStyle w:val="Bulletindent1"/>
            </w:pPr>
            <w:r w:rsidRPr="00B315F8">
              <w:t>Individuals receiving GLP-1 agonists must use effective contraception.</w:t>
            </w:r>
          </w:p>
          <w:p w14:paraId="5CFCB3B0" w14:textId="07C8A622" w:rsidR="007043FB" w:rsidRPr="00B315F8" w:rsidRDefault="007043FB" w:rsidP="009E32F3">
            <w:pPr>
              <w:pStyle w:val="Bulletindent1"/>
              <w:numPr>
                <w:ilvl w:val="0"/>
                <w:numId w:val="0"/>
              </w:numPr>
              <w:ind w:left="720"/>
            </w:pPr>
            <w:r w:rsidRPr="00B315F8">
              <w:t xml:space="preserve">Note some GLP-1 agonists may reduce the effectiveness of oral contraception and additional barrier methods are recommended - refer to </w:t>
            </w:r>
            <w:r>
              <w:t xml:space="preserve">the </w:t>
            </w:r>
            <w:hyperlink r:id="rId16" w:history="1">
              <w:r w:rsidRPr="00863134">
                <w:rPr>
                  <w:rStyle w:val="Hyperlink"/>
                </w:rPr>
                <w:t>specific product SmPC which can be accessed on the EMC</w:t>
              </w:r>
            </w:hyperlink>
            <w:r>
              <w:t xml:space="preserve"> </w:t>
            </w:r>
            <w:r w:rsidRPr="00B315F8">
              <w:t xml:space="preserve">and </w:t>
            </w:r>
            <w:hyperlink r:id="rId17" w:history="1">
              <w:r w:rsidRPr="007043FB">
                <w:rPr>
                  <w:rStyle w:val="Hyperlink"/>
                </w:rPr>
                <w:t>CoSRH advice regarding GLP 1 agonists and contraception.</w:t>
              </w:r>
            </w:hyperlink>
            <w:r w:rsidRPr="00B315F8">
              <w:t xml:space="preserve"> Provide </w:t>
            </w:r>
            <w:r>
              <w:t>Co</w:t>
            </w:r>
            <w:r w:rsidRPr="00B315F8">
              <w:t>SRH patient information leaflet (PIL).</w:t>
            </w:r>
          </w:p>
          <w:p w14:paraId="65864951" w14:textId="5809FEE0" w:rsidR="007043FB" w:rsidRPr="009A3065" w:rsidRDefault="007043FB" w:rsidP="009A3065">
            <w:pPr>
              <w:pStyle w:val="Bulletindent1"/>
              <w:rPr>
                <w:b/>
                <w:bCs/>
              </w:rPr>
            </w:pPr>
            <w:r w:rsidRPr="009A3065">
              <w:rPr>
                <w:b/>
                <w:bCs/>
              </w:rPr>
              <w:t xml:space="preserve">Offer LARC to all individuals, </w:t>
            </w:r>
            <w:proofErr w:type="gramStart"/>
            <w:r w:rsidRPr="009A3065">
              <w:rPr>
                <w:b/>
                <w:bCs/>
              </w:rPr>
              <w:t>in particular</w:t>
            </w:r>
            <w:proofErr w:type="gramEnd"/>
            <w:r w:rsidRPr="009A3065">
              <w:rPr>
                <w:b/>
                <w:bCs/>
              </w:rPr>
              <w:t xml:space="preserve"> those with medical conditions for whom pregnancy presents an unacceptable risk and those on a pregnancy prevention plan.</w:t>
            </w:r>
          </w:p>
          <w:p w14:paraId="64FEDD91" w14:textId="5B526F07" w:rsidR="007043FB" w:rsidRDefault="007043FB" w:rsidP="009A3065">
            <w:pPr>
              <w:pStyle w:val="Bulletindent1"/>
            </w:pPr>
            <w:r w:rsidRPr="009A3065">
              <w:rPr>
                <w:b/>
                <w:bCs/>
              </w:rPr>
              <w:t xml:space="preserve">If an individual is known to be taking a medication which is known to be harmful to pregnancy, a highly effective form of contraception is recommended.  Highly effective methods include the LARC methods: copper IUD, LNG-IUD and implant.  If a LARC method is unacceptable/unsuitable and a </w:t>
            </w:r>
            <w:r w:rsidR="009A3065">
              <w:rPr>
                <w:b/>
                <w:bCs/>
              </w:rPr>
              <w:t>POP</w:t>
            </w:r>
            <w:r w:rsidRPr="009A3065">
              <w:rPr>
                <w:b/>
                <w:bCs/>
              </w:rPr>
              <w:t xml:space="preserve"> is </w:t>
            </w:r>
            <w:proofErr w:type="gramStart"/>
            <w:r w:rsidRPr="009A3065">
              <w:rPr>
                <w:b/>
                <w:bCs/>
              </w:rPr>
              <w:t>chosen</w:t>
            </w:r>
            <w:proofErr w:type="gramEnd"/>
            <w:r w:rsidRPr="009A3065">
              <w:rPr>
                <w:b/>
                <w:bCs/>
              </w:rPr>
              <w:t xml:space="preserve"> then an additional barrier method of contraception is advised. See</w:t>
            </w:r>
            <w:r>
              <w:t xml:space="preserve"> </w:t>
            </w:r>
            <w:hyperlink r:id="rId18" w:history="1">
              <w:r w:rsidR="00980866">
                <w:rPr>
                  <w:rStyle w:val="Hyperlink"/>
                  <w:rFonts w:cs="Arial"/>
                  <w:b/>
                  <w:color w:val="3333FF"/>
                </w:rPr>
                <w:t>Co</w:t>
              </w:r>
              <w:r w:rsidR="000D13FD">
                <w:rPr>
                  <w:rStyle w:val="Hyperlink"/>
                  <w:rFonts w:cs="Arial"/>
                  <w:b/>
                  <w:color w:val="3333FF"/>
                </w:rPr>
                <w:t>SRH statement: Contraception for women using known teratogenic drugs (Feb 2018) FSRH</w:t>
              </w:r>
            </w:hyperlink>
            <w:r w:rsidRPr="00E269B0">
              <w:t>.</w:t>
            </w:r>
          </w:p>
        </w:tc>
      </w:tr>
      <w:tr w:rsidR="007043FB" w14:paraId="6142EA67" w14:textId="77777777" w:rsidTr="23199E08">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9E32F3">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116F777B" w14:textId="77777777" w:rsidR="009A3065" w:rsidRPr="009A3065" w:rsidRDefault="009A3065" w:rsidP="009A3065">
            <w:pPr>
              <w:pStyle w:val="Bulletindent1"/>
              <w:rPr>
                <w:rFonts w:eastAsia="Calibri"/>
              </w:rPr>
            </w:pPr>
            <w:r w:rsidRPr="009A3065">
              <w:rPr>
                <w:rFonts w:eastAsia="Calibri"/>
              </w:rPr>
              <w:t>Desogestrel 75micrograms tablets</w:t>
            </w:r>
          </w:p>
          <w:p w14:paraId="7C4760E7" w14:textId="77777777" w:rsidR="009A3065" w:rsidRPr="009A3065" w:rsidRDefault="009A3065" w:rsidP="009A3065">
            <w:pPr>
              <w:pStyle w:val="Bulletindent1"/>
              <w:rPr>
                <w:rFonts w:eastAsia="Calibri"/>
              </w:rPr>
            </w:pPr>
            <w:r w:rsidRPr="009A3065">
              <w:rPr>
                <w:rFonts w:eastAsia="Calibri"/>
              </w:rPr>
              <w:t xml:space="preserve">Levonorgestrel 30micrograms tablets </w:t>
            </w:r>
          </w:p>
          <w:p w14:paraId="595D7919" w14:textId="77777777" w:rsidR="009A3065" w:rsidRPr="009A3065" w:rsidRDefault="009A3065" w:rsidP="009A3065">
            <w:pPr>
              <w:pStyle w:val="Bulletindent1"/>
              <w:rPr>
                <w:rFonts w:eastAsia="Calibri"/>
              </w:rPr>
            </w:pPr>
            <w:r w:rsidRPr="009A3065">
              <w:rPr>
                <w:rFonts w:eastAsia="Calibri"/>
              </w:rPr>
              <w:t>Norethisterone 350micrograms tablets</w:t>
            </w:r>
          </w:p>
          <w:p w14:paraId="71FBA598" w14:textId="3C0F979D" w:rsidR="009A3065" w:rsidRPr="009A3065" w:rsidRDefault="00EA7646" w:rsidP="009A3065">
            <w:pPr>
              <w:pStyle w:val="Bulletindent1"/>
              <w:rPr>
                <w:rFonts w:eastAsia="Calibri"/>
                <w:sz w:val="16"/>
                <w:szCs w:val="16"/>
                <w:highlight w:val="cyan"/>
              </w:rPr>
            </w:pPr>
            <w:r>
              <w:rPr>
                <w:rFonts w:eastAsia="Calibri"/>
                <w:highlight w:val="cyan"/>
              </w:rPr>
              <w:lastRenderedPageBreak/>
              <w:t>[</w:t>
            </w:r>
            <w:r w:rsidR="009A3065" w:rsidRPr="009A3065">
              <w:rPr>
                <w:rFonts w:eastAsia="Calibri"/>
                <w:highlight w:val="cyan"/>
              </w:rPr>
              <w:t>Drospirenone 4mg tablets (NB: pack contains active and placebo pills)</w:t>
            </w:r>
            <w:r>
              <w:rPr>
                <w:rFonts w:eastAsia="Calibri"/>
                <w:highlight w:val="cyan"/>
              </w:rPr>
              <w:t>]</w:t>
            </w:r>
          </w:p>
          <w:p w14:paraId="5E0CBF8A" w14:textId="77777777" w:rsidR="009A3065" w:rsidRPr="009A3065" w:rsidRDefault="009A3065" w:rsidP="009A3065">
            <w:pPr>
              <w:pStyle w:val="Tabletext"/>
              <w:rPr>
                <w:rFonts w:eastAsia="Calibri"/>
              </w:rPr>
            </w:pPr>
            <w:r w:rsidRPr="009A3065">
              <w:rPr>
                <w:rFonts w:eastAsia="Calibri"/>
              </w:rPr>
              <w:t>Note:</w:t>
            </w:r>
          </w:p>
          <w:p w14:paraId="2A1CECC6" w14:textId="2B0F8BA9" w:rsidR="009A3065" w:rsidRPr="009A3065" w:rsidRDefault="009A3065" w:rsidP="009A3065">
            <w:pPr>
              <w:pStyle w:val="Bulletindent1"/>
              <w:rPr>
                <w:rFonts w:eastAsia="Calibri"/>
                <w:highlight w:val="yellow"/>
              </w:rPr>
            </w:pPr>
            <w:r>
              <w:rPr>
                <w:rFonts w:eastAsia="Calibri"/>
                <w:highlight w:val="yellow"/>
              </w:rPr>
              <w:t>[[</w:t>
            </w:r>
            <w:r w:rsidRPr="009A3065">
              <w:rPr>
                <w:rFonts w:eastAsia="Calibri"/>
                <w:highlight w:val="yellow"/>
              </w:rPr>
              <w:t>The above names the generic component of available progestogen only contraceptive pills.</w:t>
            </w:r>
          </w:p>
          <w:p w14:paraId="32B42107" w14:textId="77777777" w:rsidR="009A3065" w:rsidRPr="009A3065" w:rsidRDefault="009A3065" w:rsidP="009A3065">
            <w:pPr>
              <w:pStyle w:val="Bulletindent1"/>
              <w:rPr>
                <w:rFonts w:eastAsia="Calibri"/>
                <w:highlight w:val="yellow"/>
              </w:rPr>
            </w:pPr>
            <w:r w:rsidRPr="009A3065">
              <w:rPr>
                <w:rFonts w:eastAsia="Calibri"/>
                <w:highlight w:val="yellow"/>
              </w:rPr>
              <w:t xml:space="preserve">This PGD does not restrict which brands can be supplied – local formularies/restrictions should be referred to. </w:t>
            </w:r>
          </w:p>
          <w:p w14:paraId="4363CCC1" w14:textId="3C0104CE" w:rsidR="009A3065" w:rsidRPr="009A3065" w:rsidRDefault="009A3065" w:rsidP="009A3065">
            <w:pPr>
              <w:pStyle w:val="Bulletindent1"/>
              <w:rPr>
                <w:rFonts w:eastAsia="Calibri"/>
                <w:highlight w:val="yellow"/>
              </w:rPr>
            </w:pPr>
            <w:r w:rsidRPr="009A3065">
              <w:rPr>
                <w:rFonts w:eastAsia="Calibri"/>
                <w:highlight w:val="yellow"/>
              </w:rPr>
              <w:t>Some desogestrel products contain excipients containing soya/nut – awareness of allergy may be required depending on product offered.</w:t>
            </w:r>
            <w:r>
              <w:rPr>
                <w:rFonts w:eastAsia="Calibri"/>
                <w:highlight w:val="yellow"/>
              </w:rPr>
              <w:t>]]</w:t>
            </w:r>
          </w:p>
          <w:p w14:paraId="2B104BB5" w14:textId="5D9ED832" w:rsidR="00165DD9" w:rsidRPr="0012506B" w:rsidRDefault="00A160FE" w:rsidP="00A160FE">
            <w:pPr>
              <w:pStyle w:val="Bulletindent1"/>
            </w:pPr>
            <w:r>
              <w:rPr>
                <w:rFonts w:eastAsia="Calibri"/>
                <w:highlight w:val="yellow"/>
              </w:rPr>
              <w:t>F</w:t>
            </w:r>
            <w:r w:rsidRPr="009A3065">
              <w:rPr>
                <w:rFonts w:eastAsia="Calibri"/>
                <w:highlight w:val="yellow"/>
              </w:rPr>
              <w:t>urther brand information</w:t>
            </w:r>
            <w:r>
              <w:rPr>
                <w:rFonts w:eastAsia="Calibri"/>
              </w:rPr>
              <w:t xml:space="preserve"> </w:t>
            </w:r>
            <w:r w:rsidRPr="009A3065">
              <w:rPr>
                <w:rFonts w:eastAsia="Calibri"/>
                <w:highlight w:val="yellow"/>
              </w:rPr>
              <w:t>including full details of adverse effects and interactions</w:t>
            </w:r>
            <w:r>
              <w:rPr>
                <w:rFonts w:eastAsia="Calibri"/>
                <w:highlight w:val="yellow"/>
              </w:rPr>
              <w:t xml:space="preserve"> is available in the individual SmPC which can be accessed on the </w:t>
            </w:r>
            <w:hyperlink r:id="rId19" w:history="1">
              <w:r w:rsidRPr="00A160FE">
                <w:rPr>
                  <w:rStyle w:val="Hyperlink"/>
                  <w:rFonts w:eastAsia="Calibri"/>
                  <w:highlight w:val="yellow"/>
                </w:rPr>
                <w:t xml:space="preserve">EMC website </w:t>
              </w:r>
            </w:hyperlink>
            <w:r>
              <w:rPr>
                <w:rFonts w:eastAsia="Calibri"/>
                <w:highlight w:val="yellow"/>
              </w:rPr>
              <w:t xml:space="preserve"> or the </w:t>
            </w:r>
            <w:hyperlink r:id="rId20" w:history="1">
              <w:r w:rsidRPr="00A160FE">
                <w:rPr>
                  <w:rStyle w:val="Hyperlink"/>
                  <w:rFonts w:eastAsia="Calibri"/>
                  <w:highlight w:val="yellow"/>
                </w:rPr>
                <w:t>MHRA website</w:t>
              </w:r>
            </w:hyperlink>
            <w:r>
              <w:rPr>
                <w:rFonts w:eastAsia="Calibri"/>
                <w:highlight w:val="yellow"/>
              </w:rPr>
              <w:t xml:space="preserve"> </w:t>
            </w:r>
          </w:p>
        </w:tc>
      </w:tr>
      <w:tr w:rsidR="00165DD9" w14:paraId="6DAA0645" w14:textId="77777777" w:rsidTr="00EE1A3A">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lastRenderedPageBreak/>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00EE1A3A">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00EE1A3A">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4878DF6A"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1" w:history="1">
              <w:r w:rsidR="00082163" w:rsidRPr="00082163">
                <w:rPr>
                  <w:rStyle w:val="Hyperlink"/>
                  <w:lang w:val="en-GB"/>
                </w:rPr>
                <w:t>Summary of Product Characteristics (SmPC) which can be accessed on the EMC website</w:t>
              </w:r>
            </w:hyperlink>
          </w:p>
          <w:p w14:paraId="06C68226" w14:textId="5A121858" w:rsidR="00332380" w:rsidRPr="00E269B0" w:rsidRDefault="00332380" w:rsidP="00A160FE">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p>
          <w:p w14:paraId="46196D32" w14:textId="164087F0"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w:t>
            </w:r>
            <w:r w:rsidRPr="005A6885">
              <w:lastRenderedPageBreak/>
              <w:t>the individual/parent/carer that the drug is being offered in accordance with national guidance but that this is outside the product licence.</w:t>
            </w:r>
          </w:p>
        </w:tc>
      </w:tr>
      <w:tr w:rsidR="00165DD9" w14:paraId="27DDC201" w14:textId="77777777" w:rsidTr="00EE1A3A">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4072DE0" w14:textId="07037BE7" w:rsidR="00D01625" w:rsidRPr="00EE599B" w:rsidRDefault="00D01625" w:rsidP="00D01625">
            <w:pPr>
              <w:pStyle w:val="Bulletindent1"/>
            </w:pPr>
            <w:r w:rsidRPr="00EE599B">
              <w:t xml:space="preserve">Single tablet taken at the same time each day starting on day 1-5 of the menstrual cycle </w:t>
            </w:r>
            <w:r w:rsidRPr="00A564FF">
              <w:rPr>
                <w:highlight w:val="cyan"/>
              </w:rPr>
              <w:t>[</w:t>
            </w:r>
            <w:r w:rsidRPr="00EE599B">
              <w:rPr>
                <w:highlight w:val="cyan"/>
              </w:rPr>
              <w:t>(must be day 1 for drospirenone)</w:t>
            </w:r>
            <w:r w:rsidRPr="00A564FF">
              <w:rPr>
                <w:highlight w:val="cyan"/>
              </w:rPr>
              <w:t>]</w:t>
            </w:r>
            <w:r>
              <w:t xml:space="preserve"> </w:t>
            </w:r>
            <w:r w:rsidRPr="00EE599B">
              <w:t>with no need for additional protection.</w:t>
            </w:r>
          </w:p>
          <w:p w14:paraId="6277B6F3" w14:textId="76B8DB9C" w:rsidR="00D01625" w:rsidRPr="00EE599B" w:rsidRDefault="00D01625" w:rsidP="00D01625">
            <w:pPr>
              <w:pStyle w:val="Bulletindent1"/>
            </w:pPr>
            <w:r w:rsidRPr="00EE599B">
              <w:t xml:space="preserve">The POP can be started at any time after day 5 if it is reasonably certain that the individual is not pregnant. Additional precautions are then required for 48 hours, </w:t>
            </w:r>
            <w:r w:rsidRPr="00A564FF">
              <w:rPr>
                <w:highlight w:val="cyan"/>
              </w:rPr>
              <w:t>[</w:t>
            </w:r>
            <w:r w:rsidRPr="00EE599B">
              <w:rPr>
                <w:highlight w:val="cyan"/>
              </w:rPr>
              <w:t>(7 days for drospirenone)</w:t>
            </w:r>
            <w:r>
              <w:rPr>
                <w:highlight w:val="cyan"/>
              </w:rPr>
              <w:t>]</w:t>
            </w:r>
            <w:r w:rsidRPr="00EE599B">
              <w:rPr>
                <w:highlight w:val="cyan"/>
              </w:rPr>
              <w:t>,</w:t>
            </w:r>
            <w:r w:rsidRPr="00EE599B">
              <w:t xml:space="preserve"> after starting</w:t>
            </w:r>
            <w:r>
              <w:t xml:space="preserve"> </w:t>
            </w:r>
            <w:r w:rsidRPr="00EE599B">
              <w:t xml:space="preserve">and advise </w:t>
            </w:r>
            <w:proofErr w:type="gramStart"/>
            <w:r w:rsidRPr="00EE599B">
              <w:t>to have</w:t>
            </w:r>
            <w:proofErr w:type="gramEnd"/>
            <w:r w:rsidRPr="00EE599B">
              <w:t xml:space="preserve"> follow up pregnancy test at 21 days.</w:t>
            </w:r>
            <w:r w:rsidR="008D7DDF">
              <w:t xml:space="preserve"> </w:t>
            </w:r>
            <w:hyperlink w:anchor="Drospirenone" w:history="1">
              <w:r w:rsidRPr="00A564FF">
                <w:rPr>
                  <w:rStyle w:val="Hyperlink"/>
                  <w:highlight w:val="cyan"/>
                </w:rPr>
                <w:t>[</w:t>
              </w:r>
              <w:r w:rsidRPr="00A002F7">
                <w:rPr>
                  <w:rStyle w:val="Hyperlink"/>
                  <w:highlight w:val="cyan"/>
                </w:rPr>
                <w:t>(See below for drospirenone.)</w:t>
              </w:r>
              <w:r w:rsidRPr="00A564FF">
                <w:rPr>
                  <w:rStyle w:val="Hyperlink"/>
                  <w:highlight w:val="cyan"/>
                </w:rPr>
                <w:t>]</w:t>
              </w:r>
            </w:hyperlink>
          </w:p>
          <w:p w14:paraId="25B27A8B" w14:textId="285B61AD" w:rsidR="00D01625" w:rsidRPr="00EE599B" w:rsidRDefault="00D01625" w:rsidP="00D01625">
            <w:pPr>
              <w:pStyle w:val="Bulletindent1"/>
            </w:pPr>
            <w:r w:rsidRPr="00EE599B">
              <w:t xml:space="preserve">When starting or restarting the POP as quick start after levonorgestrel emergency contraception, additional contraception is required for 48 hours, </w:t>
            </w:r>
            <w:r w:rsidRPr="00A564FF">
              <w:rPr>
                <w:highlight w:val="cyan"/>
              </w:rPr>
              <w:t>[</w:t>
            </w:r>
            <w:r w:rsidRPr="00EE599B">
              <w:rPr>
                <w:highlight w:val="cyan"/>
              </w:rPr>
              <w:t>(7 days for drospirenone)</w:t>
            </w:r>
            <w:r w:rsidRPr="00A564FF">
              <w:rPr>
                <w:highlight w:val="cyan"/>
              </w:rPr>
              <w:t>]</w:t>
            </w:r>
            <w:r w:rsidRPr="00EE599B">
              <w:t>.</w:t>
            </w:r>
          </w:p>
          <w:p w14:paraId="4B140069" w14:textId="34F4E90E" w:rsidR="00D01625" w:rsidRPr="00EE599B" w:rsidRDefault="00D01625" w:rsidP="00D01625">
            <w:pPr>
              <w:pStyle w:val="Bulletindent1"/>
            </w:pPr>
            <w:r w:rsidRPr="00EE599B">
              <w:t xml:space="preserve">In line with </w:t>
            </w:r>
            <w:hyperlink r:id="rId22" w:history="1">
              <w:r w:rsidR="00A002F7">
                <w:rPr>
                  <w:rStyle w:val="Hyperlink"/>
                </w:rPr>
                <w:t>FSRH guideline - Combined Hormonal Contraception</w:t>
              </w:r>
            </w:hyperlink>
            <w:r w:rsidR="00A002F7">
              <w:t xml:space="preserve"> </w:t>
            </w:r>
            <w:r w:rsidRPr="00EE599B">
              <w:t xml:space="preserve">individuals using hormonal contraception should delay restarting their regular contraception for 5 days following ulipristal acetate use. Avoidance of pregnancy risk (i.e. use of condoms or abstain from intercourse) should be advised until fully effective.  </w:t>
            </w:r>
          </w:p>
          <w:p w14:paraId="4DA0E6DA" w14:textId="211E5B75" w:rsidR="00D01625" w:rsidRPr="00D01625" w:rsidRDefault="00D01625" w:rsidP="00D01625">
            <w:pPr>
              <w:pStyle w:val="Bulletindent1"/>
              <w:rPr>
                <w:b/>
                <w:bCs/>
              </w:rPr>
            </w:pPr>
            <w:r w:rsidRPr="00D01625">
              <w:t xml:space="preserve">For guidance on changing from one contraceptive method to another, and when to start after an abortion and postpartum, refer to </w:t>
            </w:r>
            <w:hyperlink r:id="rId23" w:history="1">
              <w:r w:rsidRPr="00D01625">
                <w:rPr>
                  <w:rStyle w:val="Hyperlink"/>
                </w:rPr>
                <w:t>CoSRH - Switching or Starting Methods of Contraceptio</w:t>
              </w:r>
              <w:r w:rsidR="00ED056C">
                <w:rPr>
                  <w:rStyle w:val="Hyperlink"/>
                </w:rPr>
                <w:t>n (log in required)</w:t>
              </w:r>
            </w:hyperlink>
            <w:r w:rsidRPr="00D01625">
              <w:t xml:space="preserve"> and </w:t>
            </w:r>
            <w:hyperlink r:id="rId24" w:history="1">
              <w:r w:rsidRPr="00D01625">
                <w:rPr>
                  <w:rStyle w:val="Hyperlink"/>
                </w:rPr>
                <w:t>CoSRH Clinical Guideline:</w:t>
              </w:r>
              <w:r w:rsidR="008D7DDF">
                <w:rPr>
                  <w:rStyle w:val="Hyperlink"/>
                </w:rPr>
                <w:t xml:space="preserve"> </w:t>
              </w:r>
              <w:r w:rsidRPr="00D01625">
                <w:rPr>
                  <w:rStyle w:val="Hyperlink"/>
                </w:rPr>
                <w:t>Contraception after Pregnancy</w:t>
              </w:r>
            </w:hyperlink>
          </w:p>
          <w:p w14:paraId="557558B5" w14:textId="77777777" w:rsidR="00D01625" w:rsidRPr="00D01625" w:rsidRDefault="00D01625" w:rsidP="00D01625">
            <w:pPr>
              <w:pStyle w:val="Bulletindent1"/>
            </w:pPr>
            <w:r w:rsidRPr="00D01625">
              <w:t>The POP may be started at any time after childbirth, including immediately after childbirth and before 21 days; if starting after 21 days, additional contraceptive precautions are required (e.g. barrier methods/abstinence)</w:t>
            </w:r>
          </w:p>
          <w:p w14:paraId="10F0DE19" w14:textId="7F434ECF" w:rsidR="00D01625" w:rsidRPr="00340DEE" w:rsidRDefault="00EA7646" w:rsidP="00D01625">
            <w:pPr>
              <w:pStyle w:val="Tabletext"/>
              <w:rPr>
                <w:rFonts w:eastAsia="Calibri"/>
                <w:b/>
                <w:bCs/>
                <w:highlight w:val="cyan"/>
              </w:rPr>
            </w:pPr>
            <w:r>
              <w:rPr>
                <w:b/>
                <w:bCs/>
                <w:highlight w:val="cyan"/>
              </w:rPr>
              <w:t>[</w:t>
            </w:r>
            <w:bookmarkStart w:id="5" w:name="Drospirenone"/>
            <w:bookmarkEnd w:id="5"/>
            <w:r w:rsidR="00D01625" w:rsidRPr="00340DEE">
              <w:rPr>
                <w:b/>
                <w:bCs/>
                <w:highlight w:val="cyan"/>
              </w:rPr>
              <w:t>Drospirenone</w:t>
            </w:r>
          </w:p>
          <w:p w14:paraId="03851D48" w14:textId="77777777" w:rsidR="00D01625" w:rsidRPr="00EE599B" w:rsidRDefault="00D01625" w:rsidP="00D01625">
            <w:pPr>
              <w:pStyle w:val="Bulletindent1"/>
              <w:rPr>
                <w:rFonts w:eastAsia="Calibri"/>
                <w:highlight w:val="cyan"/>
              </w:rPr>
            </w:pPr>
            <w:r w:rsidRPr="00EE599B">
              <w:rPr>
                <w:b/>
                <w:bCs/>
                <w:highlight w:val="cyan"/>
              </w:rPr>
              <w:t>Drospirenone</w:t>
            </w:r>
            <w:r w:rsidRPr="00EE599B">
              <w:rPr>
                <w:highlight w:val="cyan"/>
              </w:rPr>
              <w:t xml:space="preserve"> is started on day 1 after abortion or by day 21 after childbirth. If started at any other time, additional contraceptive precautions are required for </w:t>
            </w:r>
            <w:r w:rsidRPr="00EE599B">
              <w:rPr>
                <w:b/>
                <w:bCs/>
                <w:highlight w:val="cyan"/>
              </w:rPr>
              <w:t>7</w:t>
            </w:r>
            <w:r w:rsidRPr="00EE599B">
              <w:rPr>
                <w:highlight w:val="cyan"/>
              </w:rPr>
              <w:t xml:space="preserve"> days with advice to take a follow-up pregnancy test if appropriate.</w:t>
            </w:r>
          </w:p>
          <w:p w14:paraId="24C10F7A" w14:textId="77777777" w:rsidR="00D01625" w:rsidRPr="00EE599B" w:rsidRDefault="00D01625" w:rsidP="00D01625">
            <w:pPr>
              <w:pStyle w:val="Bulletindent1"/>
              <w:rPr>
                <w:rFonts w:eastAsia="Calibri"/>
                <w:highlight w:val="cyan"/>
              </w:rPr>
            </w:pPr>
            <w:r w:rsidRPr="00EE599B">
              <w:rPr>
                <w:rFonts w:eastAsia="Calibri"/>
                <w:highlight w:val="cyan"/>
              </w:rPr>
              <w:lastRenderedPageBreak/>
              <w:t>Drospirenone is taken in a continuous cycle of 24 consecutive daily 4mg pills followed by four inactive pills (a 4-day hormone-free interval)</w:t>
            </w:r>
          </w:p>
          <w:p w14:paraId="6AB47447" w14:textId="4DDB6EF4" w:rsidR="00B65EE5" w:rsidRDefault="00D01625" w:rsidP="00D01625">
            <w:pPr>
              <w:pStyle w:val="Bulletindent1"/>
            </w:pPr>
            <w:r>
              <w:rPr>
                <w:highlight w:val="cyan"/>
              </w:rPr>
              <w:t>Co</w:t>
            </w:r>
            <w:r w:rsidRPr="00EE599B">
              <w:rPr>
                <w:highlight w:val="cyan"/>
              </w:rPr>
              <w:t xml:space="preserve">SRH recommendations on starting and switching to or from </w:t>
            </w:r>
            <w:proofErr w:type="gramStart"/>
            <w:r w:rsidRPr="00EE599B">
              <w:rPr>
                <w:b/>
                <w:bCs/>
                <w:highlight w:val="cyan"/>
              </w:rPr>
              <w:t>drospirenone</w:t>
            </w:r>
            <w:r w:rsidRPr="00EE599B">
              <w:rPr>
                <w:highlight w:val="cyan"/>
              </w:rPr>
              <w:t>, and</w:t>
            </w:r>
            <w:proofErr w:type="gramEnd"/>
            <w:r w:rsidRPr="00EE599B">
              <w:rPr>
                <w:highlight w:val="cyan"/>
              </w:rPr>
              <w:t xml:space="preserve"> missed pill rules/requirement for emergency contraception differ between drospirenone and other POPs</w:t>
            </w:r>
            <w:r>
              <w:rPr>
                <w:highlight w:val="cyan"/>
              </w:rPr>
              <w:t xml:space="preserve"> as detailed in </w:t>
            </w:r>
            <w:proofErr w:type="gramStart"/>
            <w:r>
              <w:rPr>
                <w:highlight w:val="cyan"/>
              </w:rPr>
              <w:t xml:space="preserve">the </w:t>
            </w:r>
            <w:r w:rsidRPr="006C1957">
              <w:rPr>
                <w:highlight w:val="cyan"/>
              </w:rPr>
              <w:t>.</w:t>
            </w:r>
            <w:proofErr w:type="gramEnd"/>
            <w:r>
              <w:fldChar w:fldCharType="begin"/>
            </w:r>
            <w:r>
              <w:instrText>HYPERLINK "https://www.fsrh.org/Public/Documents/fsrh-ceu-statement-drospirenone-progestogen-only-pill-drsp-pop.aspx?WebsiteKey=f858b086-d221-4a83-9688-824162920b1b"</w:instrText>
            </w:r>
            <w:r>
              <w:fldChar w:fldCharType="separate"/>
            </w:r>
            <w:r w:rsidRPr="006C1957">
              <w:rPr>
                <w:rStyle w:val="Hyperlink"/>
                <w:rFonts w:cs="Arial"/>
                <w:highlight w:val="cyan"/>
              </w:rPr>
              <w:t>FSRH CEU Statement: Drospirenone Progestogen-only Pill (DRSP POP) (Jan 2024) | FSRH</w:t>
            </w:r>
            <w:r>
              <w:fldChar w:fldCharType="end"/>
            </w:r>
            <w:r w:rsidR="006C1957" w:rsidRPr="00073C02">
              <w:rPr>
                <w:highlight w:val="cyan"/>
              </w:rPr>
              <w:t>]</w:t>
            </w:r>
          </w:p>
        </w:tc>
      </w:tr>
      <w:tr w:rsidR="00D01625" w14:paraId="0846FA72" w14:textId="77777777" w:rsidTr="00EE1A3A">
        <w:tc>
          <w:tcPr>
            <w:tcW w:w="3397" w:type="dxa"/>
          </w:tcPr>
          <w:p w14:paraId="2EFB50A0" w14:textId="185233DA" w:rsidR="00D01625" w:rsidRPr="00D131FF" w:rsidRDefault="00D01625" w:rsidP="00D131FF">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7A50C949" w14:textId="4796C27C" w:rsidR="00D01625" w:rsidRPr="00D01625" w:rsidRDefault="00D01625" w:rsidP="00D01625">
            <w:pPr>
              <w:pStyle w:val="Tabletext"/>
            </w:pPr>
            <w:r w:rsidRPr="00D01625">
              <w:t xml:space="preserve">Supply of up to twelve months in appropriately labelled original packs.  </w:t>
            </w:r>
          </w:p>
        </w:tc>
      </w:tr>
      <w:tr w:rsidR="00D01625" w14:paraId="13F94B4C" w14:textId="77777777" w:rsidTr="00EE1A3A">
        <w:tc>
          <w:tcPr>
            <w:tcW w:w="3397" w:type="dxa"/>
          </w:tcPr>
          <w:p w14:paraId="32C5C997" w14:textId="1D880791" w:rsidR="00D01625" w:rsidRPr="00D131FF" w:rsidRDefault="00D01625" w:rsidP="00D131FF">
            <w:pPr>
              <w:pStyle w:val="TableHeaderRow"/>
              <w:rPr>
                <w:rStyle w:val="TableHeaderColumn"/>
                <w:b/>
                <w:bCs/>
                <w:sz w:val="22"/>
              </w:rPr>
            </w:pPr>
            <w:r w:rsidRPr="00D131FF">
              <w:rPr>
                <w:rStyle w:val="TableHeaderColumn"/>
                <w:b/>
                <w:bCs/>
                <w:sz w:val="22"/>
              </w:rPr>
              <w:t>Duration of treatment</w:t>
            </w:r>
          </w:p>
        </w:tc>
        <w:tc>
          <w:tcPr>
            <w:tcW w:w="5245" w:type="dxa"/>
          </w:tcPr>
          <w:p w14:paraId="68D379EC" w14:textId="4B6545FD" w:rsidR="00D01625" w:rsidRPr="00D01625" w:rsidRDefault="00D01625" w:rsidP="00D01625">
            <w:pPr>
              <w:pStyle w:val="Tabletext"/>
            </w:pPr>
            <w:r w:rsidRPr="00D01625">
              <w:rPr>
                <w:lang w:val="en-GB"/>
              </w:rPr>
              <w:t>For as long as the individual requires POP and has no contraindications to the use of POP.</w:t>
            </w:r>
          </w:p>
        </w:tc>
      </w:tr>
      <w:tr w:rsidR="00D01625" w14:paraId="065CA9C4" w14:textId="77777777" w:rsidTr="00EE1A3A">
        <w:tc>
          <w:tcPr>
            <w:tcW w:w="3397" w:type="dxa"/>
          </w:tcPr>
          <w:p w14:paraId="512EC661" w14:textId="59098817" w:rsidR="00D01625" w:rsidRPr="00D131FF" w:rsidRDefault="00D01625" w:rsidP="00D01625">
            <w:pPr>
              <w:pStyle w:val="TableHeaderRow"/>
              <w:rPr>
                <w:rStyle w:val="TableHeaderColumn"/>
                <w:b/>
                <w:bCs/>
                <w:sz w:val="22"/>
              </w:rPr>
            </w:pPr>
            <w:r w:rsidRPr="00D131FF">
              <w:rPr>
                <w:rStyle w:val="TableHeaderColumn"/>
                <w:b/>
                <w:bCs/>
                <w:sz w:val="22"/>
              </w:rPr>
              <w:t>Storage</w:t>
            </w:r>
          </w:p>
        </w:tc>
        <w:tc>
          <w:tcPr>
            <w:tcW w:w="5245" w:type="dxa"/>
          </w:tcPr>
          <w:p w14:paraId="0A7D5CC5" w14:textId="6756B35F" w:rsidR="00D01625" w:rsidRPr="00B65EE5" w:rsidRDefault="00D01625" w:rsidP="00D01625">
            <w:pPr>
              <w:pStyle w:val="Tabletext"/>
              <w:rPr>
                <w:b/>
                <w:bCs/>
              </w:rPr>
            </w:pPr>
            <w:r w:rsidRPr="005A6885">
              <w:rPr>
                <w:rFonts w:cs="Arial"/>
              </w:rPr>
              <w:t xml:space="preserve">Medicines must be stored securely according to national guidelines and in accordance with the </w:t>
            </w:r>
            <w:hyperlink r:id="rId25" w:history="1">
              <w:r w:rsidR="00340DEE" w:rsidRPr="00340DEE">
                <w:rPr>
                  <w:rStyle w:val="Hyperlink"/>
                  <w:lang w:val="en-GB"/>
                </w:rPr>
                <w:t>Summary of Product Characteristics (SmPC) which can be accessed on the EMC website</w:t>
              </w:r>
            </w:hyperlink>
          </w:p>
        </w:tc>
      </w:tr>
      <w:tr w:rsidR="00D01625" w14:paraId="26FFAD95" w14:textId="77777777" w:rsidTr="00EE1A3A">
        <w:tc>
          <w:tcPr>
            <w:tcW w:w="3397" w:type="dxa"/>
          </w:tcPr>
          <w:p w14:paraId="6EC1A50C" w14:textId="03F2E8EB" w:rsidR="00D01625" w:rsidRPr="00D131FF" w:rsidRDefault="00340DEE" w:rsidP="00D01625">
            <w:pPr>
              <w:pStyle w:val="TableHeaderRow"/>
              <w:rPr>
                <w:rStyle w:val="TableHeaderColumn"/>
                <w:b/>
                <w:bCs/>
                <w:sz w:val="22"/>
              </w:rPr>
            </w:pPr>
            <w:r w:rsidRPr="00D131FF">
              <w:rPr>
                <w:rStyle w:val="TableHeaderColumn"/>
                <w:b/>
                <w:bCs/>
                <w:sz w:val="22"/>
              </w:rPr>
              <w:t>Drug interactions</w:t>
            </w:r>
          </w:p>
        </w:tc>
        <w:tc>
          <w:tcPr>
            <w:tcW w:w="5245" w:type="dxa"/>
          </w:tcPr>
          <w:p w14:paraId="6740CE57" w14:textId="77777777" w:rsidR="00340DEE" w:rsidRPr="00601464" w:rsidRDefault="00340DEE" w:rsidP="00340DEE">
            <w:pPr>
              <w:pStyle w:val="Tabletext"/>
            </w:pPr>
            <w:r w:rsidRPr="00601464">
              <w:t>All concurrent medications, including those purchased should be considered for interactions.</w:t>
            </w:r>
          </w:p>
          <w:p w14:paraId="3C38BB78" w14:textId="77777777" w:rsidR="00340DEE" w:rsidRDefault="00340DEE" w:rsidP="00340DEE">
            <w:pPr>
              <w:pStyle w:val="Tabletext"/>
              <w:rPr>
                <w:rFonts w:cs="Arial"/>
                <w:color w:val="000000"/>
                <w:lang w:val="en-GB"/>
              </w:rPr>
            </w:pPr>
          </w:p>
          <w:p w14:paraId="677CB898" w14:textId="1B0F2ABB" w:rsidR="00340DEE" w:rsidRDefault="00340DEE" w:rsidP="00340DEE">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6" w:history="1">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27" w:history="1">
              <w:r w:rsidRPr="00BD1D91">
                <w:rPr>
                  <w:rStyle w:val="Hyperlink"/>
                  <w:rFonts w:cs="Arial"/>
                  <w:bCs/>
                  <w:iCs/>
                </w:rPr>
                <w:t>the BNF</w:t>
              </w:r>
            </w:hyperlink>
          </w:p>
          <w:p w14:paraId="36C27C6E" w14:textId="77777777" w:rsidR="00340DEE" w:rsidRDefault="00340DEE" w:rsidP="00340DEE">
            <w:pPr>
              <w:pStyle w:val="Tabletext"/>
            </w:pPr>
            <w:r w:rsidRPr="00770955">
              <w:rPr>
                <w:lang w:val="en-GB"/>
              </w:rPr>
              <w:t xml:space="preserve">Refer also to </w:t>
            </w:r>
            <w:hyperlink r:id="rId28" w:history="1">
              <w:r>
                <w:rPr>
                  <w:rStyle w:val="Hyperlink"/>
                  <w:lang w:val="en-GB"/>
                </w:rPr>
                <w:t>CoSRH guidance on drug interactions with hormonal contraception</w:t>
              </w:r>
            </w:hyperlink>
          </w:p>
          <w:p w14:paraId="4D141A51" w14:textId="77777777" w:rsidR="00340DEE" w:rsidRDefault="00340DEE" w:rsidP="00340DEE">
            <w:pPr>
              <w:pStyle w:val="Tabletext"/>
              <w:rPr>
                <w:b/>
                <w:bCs/>
                <w:lang w:val="en-GB"/>
              </w:rPr>
            </w:pPr>
          </w:p>
          <w:p w14:paraId="1E3875A5" w14:textId="34FA60F4" w:rsidR="00340DEE" w:rsidRPr="00340DEE" w:rsidRDefault="00340DEE" w:rsidP="00340DEE">
            <w:pPr>
              <w:pStyle w:val="Tabletext"/>
              <w:rPr>
                <w:lang w:val="en-GB"/>
              </w:rPr>
            </w:pPr>
            <w:r>
              <w:rPr>
                <w:b/>
                <w:bCs/>
                <w:highlight w:val="cyan"/>
                <w:lang w:val="en-GB"/>
              </w:rPr>
              <w:t>[</w:t>
            </w:r>
            <w:r w:rsidRPr="00340DEE">
              <w:rPr>
                <w:b/>
                <w:bCs/>
                <w:highlight w:val="cyan"/>
                <w:lang w:val="en-GB"/>
              </w:rPr>
              <w:t>Drospirenone</w:t>
            </w:r>
            <w:r w:rsidRPr="00811CCD">
              <w:rPr>
                <w:b/>
                <w:bCs/>
                <w:highlight w:val="cyan"/>
                <w:lang w:val="en-GB"/>
              </w:rPr>
              <w:t>]</w:t>
            </w:r>
          </w:p>
          <w:p w14:paraId="7705F77B" w14:textId="0C51C1F0" w:rsidR="00340DEE" w:rsidRPr="00340DEE" w:rsidRDefault="00340DEE" w:rsidP="00340DEE">
            <w:pPr>
              <w:pStyle w:val="Tabletext"/>
              <w:rPr>
                <w:lang w:val="en-GB"/>
              </w:rPr>
            </w:pPr>
            <w:r w:rsidRPr="00B76FB5">
              <w:rPr>
                <w:highlight w:val="cyan"/>
                <w:lang w:val="en-GB"/>
              </w:rPr>
              <w:t xml:space="preserve">Avoid potassium sparing agents and aldosterone antagonists, or potassium supplements (including OTC) due to risk of hyperkalaemia with concomitant use of </w:t>
            </w:r>
            <w:r w:rsidRPr="00B76FB5">
              <w:rPr>
                <w:b/>
                <w:bCs/>
                <w:highlight w:val="cyan"/>
                <w:lang w:val="en-GB"/>
              </w:rPr>
              <w:t>drospirenone</w:t>
            </w:r>
            <w:r w:rsidR="00096140" w:rsidRPr="00B76FB5">
              <w:rPr>
                <w:highlight w:val="cyan"/>
                <w:lang w:val="en-GB"/>
              </w:rPr>
              <w:t>.</w:t>
            </w:r>
          </w:p>
          <w:p w14:paraId="3AF420E5" w14:textId="7425F50F" w:rsidR="00340DEE" w:rsidRPr="00340DEE" w:rsidRDefault="00340DEE" w:rsidP="00340DEE">
            <w:pPr>
              <w:pStyle w:val="Tabletext"/>
              <w:rPr>
                <w:highlight w:val="cyan"/>
                <w:lang w:val="en-GB"/>
              </w:rPr>
            </w:pPr>
            <w:r>
              <w:rPr>
                <w:highlight w:val="cyan"/>
                <w:lang w:val="en-GB"/>
              </w:rPr>
              <w:t>[</w:t>
            </w:r>
            <w:r w:rsidRPr="00340DEE">
              <w:rPr>
                <w:highlight w:val="cyan"/>
                <w:lang w:val="en-GB"/>
              </w:rPr>
              <w:t xml:space="preserve">Individuals using a multivitamin/dietary supplement containing potassium may wish to consider changing to a </w:t>
            </w:r>
            <w:proofErr w:type="spellStart"/>
            <w:r w:rsidRPr="00340DEE">
              <w:rPr>
                <w:highlight w:val="cyan"/>
                <w:lang w:val="en-GB"/>
              </w:rPr>
              <w:t>non potassium</w:t>
            </w:r>
            <w:proofErr w:type="spellEnd"/>
            <w:r w:rsidRPr="00340DEE">
              <w:rPr>
                <w:highlight w:val="cyan"/>
                <w:lang w:val="en-GB"/>
              </w:rPr>
              <w:t xml:space="preserve"> containing product if clinically appropriate.</w:t>
            </w:r>
          </w:p>
          <w:p w14:paraId="15E5ABE2" w14:textId="04662E29" w:rsidR="00D01625" w:rsidRPr="00B65EE5" w:rsidRDefault="00340DEE" w:rsidP="00340DEE">
            <w:pPr>
              <w:pStyle w:val="Tabletext"/>
              <w:rPr>
                <w:b/>
                <w:bCs/>
              </w:rPr>
            </w:pPr>
            <w:r w:rsidRPr="00340DEE">
              <w:rPr>
                <w:highlight w:val="cyan"/>
                <w:lang w:val="en-GB"/>
              </w:rPr>
              <w:t xml:space="preserve">Avoid grapefruit or grapefruit juice while taking </w:t>
            </w:r>
            <w:r w:rsidRPr="00340DEE">
              <w:rPr>
                <w:b/>
                <w:bCs/>
                <w:highlight w:val="cyan"/>
                <w:lang w:val="en-GB"/>
              </w:rPr>
              <w:t>drospirenone</w:t>
            </w:r>
            <w:r w:rsidRPr="00811CCD">
              <w:rPr>
                <w:highlight w:val="cyan"/>
                <w:lang w:val="en-GB"/>
              </w:rPr>
              <w:t>.]</w:t>
            </w:r>
          </w:p>
        </w:tc>
      </w:tr>
      <w:tr w:rsidR="00D01625" w14:paraId="7EAB731D" w14:textId="77777777" w:rsidTr="00EE1A3A">
        <w:tc>
          <w:tcPr>
            <w:tcW w:w="3397" w:type="dxa"/>
          </w:tcPr>
          <w:p w14:paraId="4F5820C5" w14:textId="38681145" w:rsidR="00D01625" w:rsidRPr="00D131FF" w:rsidRDefault="00340DEE" w:rsidP="00D01625">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6987BC35" w:rsidR="00340DEE" w:rsidRDefault="00340DEE" w:rsidP="00340DEE">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29" w:history="1">
              <w:hyperlink r:id="rId30" w:history="1">
                <w:r w:rsidRPr="00340DEE">
                  <w:rPr>
                    <w:rStyle w:val="Hyperlink"/>
                    <w:lang w:val="en-GB"/>
                  </w:rPr>
                  <w:t xml:space="preserve">Summary of Product Characteristics (SmPC) </w:t>
                </w:r>
                <w:r w:rsidRPr="00340DEE">
                  <w:rPr>
                    <w:rStyle w:val="Hyperlink"/>
                    <w:lang w:val="en-GB"/>
                  </w:rPr>
                  <w:lastRenderedPageBreak/>
                  <w:t>which can be accessed on the EMC website</w:t>
                </w:r>
              </w:hyperlink>
            </w:hyperlink>
            <w:r w:rsidRPr="00FA5956">
              <w:rPr>
                <w:lang w:val="en-GB"/>
              </w:rPr>
              <w:t xml:space="preserve"> or </w:t>
            </w:r>
            <w:hyperlink r:id="rId31" w:history="1">
              <w:r w:rsidRPr="00FA5956">
                <w:rPr>
                  <w:rStyle w:val="Hyperlink"/>
                  <w:bCs/>
                  <w:iCs/>
                  <w:lang w:val="en-GB"/>
                </w:rPr>
                <w:t>the BNF</w:t>
              </w:r>
            </w:hyperlink>
          </w:p>
          <w:p w14:paraId="5D87FDB7" w14:textId="530D629F" w:rsidR="00340DEE" w:rsidRPr="00340DEE" w:rsidRDefault="00340DEE" w:rsidP="00340DEE">
            <w:pPr>
              <w:pStyle w:val="Tabletext"/>
              <w:rPr>
                <w:rFonts w:eastAsia="Calibri"/>
                <w:lang w:val="en-GB"/>
              </w:rPr>
            </w:pPr>
            <w:r w:rsidRPr="00340DEE">
              <w:rPr>
                <w:rFonts w:eastAsia="Calibri"/>
                <w:lang w:val="en-GB"/>
              </w:rPr>
              <w:t>The following possible adverse effects are</w:t>
            </w:r>
            <w:r w:rsidRPr="00340DEE">
              <w:rPr>
                <w:b/>
                <w:bCs/>
                <w:lang w:val="en-GB"/>
              </w:rPr>
              <w:t xml:space="preserve"> </w:t>
            </w:r>
            <w:r w:rsidRPr="00340DEE">
              <w:rPr>
                <w:rFonts w:eastAsia="Calibri"/>
                <w:lang w:val="en-GB"/>
              </w:rPr>
              <w:t>commonly reported with</w:t>
            </w:r>
            <w:r>
              <w:rPr>
                <w:rFonts w:eastAsia="Calibri"/>
                <w:lang w:val="en-GB"/>
              </w:rPr>
              <w:t xml:space="preserve"> </w:t>
            </w:r>
            <w:r w:rsidRPr="00340DEE">
              <w:rPr>
                <w:rFonts w:eastAsia="Calibri"/>
                <w:lang w:val="en-GB"/>
              </w:rPr>
              <w:t>POP (but may not reflect all reported adverse effects):</w:t>
            </w:r>
          </w:p>
          <w:p w14:paraId="700902AB" w14:textId="77777777" w:rsidR="00131A29" w:rsidRPr="000D7528" w:rsidRDefault="00131A29" w:rsidP="00131A29">
            <w:pPr>
              <w:pStyle w:val="Bulletindent1"/>
              <w:rPr>
                <w:rFonts w:eastAsia="Calibri"/>
              </w:rPr>
            </w:pPr>
            <w:r w:rsidRPr="000D7528">
              <w:rPr>
                <w:rFonts w:eastAsia="Calibri"/>
              </w:rPr>
              <w:t>Acne</w:t>
            </w:r>
          </w:p>
          <w:p w14:paraId="24B857A1" w14:textId="77777777" w:rsidR="00131A29" w:rsidRPr="000D7528" w:rsidRDefault="00131A29" w:rsidP="00131A29">
            <w:pPr>
              <w:pStyle w:val="Bulletindent1"/>
              <w:rPr>
                <w:rFonts w:eastAsia="Calibri"/>
              </w:rPr>
            </w:pPr>
            <w:r w:rsidRPr="000D7528">
              <w:rPr>
                <w:rFonts w:eastAsia="Calibri"/>
              </w:rPr>
              <w:t>Breast tenderness</w:t>
            </w:r>
          </w:p>
          <w:p w14:paraId="4F06788E" w14:textId="77777777" w:rsidR="00131A29" w:rsidRPr="000D7528" w:rsidRDefault="00131A29" w:rsidP="00131A29">
            <w:pPr>
              <w:pStyle w:val="Bulletindent1"/>
              <w:rPr>
                <w:rFonts w:eastAsia="Calibri"/>
              </w:rPr>
            </w:pPr>
            <w:r w:rsidRPr="000D7528">
              <w:rPr>
                <w:rFonts w:eastAsia="Calibri"/>
              </w:rPr>
              <w:t>Headache</w:t>
            </w:r>
          </w:p>
          <w:p w14:paraId="464BBAD9" w14:textId="77777777" w:rsidR="00131A29" w:rsidRPr="000D7528" w:rsidRDefault="00131A29" w:rsidP="00131A29">
            <w:pPr>
              <w:pStyle w:val="Bulletindent1"/>
              <w:rPr>
                <w:rFonts w:eastAsia="Calibri"/>
              </w:rPr>
            </w:pPr>
            <w:r w:rsidRPr="000D7528">
              <w:rPr>
                <w:rFonts w:eastAsia="Calibri"/>
              </w:rPr>
              <w:t>Disturbance of bleeding patterns</w:t>
            </w:r>
          </w:p>
          <w:p w14:paraId="624BF9CF" w14:textId="77777777" w:rsidR="00131A29" w:rsidRPr="000D7528" w:rsidRDefault="00131A29" w:rsidP="00131A29">
            <w:pPr>
              <w:pStyle w:val="Bulletindent1"/>
              <w:rPr>
                <w:rFonts w:eastAsia="Calibri"/>
              </w:rPr>
            </w:pPr>
            <w:r w:rsidRPr="000D7528">
              <w:rPr>
                <w:rFonts w:eastAsia="Calibri"/>
              </w:rPr>
              <w:t>Changes in mood/libido</w:t>
            </w:r>
          </w:p>
          <w:p w14:paraId="17BB7862" w14:textId="77777777" w:rsidR="00131A29" w:rsidRDefault="00131A29" w:rsidP="00131A29">
            <w:pPr>
              <w:pStyle w:val="Bulletindent1"/>
              <w:rPr>
                <w:rFonts w:eastAsia="Calibri"/>
              </w:rPr>
            </w:pPr>
            <w:r w:rsidRPr="000D7528">
              <w:rPr>
                <w:rFonts w:eastAsia="Calibri"/>
              </w:rPr>
              <w:t xml:space="preserve">Weight change </w:t>
            </w:r>
          </w:p>
          <w:p w14:paraId="69416267" w14:textId="40341042" w:rsidR="00131A29" w:rsidRPr="00131A29" w:rsidRDefault="00131A29" w:rsidP="00131A29">
            <w:pPr>
              <w:pStyle w:val="Tabletext"/>
              <w:rPr>
                <w:rFonts w:eastAsia="Calibri"/>
                <w:b/>
                <w:bCs/>
                <w:highlight w:val="cyan"/>
              </w:rPr>
            </w:pPr>
            <w:r>
              <w:rPr>
                <w:b/>
                <w:bCs/>
                <w:highlight w:val="cyan"/>
              </w:rPr>
              <w:t>[</w:t>
            </w:r>
            <w:r w:rsidRPr="00131A29">
              <w:rPr>
                <w:b/>
                <w:bCs/>
                <w:highlight w:val="cyan"/>
              </w:rPr>
              <w:t>Drospirenone</w:t>
            </w:r>
          </w:p>
          <w:p w14:paraId="02EDFA64" w14:textId="0BF28A0D" w:rsidR="00D01625" w:rsidRPr="00B65EE5" w:rsidRDefault="00131A29" w:rsidP="00131A29">
            <w:pPr>
              <w:pStyle w:val="Bulletindent1"/>
            </w:pPr>
            <w:r w:rsidRPr="00EE599B">
              <w:rPr>
                <w:rFonts w:eastAsia="Calibri"/>
                <w:highlight w:val="cyan"/>
              </w:rPr>
              <w:t>Hyperkalaemia</w:t>
            </w:r>
            <w:r w:rsidRPr="00811CCD">
              <w:rPr>
                <w:rFonts w:eastAsia="Calibri"/>
                <w:highlight w:val="cyan"/>
              </w:rPr>
              <w:t>]</w:t>
            </w:r>
          </w:p>
        </w:tc>
      </w:tr>
      <w:tr w:rsidR="00D01625" w14:paraId="10AA9D6C" w14:textId="77777777" w:rsidTr="00EE1A3A">
        <w:tc>
          <w:tcPr>
            <w:tcW w:w="3397" w:type="dxa"/>
          </w:tcPr>
          <w:p w14:paraId="1626F6B4" w14:textId="57B8141F" w:rsidR="00D01625" w:rsidRPr="00D131FF" w:rsidRDefault="00131A29" w:rsidP="00D01625">
            <w:pPr>
              <w:pStyle w:val="TableHeaderRow"/>
              <w:rPr>
                <w:rStyle w:val="TableHeaderColumn"/>
                <w:b/>
                <w:bCs/>
                <w:sz w:val="22"/>
              </w:rPr>
            </w:pPr>
            <w:r w:rsidRPr="00D131FF">
              <w:rPr>
                <w:rStyle w:val="TableHeaderColumn"/>
                <w:b/>
                <w:bCs/>
                <w:sz w:val="22"/>
              </w:rPr>
              <w:lastRenderedPageBreak/>
              <w:t>Management of and reporting procedures for adverse reactions</w:t>
            </w:r>
          </w:p>
        </w:tc>
        <w:tc>
          <w:tcPr>
            <w:tcW w:w="5245" w:type="dxa"/>
          </w:tcPr>
          <w:p w14:paraId="26E1468C" w14:textId="77777777" w:rsidR="00131A29" w:rsidRPr="008D2560" w:rsidRDefault="00131A29" w:rsidP="00131A2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2" w:history="1">
              <w:r w:rsidRPr="00F6120B">
                <w:rPr>
                  <w:rStyle w:val="Hyperlink"/>
                </w:rPr>
                <w:t>MHRA's Yellow Card Scheme</w:t>
              </w:r>
            </w:hyperlink>
            <w:r>
              <w:t xml:space="preserve"> </w:t>
            </w:r>
            <w:r w:rsidRPr="00811CCD">
              <w:rPr>
                <w:highlight w:val="cyan"/>
              </w:rPr>
              <w:t>[</w:t>
            </w:r>
            <w:r w:rsidRPr="00504FB7">
              <w:rPr>
                <w:highlight w:val="cyan"/>
              </w:rPr>
              <w:t>follow organisation policy (include link and any further detail required)</w:t>
            </w:r>
            <w:r w:rsidRPr="00811CCD">
              <w:rPr>
                <w:highlight w:val="cyan"/>
              </w:rPr>
              <w:t>]</w:t>
            </w:r>
            <w:r>
              <w:t>.</w:t>
            </w:r>
          </w:p>
          <w:p w14:paraId="2B5C2674" w14:textId="77777777" w:rsidR="00131A29" w:rsidRPr="008D2560" w:rsidRDefault="00131A29" w:rsidP="00131A29">
            <w:pPr>
              <w:pStyle w:val="Bulletindent1"/>
            </w:pPr>
            <w:r w:rsidRPr="008D2560">
              <w:t xml:space="preserve">Record all adverse drug reactions (ADRs) in the </w:t>
            </w:r>
            <w:r>
              <w:t>individual’s clinical record.</w:t>
            </w:r>
          </w:p>
          <w:p w14:paraId="6FD31A73" w14:textId="093BEF75" w:rsidR="00D01625" w:rsidRPr="00B65EE5" w:rsidRDefault="00131A29" w:rsidP="00B76FB5">
            <w:pPr>
              <w:pStyle w:val="Bulletindent1"/>
              <w:rPr>
                <w:b/>
                <w:bCs/>
              </w:rPr>
            </w:pPr>
            <w:r w:rsidRPr="00811CCD">
              <w:rPr>
                <w:highlight w:val="cyan"/>
              </w:rPr>
              <w:t>[</w:t>
            </w:r>
            <w:r w:rsidRPr="00802041">
              <w:rPr>
                <w:highlight w:val="cyan"/>
              </w:rPr>
              <w:t>Report via organisation incident policy (include link and any further detail required)</w:t>
            </w:r>
            <w:r w:rsidRPr="00811CCD">
              <w:rPr>
                <w:highlight w:val="cyan"/>
              </w:rPr>
              <w:t>]</w:t>
            </w:r>
            <w:r>
              <w:t>.</w:t>
            </w:r>
          </w:p>
        </w:tc>
      </w:tr>
      <w:tr w:rsidR="00D01625" w14:paraId="39FFB459" w14:textId="77777777" w:rsidTr="00EE1A3A">
        <w:tc>
          <w:tcPr>
            <w:tcW w:w="3397" w:type="dxa"/>
          </w:tcPr>
          <w:p w14:paraId="1AAF46ED" w14:textId="45B8570F" w:rsidR="00D01625" w:rsidRPr="00D131FF" w:rsidRDefault="00131A29" w:rsidP="00D01625">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33498989" w14:textId="77777777" w:rsidR="00131A29" w:rsidRPr="00EE599B" w:rsidRDefault="00131A29" w:rsidP="00131A29">
            <w:pPr>
              <w:pStyle w:val="Bulletindent1"/>
              <w:rPr>
                <w:rFonts w:eastAsia="Arial"/>
              </w:rPr>
            </w:pPr>
            <w:r w:rsidRPr="00EE599B">
              <w:rPr>
                <w:rFonts w:eastAsia="Arial"/>
              </w:rPr>
              <w:t xml:space="preserve">Provide manufacturer’s information leaflet (PIL) provided within the original pack. </w:t>
            </w:r>
          </w:p>
          <w:p w14:paraId="272E1168" w14:textId="77777777" w:rsidR="00131A29" w:rsidRPr="00EE599B" w:rsidRDefault="00131A29" w:rsidP="00131A29">
            <w:pPr>
              <w:pStyle w:val="Bulletindent1"/>
              <w:rPr>
                <w:rFonts w:eastAsia="Arial"/>
              </w:rPr>
            </w:pPr>
            <w:r w:rsidRPr="00EE599B">
              <w:rPr>
                <w:rFonts w:eastAsia="Arial"/>
              </w:rPr>
              <w:t>Individuals should be informed about the superior effectiveness of LARC.</w:t>
            </w:r>
          </w:p>
          <w:p w14:paraId="2D5E84F2" w14:textId="77777777" w:rsidR="00131A29" w:rsidRPr="00EE599B" w:rsidRDefault="00131A29" w:rsidP="00131A29">
            <w:pPr>
              <w:pStyle w:val="Bulletindent1"/>
              <w:rPr>
                <w:rFonts w:eastAsia="Arial"/>
              </w:rPr>
            </w:pPr>
            <w:r w:rsidRPr="00EE599B">
              <w:rPr>
                <w:rFonts w:eastAsia="Arial"/>
              </w:rPr>
              <w:t>Explain mode of action, side effects, and benefits of the medicine.</w:t>
            </w:r>
          </w:p>
          <w:p w14:paraId="1E1EFA4E" w14:textId="72554789" w:rsidR="00131A29" w:rsidRPr="00EE599B" w:rsidRDefault="00131A29" w:rsidP="00131A29">
            <w:pPr>
              <w:pStyle w:val="Bulletindent1"/>
              <w:rPr>
                <w:rFonts w:eastAsia="Arial"/>
              </w:rPr>
            </w:pPr>
            <w:r w:rsidRPr="00EE599B">
              <w:rPr>
                <w:rFonts w:eastAsia="Arial"/>
              </w:rPr>
              <w:t xml:space="preserve">Advise on action if the individual vomits within two hours </w:t>
            </w:r>
            <w:r w:rsidRPr="00811CCD">
              <w:rPr>
                <w:rFonts w:eastAsia="Arial"/>
                <w:highlight w:val="cyan"/>
              </w:rPr>
              <w:t>[</w:t>
            </w:r>
            <w:r w:rsidRPr="00EE599B">
              <w:rPr>
                <w:rFonts w:eastAsia="Arial"/>
                <w:highlight w:val="cyan"/>
              </w:rPr>
              <w:t xml:space="preserve">three to four hours for </w:t>
            </w:r>
            <w:r w:rsidRPr="00EE599B">
              <w:rPr>
                <w:rFonts w:eastAsia="Arial"/>
                <w:b/>
                <w:bCs/>
                <w:highlight w:val="cyan"/>
              </w:rPr>
              <w:t>drospirenone</w:t>
            </w:r>
            <w:r>
              <w:rPr>
                <w:rFonts w:eastAsia="Arial"/>
                <w:b/>
                <w:bCs/>
                <w:highlight w:val="cyan"/>
              </w:rPr>
              <w:t>]</w:t>
            </w:r>
            <w:r w:rsidR="00096140">
              <w:rPr>
                <w:rFonts w:eastAsia="Arial"/>
                <w:b/>
                <w:bCs/>
              </w:rPr>
              <w:t xml:space="preserve"> </w:t>
            </w:r>
            <w:r w:rsidRPr="00EE599B">
              <w:rPr>
                <w:rFonts w:eastAsia="Arial"/>
              </w:rPr>
              <w:t xml:space="preserve">of taking the pill or in cases of prolonged vomiting or severe diarrhoea. See </w:t>
            </w:r>
            <w:hyperlink r:id="rId33" w:history="1">
              <w:r w:rsidR="006B2F74">
                <w:rPr>
                  <w:rFonts w:eastAsia="Arial"/>
                  <w:color w:val="0000FF"/>
                  <w:u w:val="single"/>
                </w:rPr>
                <w:t>FSRH guideline - Progesterone-only Pills</w:t>
              </w:r>
            </w:hyperlink>
            <w:r w:rsidRPr="00EE599B">
              <w:rPr>
                <w:rFonts w:eastAsia="Arial"/>
              </w:rPr>
              <w:t xml:space="preserve">. </w:t>
            </w:r>
          </w:p>
          <w:p w14:paraId="25753344" w14:textId="77777777" w:rsidR="00131A29" w:rsidRPr="0084081A" w:rsidRDefault="00131A29" w:rsidP="00131A29">
            <w:pPr>
              <w:pStyle w:val="Bulletindent1"/>
              <w:rPr>
                <w:rFonts w:eastAsia="Arial"/>
              </w:rPr>
            </w:pPr>
            <w:r w:rsidRPr="00B75499">
              <w:rPr>
                <w:rFonts w:eastAsia="Arial"/>
              </w:rPr>
              <w:t xml:space="preserve">Advise on risks of the medication including failure rates, serious side effects and the actions to be </w:t>
            </w:r>
            <w:r w:rsidRPr="00EE599B">
              <w:rPr>
                <w:rFonts w:eastAsia="Arial"/>
              </w:rPr>
              <w:t>taken.</w:t>
            </w:r>
          </w:p>
          <w:p w14:paraId="1C3C82A2" w14:textId="1B7A861D" w:rsidR="00131A29" w:rsidRDefault="00131A29" w:rsidP="00131A29">
            <w:pPr>
              <w:pStyle w:val="Bulletindent1"/>
              <w:rPr>
                <w:rFonts w:eastAsia="Arial"/>
              </w:rPr>
            </w:pPr>
            <w:r w:rsidRPr="00EE599B">
              <w:rPr>
                <w:rFonts w:eastAsia="Arial"/>
              </w:rPr>
              <w:t>Advise on missed pills (missed pills; twelve hours</w:t>
            </w:r>
            <w:r>
              <w:rPr>
                <w:rFonts w:eastAsia="Arial"/>
              </w:rPr>
              <w:t xml:space="preserve"> </w:t>
            </w:r>
            <w:r w:rsidRPr="00EE599B">
              <w:rPr>
                <w:rFonts w:eastAsia="Arial"/>
              </w:rPr>
              <w:t>after normal administration time for</w:t>
            </w:r>
            <w:r>
              <w:rPr>
                <w:rFonts w:eastAsia="Arial"/>
              </w:rPr>
              <w:t xml:space="preserve"> </w:t>
            </w:r>
            <w:proofErr w:type="gramStart"/>
            <w:r w:rsidRPr="00EE599B">
              <w:rPr>
                <w:rFonts w:eastAsia="Arial"/>
              </w:rPr>
              <w:t>desogestrel;</w:t>
            </w:r>
            <w:r w:rsidRPr="00BE78CC">
              <w:rPr>
                <w:rFonts w:eastAsia="Arial"/>
                <w:highlight w:val="cyan"/>
              </w:rPr>
              <w:t>[</w:t>
            </w:r>
            <w:proofErr w:type="gramEnd"/>
            <w:r w:rsidRPr="00EE599B">
              <w:rPr>
                <w:rFonts w:eastAsia="Arial"/>
                <w:highlight w:val="cyan"/>
              </w:rPr>
              <w:t xml:space="preserve">twenty-four hours for </w:t>
            </w:r>
            <w:r w:rsidRPr="00EE599B">
              <w:rPr>
                <w:rFonts w:eastAsia="Arial"/>
                <w:b/>
                <w:bCs/>
                <w:highlight w:val="cyan"/>
              </w:rPr>
              <w:lastRenderedPageBreak/>
              <w:t>drospirenone</w:t>
            </w:r>
            <w:r>
              <w:rPr>
                <w:rFonts w:eastAsia="Arial"/>
                <w:b/>
                <w:bCs/>
                <w:highlight w:val="cyan"/>
              </w:rPr>
              <w:t>]</w:t>
            </w:r>
            <w:r w:rsidRPr="00EE599B">
              <w:rPr>
                <w:rFonts w:eastAsia="Arial"/>
                <w:highlight w:val="cyan"/>
              </w:rPr>
              <w:t>;</w:t>
            </w:r>
            <w:r w:rsidR="00BE78CC">
              <w:rPr>
                <w:rFonts w:eastAsia="Arial"/>
              </w:rPr>
              <w:t xml:space="preserve"> </w:t>
            </w:r>
            <w:r w:rsidRPr="00EE599B">
              <w:rPr>
                <w:rFonts w:eastAsia="Arial"/>
              </w:rPr>
              <w:t xml:space="preserve">three hours after normal administration time for norethisterone and levonorgestrel POPs). See </w:t>
            </w:r>
            <w:hyperlink r:id="rId34" w:history="1">
              <w:r>
                <w:rPr>
                  <w:rFonts w:eastAsia="Arial"/>
                  <w:color w:val="0000FF"/>
                  <w:u w:val="single"/>
                </w:rPr>
                <w:t>FSRH guideline - Progesterone-only Pills</w:t>
              </w:r>
            </w:hyperlink>
            <w:r w:rsidRPr="00EE599B">
              <w:rPr>
                <w:rFonts w:eastAsia="Arial"/>
              </w:rPr>
              <w:t xml:space="preserve">.   </w:t>
            </w:r>
          </w:p>
          <w:p w14:paraId="586C4CE7" w14:textId="65DC3022" w:rsidR="00131A29" w:rsidRPr="00B75499" w:rsidRDefault="00131A29" w:rsidP="00131A29">
            <w:pPr>
              <w:pStyle w:val="Bulletindent1"/>
              <w:rPr>
                <w:rFonts w:eastAsia="Arial"/>
                <w:highlight w:val="cyan"/>
              </w:rPr>
            </w:pPr>
            <w:r>
              <w:rPr>
                <w:highlight w:val="cyan"/>
              </w:rPr>
              <w:t>[</w:t>
            </w:r>
            <w:r w:rsidRPr="00EE599B">
              <w:rPr>
                <w:highlight w:val="cyan"/>
              </w:rPr>
              <w:t xml:space="preserve">Avoid grapefruit or grapefruit juice while taking </w:t>
            </w:r>
            <w:r w:rsidRPr="00B75499">
              <w:rPr>
                <w:b/>
                <w:bCs/>
                <w:highlight w:val="cyan"/>
              </w:rPr>
              <w:t>drospirenone</w:t>
            </w:r>
            <w:r w:rsidRPr="00B75499">
              <w:rPr>
                <w:highlight w:val="cyan"/>
              </w:rPr>
              <w:t>.</w:t>
            </w:r>
            <w:r w:rsidR="007C38C6">
              <w:rPr>
                <w:highlight w:val="cyan"/>
              </w:rPr>
              <w:t xml:space="preserve"> </w:t>
            </w:r>
            <w:r w:rsidRPr="00B75499">
              <w:rPr>
                <w:b/>
                <w:bCs/>
                <w:highlight w:val="cyan"/>
              </w:rPr>
              <w:t>(Drospirenone only.)</w:t>
            </w:r>
            <w:r>
              <w:rPr>
                <w:b/>
                <w:bCs/>
                <w:highlight w:val="cyan"/>
              </w:rPr>
              <w:t>]</w:t>
            </w:r>
          </w:p>
          <w:p w14:paraId="4DCF21C5" w14:textId="77777777" w:rsidR="00131A29" w:rsidRPr="006E202C" w:rsidRDefault="00131A29" w:rsidP="00131A29">
            <w:pPr>
              <w:pStyle w:val="Bulletindent1"/>
            </w:pPr>
            <w:r w:rsidRPr="006E202C">
              <w:t>Advise that if POP started more than 21 days after childbirth, additional contraceptive precautions are required (e.g. barrier methods/abstinence)</w:t>
            </w:r>
            <w:r>
              <w:t>.</w:t>
            </w:r>
          </w:p>
          <w:p w14:paraId="1E4F52F8" w14:textId="77777777" w:rsidR="00131A29" w:rsidRPr="006E202C" w:rsidRDefault="00131A29" w:rsidP="00131A29">
            <w:pPr>
              <w:pStyle w:val="Bulletindent1"/>
            </w:pPr>
            <w:r w:rsidRPr="006E202C">
              <w:t>Advise that POP is acceptable for use in breastfeeding mothers</w:t>
            </w:r>
            <w:r>
              <w:t>.</w:t>
            </w:r>
          </w:p>
          <w:p w14:paraId="642EA3BF" w14:textId="77777777" w:rsidR="00131A29" w:rsidRPr="00EE599B" w:rsidRDefault="00131A29" w:rsidP="00131A29">
            <w:pPr>
              <w:pStyle w:val="Bulletindent1"/>
              <w:rPr>
                <w:rFonts w:eastAsia="Arial"/>
              </w:rPr>
            </w:pPr>
            <w:r w:rsidRPr="00EE599B">
              <w:rPr>
                <w:rFonts w:eastAsia="Arial"/>
              </w:rPr>
              <w:t xml:space="preserve">Advise that risk of any pregnancy is low during use of effective contraception. Of pregnancies that occur during use of the traditional POP, 1 in 10 may be ectopic. </w:t>
            </w:r>
          </w:p>
          <w:p w14:paraId="6C4CC44E" w14:textId="77777777" w:rsidR="00131A29" w:rsidRDefault="00131A29" w:rsidP="00131A29">
            <w:pPr>
              <w:pStyle w:val="Bulletindent1"/>
            </w:pPr>
            <w:bookmarkStart w:id="6" w:name="_Hlk158725086"/>
            <w:r w:rsidRPr="00EE599B">
              <w:t>Individuals should be advised that current use of progestogen-only contraceptives is associated with a small increased risk of breast cancer which reduces with time after stopping.</w:t>
            </w:r>
          </w:p>
          <w:p w14:paraId="2CE4085F" w14:textId="222FDEE8" w:rsidR="00041D8E" w:rsidRPr="00097DDC" w:rsidRDefault="00041D8E" w:rsidP="00131A29">
            <w:pPr>
              <w:pStyle w:val="Bulletindent1"/>
              <w:rPr>
                <w:color w:val="000000" w:themeColor="text1"/>
              </w:rPr>
            </w:pPr>
            <w:r w:rsidRPr="00097DDC">
              <w:rPr>
                <w:rFonts w:cs="Arial"/>
                <w:color w:val="000000" w:themeColor="text1"/>
                <w:szCs w:val="22"/>
              </w:rPr>
              <w:t>Individuals should be advised that evidence suggests a link between the use of some progestogen-containing hormonal contraception and a small increased risk of intracranial meningioma requiring surgery  </w:t>
            </w:r>
          </w:p>
          <w:bookmarkEnd w:id="6"/>
          <w:p w14:paraId="5813D015" w14:textId="3A1AD4EC" w:rsidR="00131A29" w:rsidRPr="00B75499" w:rsidRDefault="00131A29" w:rsidP="00131A29">
            <w:pPr>
              <w:pStyle w:val="Bulletindent1"/>
              <w:rPr>
                <w:rFonts w:eastAsia="Arial"/>
              </w:rPr>
            </w:pPr>
            <w:r w:rsidRPr="00B75499">
              <w:rPr>
                <w:rFonts w:eastAsia="Arial"/>
              </w:rPr>
              <w:t xml:space="preserve">Provide </w:t>
            </w:r>
            <w:r>
              <w:rPr>
                <w:rFonts w:eastAsia="Arial"/>
              </w:rPr>
              <w:t>Co</w:t>
            </w:r>
            <w:r w:rsidRPr="00B75499">
              <w:rPr>
                <w:rFonts w:eastAsia="Arial"/>
              </w:rPr>
              <w:t xml:space="preserve">SRH PIL on GLP-1 agonists and contraception as appropriate </w:t>
            </w:r>
            <w:hyperlink w:anchor="Cautions" w:history="1">
              <w:r w:rsidRPr="00131A29">
                <w:rPr>
                  <w:rStyle w:val="Hyperlink"/>
                  <w:rFonts w:eastAsia="Arial"/>
                </w:rPr>
                <w:t>(see Cautions section)</w:t>
              </w:r>
            </w:hyperlink>
            <w:r w:rsidRPr="00B75499">
              <w:rPr>
                <w:rFonts w:eastAsia="Arial"/>
              </w:rPr>
              <w:t>.</w:t>
            </w:r>
          </w:p>
          <w:p w14:paraId="0B229744" w14:textId="77777777" w:rsidR="00131A29" w:rsidRPr="00EE599B" w:rsidRDefault="00131A29" w:rsidP="00131A29">
            <w:pPr>
              <w:pStyle w:val="Bulletindent1"/>
              <w:rPr>
                <w:rFonts w:eastAsia="Arial"/>
              </w:rPr>
            </w:pPr>
            <w:r w:rsidRPr="00EE599B">
              <w:rPr>
                <w:rFonts w:eastAsia="Arial"/>
              </w:rPr>
              <w:t xml:space="preserve">Offer condoms and advice on safer sex practices and possible need for screening for sexually transmitted infections (STIs) </w:t>
            </w:r>
          </w:p>
          <w:p w14:paraId="4911B2D1" w14:textId="77777777" w:rsidR="00131A29" w:rsidRPr="00EE599B" w:rsidRDefault="00131A29" w:rsidP="00131A29">
            <w:pPr>
              <w:pStyle w:val="Bulletindent1"/>
              <w:rPr>
                <w:rFonts w:eastAsia="Arial"/>
              </w:rPr>
            </w:pPr>
            <w:r w:rsidRPr="00EE599B">
              <w:rPr>
                <w:rFonts w:eastAsia="Arial"/>
              </w:rPr>
              <w:t>Ensure the individual has the contact details of local sexual health services.</w:t>
            </w:r>
          </w:p>
          <w:p w14:paraId="5140B229" w14:textId="4705CEB9" w:rsidR="00D01625" w:rsidRPr="00B65EE5" w:rsidRDefault="00131A29" w:rsidP="00131A29">
            <w:pPr>
              <w:pStyle w:val="Bulletindent1"/>
            </w:pPr>
            <w:r w:rsidRPr="00EE599B">
              <w:rPr>
                <w:rFonts w:eastAsia="Arial"/>
              </w:rPr>
              <w:t>Advise the individual to seek advice from a pharmacist, doctor or other prescriber before starting any new medications, including those purchased.</w:t>
            </w:r>
          </w:p>
        </w:tc>
      </w:tr>
      <w:tr w:rsidR="008D1A8D" w14:paraId="6C2D29AC" w14:textId="77777777" w:rsidTr="00EE1A3A">
        <w:tc>
          <w:tcPr>
            <w:tcW w:w="3397" w:type="dxa"/>
          </w:tcPr>
          <w:p w14:paraId="07EBE380" w14:textId="4A3E4D5F" w:rsidR="008D1A8D" w:rsidRPr="00D131FF" w:rsidRDefault="008D1A8D" w:rsidP="00D01625">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8EBAAA" w14:textId="77777777" w:rsidR="008D1A8D" w:rsidRPr="00EE599B" w:rsidRDefault="008D1A8D" w:rsidP="008D1A8D">
            <w:pPr>
              <w:pStyle w:val="Bulletindent1"/>
              <w:rPr>
                <w:rFonts w:eastAsia="Arial"/>
              </w:rPr>
            </w:pPr>
            <w:r w:rsidRPr="00EE599B">
              <w:rPr>
                <w:rFonts w:eastAsia="Arial"/>
              </w:rPr>
              <w:t>The individual should be advised to seek medical advice in the event of an adverse reaction.</w:t>
            </w:r>
          </w:p>
          <w:p w14:paraId="429BD26A" w14:textId="77777777" w:rsidR="008D1A8D" w:rsidRPr="00EE599B" w:rsidRDefault="008D1A8D" w:rsidP="008D1A8D">
            <w:pPr>
              <w:pStyle w:val="Bulletindent1"/>
              <w:rPr>
                <w:rFonts w:eastAsia="Arial"/>
              </w:rPr>
            </w:pPr>
            <w:r w:rsidRPr="00EE599B">
              <w:rPr>
                <w:rFonts w:eastAsia="Arial"/>
              </w:rPr>
              <w:t>The individual should seek further advice if they have any concerns.</w:t>
            </w:r>
          </w:p>
          <w:p w14:paraId="7F8353A7" w14:textId="6EE4115C" w:rsidR="008D1A8D" w:rsidRPr="00EE599B" w:rsidRDefault="008D1A8D" w:rsidP="008D1A8D">
            <w:pPr>
              <w:pStyle w:val="Bulletindent1"/>
              <w:rPr>
                <w:rFonts w:eastAsia="Arial"/>
              </w:rPr>
            </w:pPr>
            <w:r w:rsidRPr="00EE599B">
              <w:rPr>
                <w:rFonts w:eastAsia="Arial"/>
              </w:rPr>
              <w:t>Review annually.</w:t>
            </w:r>
          </w:p>
        </w:tc>
      </w:tr>
      <w:tr w:rsidR="008D1A8D" w14:paraId="7D15065A" w14:textId="77777777" w:rsidTr="00EE1A3A">
        <w:tc>
          <w:tcPr>
            <w:tcW w:w="3397" w:type="dxa"/>
          </w:tcPr>
          <w:p w14:paraId="2E58338A" w14:textId="17127648" w:rsidR="008D1A8D" w:rsidRPr="00D131FF" w:rsidRDefault="008D1A8D" w:rsidP="00D01625">
            <w:pPr>
              <w:pStyle w:val="TableHeaderRow"/>
              <w:rPr>
                <w:rStyle w:val="TableHeaderColumn"/>
                <w:b/>
                <w:bCs/>
                <w:sz w:val="22"/>
              </w:rPr>
            </w:pPr>
            <w:r w:rsidRPr="00D131FF">
              <w:rPr>
                <w:rStyle w:val="TableHeaderColumn"/>
                <w:b/>
                <w:bCs/>
                <w:sz w:val="22"/>
              </w:rPr>
              <w:lastRenderedPageBreak/>
              <w:t>Records to be kept</w:t>
            </w:r>
          </w:p>
        </w:tc>
        <w:tc>
          <w:tcPr>
            <w:tcW w:w="5245" w:type="dxa"/>
          </w:tcPr>
          <w:p w14:paraId="0AA99AEA" w14:textId="06C61247" w:rsidR="008D1A8D" w:rsidRPr="008D1A8D" w:rsidRDefault="008D1A8D" w:rsidP="008D1A8D">
            <w:pPr>
              <w:pStyle w:val="Bulletindent1"/>
              <w:rPr>
                <w:rFonts w:eastAsia="Arial"/>
              </w:rPr>
            </w:pPr>
            <w:r w:rsidRPr="008D1A8D">
              <w:rPr>
                <w:rFonts w:eastAsia="Arial"/>
              </w:rPr>
              <w:t>The consent of the individual and</w:t>
            </w:r>
            <w:r>
              <w:rPr>
                <w:rFonts w:eastAsia="Arial"/>
              </w:rPr>
              <w:t>/or</w:t>
            </w:r>
          </w:p>
          <w:p w14:paraId="27A8C6D2" w14:textId="77777777" w:rsidR="008D1A8D" w:rsidRPr="008D1A8D" w:rsidRDefault="008D1A8D" w:rsidP="008D1A8D">
            <w:pPr>
              <w:pStyle w:val="Bulletindent1"/>
              <w:numPr>
                <w:ilvl w:val="1"/>
                <w:numId w:val="15"/>
              </w:numPr>
              <w:rPr>
                <w:rFonts w:eastAsia="Arial"/>
              </w:rPr>
            </w:pPr>
            <w:r w:rsidRPr="008D1A8D">
              <w:rPr>
                <w:rFonts w:eastAsia="Arial"/>
              </w:rPr>
              <w:t>If individual is under 13 years of age record action taken</w:t>
            </w:r>
          </w:p>
          <w:p w14:paraId="10E02887" w14:textId="77777777" w:rsidR="008D1A8D" w:rsidRPr="008D1A8D" w:rsidRDefault="008D1A8D" w:rsidP="008D1A8D">
            <w:pPr>
              <w:pStyle w:val="Bulletindent1"/>
              <w:numPr>
                <w:ilvl w:val="1"/>
                <w:numId w:val="15"/>
              </w:numPr>
              <w:rPr>
                <w:rFonts w:eastAsia="Arial"/>
              </w:rPr>
            </w:pPr>
            <w:r w:rsidRPr="008D1A8D">
              <w:rPr>
                <w:rFonts w:eastAsia="Arial"/>
              </w:rPr>
              <w:t xml:space="preserve">If individual is under 16 years of age document capacity using Fraser guidelines. </w:t>
            </w:r>
          </w:p>
          <w:p w14:paraId="027F8C67" w14:textId="77777777" w:rsidR="008D1A8D" w:rsidRPr="008D1A8D" w:rsidRDefault="008D1A8D" w:rsidP="008D1A8D">
            <w:pPr>
              <w:pStyle w:val="Bulletindent1"/>
              <w:numPr>
                <w:ilvl w:val="1"/>
                <w:numId w:val="15"/>
              </w:numPr>
              <w:rPr>
                <w:rFonts w:eastAsia="Arial"/>
              </w:rPr>
            </w:pPr>
            <w:r w:rsidRPr="008D1A8D">
              <w:rPr>
                <w:rFonts w:eastAsia="Arial"/>
              </w:rPr>
              <w:t>If individual is under 16 years and not competent, record action taken</w:t>
            </w:r>
          </w:p>
          <w:p w14:paraId="7239F839" w14:textId="77777777" w:rsidR="008D1A8D" w:rsidRPr="008D1A8D" w:rsidRDefault="008D1A8D" w:rsidP="008D1A8D">
            <w:pPr>
              <w:pStyle w:val="Bulletindent1"/>
              <w:numPr>
                <w:ilvl w:val="1"/>
                <w:numId w:val="15"/>
              </w:numPr>
              <w:rPr>
                <w:rFonts w:eastAsia="Arial"/>
              </w:rPr>
            </w:pPr>
            <w:r w:rsidRPr="008D1A8D">
              <w:rPr>
                <w:rFonts w:eastAsia="Arial"/>
              </w:rPr>
              <w:t>If individual over 16 years of age and not competent, record action taken</w:t>
            </w:r>
          </w:p>
          <w:p w14:paraId="34F49460" w14:textId="77777777" w:rsidR="008D1A8D" w:rsidRPr="008D1A8D" w:rsidRDefault="008D1A8D" w:rsidP="008D1A8D">
            <w:pPr>
              <w:pStyle w:val="Bulletindent1"/>
              <w:rPr>
                <w:rFonts w:eastAsia="Arial"/>
              </w:rPr>
            </w:pPr>
            <w:r w:rsidRPr="008D1A8D">
              <w:rPr>
                <w:rFonts w:eastAsia="Arial"/>
              </w:rPr>
              <w:t>If individual not treated under PGD record action taken</w:t>
            </w:r>
          </w:p>
          <w:p w14:paraId="25ED0669" w14:textId="77777777" w:rsidR="008D1A8D" w:rsidRPr="008D1A8D" w:rsidRDefault="008D1A8D" w:rsidP="008D1A8D">
            <w:pPr>
              <w:pStyle w:val="Bulletindent1"/>
              <w:rPr>
                <w:rFonts w:eastAsia="Arial"/>
              </w:rPr>
            </w:pPr>
            <w:r w:rsidRPr="008D1A8D">
              <w:rPr>
                <w:rFonts w:eastAsia="Arial"/>
              </w:rPr>
              <w:t xml:space="preserve">Name of individual, address, date of birth </w:t>
            </w:r>
          </w:p>
          <w:p w14:paraId="111BB454" w14:textId="1993365E" w:rsidR="008D1A8D" w:rsidRPr="008D1A8D" w:rsidRDefault="008D1A8D" w:rsidP="008D1A8D">
            <w:pPr>
              <w:pStyle w:val="Bulletindent1"/>
              <w:rPr>
                <w:rFonts w:eastAsia="Arial"/>
              </w:rPr>
            </w:pPr>
            <w:r w:rsidRPr="008D1A8D">
              <w:rPr>
                <w:rFonts w:eastAsia="Arial"/>
              </w:rPr>
              <w:t xml:space="preserve">GP contact details </w:t>
            </w:r>
            <w:proofErr w:type="spellStart"/>
            <w:r w:rsidRPr="008D1A8D">
              <w:rPr>
                <w:rFonts w:eastAsia="Arial"/>
              </w:rPr>
              <w:t>where</w:t>
            </w:r>
            <w:proofErr w:type="spellEnd"/>
            <w:r>
              <w:rPr>
                <w:rFonts w:eastAsia="Arial"/>
              </w:rPr>
              <w:t xml:space="preserve"> available/</w:t>
            </w:r>
            <w:r w:rsidRPr="008D1A8D">
              <w:rPr>
                <w:rFonts w:eastAsia="Arial"/>
              </w:rPr>
              <w:t>appropriate</w:t>
            </w:r>
          </w:p>
          <w:p w14:paraId="6EE1A73F" w14:textId="77777777" w:rsidR="008D1A8D" w:rsidRPr="008D1A8D" w:rsidRDefault="008D1A8D" w:rsidP="008D1A8D">
            <w:pPr>
              <w:pStyle w:val="Bulletindent1"/>
              <w:rPr>
                <w:rFonts w:eastAsia="Arial"/>
              </w:rPr>
            </w:pPr>
            <w:r w:rsidRPr="008D1A8D">
              <w:rPr>
                <w:rFonts w:eastAsia="Arial"/>
              </w:rPr>
              <w:t>Relevant past and present medical and sexual history</w:t>
            </w:r>
          </w:p>
          <w:p w14:paraId="61DA0695" w14:textId="77777777" w:rsidR="008D1A8D" w:rsidRPr="008D1A8D" w:rsidRDefault="008D1A8D" w:rsidP="008D1A8D">
            <w:pPr>
              <w:pStyle w:val="Bulletindent1"/>
              <w:rPr>
                <w:rFonts w:eastAsia="Arial"/>
              </w:rPr>
            </w:pPr>
            <w:r w:rsidRPr="008D1A8D">
              <w:rPr>
                <w:rFonts w:eastAsia="Arial"/>
              </w:rPr>
              <w:t>Relevant medication history (to include over the counter, herbal medications, supplements and recreational drug use)</w:t>
            </w:r>
          </w:p>
          <w:p w14:paraId="043B7526" w14:textId="77777777" w:rsidR="008D1A8D" w:rsidRPr="008D1A8D" w:rsidRDefault="008D1A8D" w:rsidP="008D1A8D">
            <w:pPr>
              <w:pStyle w:val="Bulletindent1"/>
              <w:rPr>
                <w:rFonts w:eastAsia="Arial"/>
              </w:rPr>
            </w:pPr>
            <w:r w:rsidRPr="008D1A8D">
              <w:rPr>
                <w:rFonts w:eastAsia="Arial"/>
              </w:rPr>
              <w:t xml:space="preserve">Examination or microbiology finding/s where relevant.  </w:t>
            </w:r>
          </w:p>
          <w:p w14:paraId="7809DF4F" w14:textId="77777777" w:rsidR="008D1A8D" w:rsidRPr="008D1A8D" w:rsidRDefault="008D1A8D" w:rsidP="008D1A8D">
            <w:pPr>
              <w:pStyle w:val="Bulletindent1"/>
              <w:rPr>
                <w:rFonts w:eastAsia="Arial"/>
              </w:rPr>
            </w:pPr>
            <w:r w:rsidRPr="008D1A8D">
              <w:rPr>
                <w:rFonts w:eastAsia="Arial"/>
              </w:rPr>
              <w:t xml:space="preserve">Any known allergies and nature of reaction </w:t>
            </w:r>
          </w:p>
          <w:p w14:paraId="2DC8D5DB" w14:textId="77777777" w:rsidR="008D1A8D" w:rsidRPr="008D1A8D" w:rsidRDefault="008D1A8D" w:rsidP="008D1A8D">
            <w:pPr>
              <w:pStyle w:val="Bulletindent1"/>
              <w:rPr>
                <w:rFonts w:eastAsia="Arial"/>
              </w:rPr>
            </w:pPr>
            <w:r w:rsidRPr="008D1A8D">
              <w:rPr>
                <w:rFonts w:eastAsia="Arial"/>
              </w:rPr>
              <w:t>Name of registered health professional operating under the PGD</w:t>
            </w:r>
          </w:p>
          <w:p w14:paraId="0CC10BA7" w14:textId="77777777" w:rsidR="008D1A8D" w:rsidRPr="008D1A8D" w:rsidRDefault="008D1A8D" w:rsidP="008D1A8D">
            <w:pPr>
              <w:pStyle w:val="Bulletindent1"/>
              <w:rPr>
                <w:rFonts w:eastAsia="Arial"/>
              </w:rPr>
            </w:pPr>
            <w:r w:rsidRPr="008D1A8D">
              <w:rPr>
                <w:rFonts w:eastAsia="Arial"/>
              </w:rPr>
              <w:t xml:space="preserve">Name of medication supplied </w:t>
            </w:r>
          </w:p>
          <w:p w14:paraId="64E8B805" w14:textId="77777777" w:rsidR="008D1A8D" w:rsidRPr="008D1A8D" w:rsidRDefault="008D1A8D" w:rsidP="008D1A8D">
            <w:pPr>
              <w:pStyle w:val="Bulletindent1"/>
              <w:rPr>
                <w:rFonts w:eastAsia="Arial"/>
              </w:rPr>
            </w:pPr>
            <w:r w:rsidRPr="008D1A8D">
              <w:rPr>
                <w:rFonts w:eastAsia="Arial"/>
              </w:rPr>
              <w:t>Date of supply</w:t>
            </w:r>
          </w:p>
          <w:p w14:paraId="4EE8740D" w14:textId="77777777" w:rsidR="008D1A8D" w:rsidRPr="008D1A8D" w:rsidRDefault="008D1A8D" w:rsidP="008D1A8D">
            <w:pPr>
              <w:pStyle w:val="Bulletindent1"/>
              <w:rPr>
                <w:rFonts w:eastAsia="Arial"/>
              </w:rPr>
            </w:pPr>
            <w:r w:rsidRPr="008D1A8D">
              <w:rPr>
                <w:rFonts w:eastAsia="Arial"/>
              </w:rPr>
              <w:t>Dose supplied</w:t>
            </w:r>
          </w:p>
          <w:p w14:paraId="46B90791" w14:textId="13CE4244" w:rsidR="008D1A8D" w:rsidRPr="00377C93" w:rsidRDefault="008D1A8D" w:rsidP="008D1A8D">
            <w:pPr>
              <w:pStyle w:val="Bulletindent1"/>
              <w:rPr>
                <w:rFonts w:eastAsia="Arial"/>
              </w:rPr>
            </w:pPr>
            <w:r w:rsidRPr="00377C93">
              <w:rPr>
                <w:rFonts w:eastAsia="Arial"/>
              </w:rPr>
              <w:t xml:space="preserve">Quantity supplied </w:t>
            </w:r>
            <w:r w:rsidR="00377C93" w:rsidRPr="00377C93">
              <w:rPr>
                <w:rFonts w:eastAsia="Arial"/>
                <w:highlight w:val="cyan"/>
              </w:rPr>
              <w:t>[</w:t>
            </w:r>
            <w:r w:rsidRPr="00377C93">
              <w:rPr>
                <w:rFonts w:eastAsia="Arial"/>
                <w:highlight w:val="cyan"/>
              </w:rPr>
              <w:t>including batch number and expiry date in line with local procedures</w:t>
            </w:r>
            <w:r w:rsidR="00377C93" w:rsidRPr="00377C93">
              <w:rPr>
                <w:rFonts w:eastAsia="Arial"/>
                <w:highlight w:val="cyan"/>
              </w:rPr>
              <w:t>]</w:t>
            </w:r>
            <w:r w:rsidRPr="00377C93">
              <w:rPr>
                <w:rFonts w:eastAsia="Arial"/>
              </w:rPr>
              <w:t xml:space="preserve">. </w:t>
            </w:r>
          </w:p>
          <w:p w14:paraId="43640E48" w14:textId="77777777" w:rsidR="008D1A8D" w:rsidRPr="008D1A8D" w:rsidRDefault="008D1A8D" w:rsidP="008D1A8D">
            <w:pPr>
              <w:pStyle w:val="Bulletindent1"/>
              <w:rPr>
                <w:rFonts w:eastAsia="Arial"/>
              </w:rPr>
            </w:pPr>
            <w:r w:rsidRPr="008D1A8D">
              <w:rPr>
                <w:rFonts w:eastAsia="Arial"/>
              </w:rPr>
              <w:t>Advice given, including advice given if excluded or declines treatment</w:t>
            </w:r>
          </w:p>
          <w:p w14:paraId="7084BA5E" w14:textId="77777777" w:rsidR="008D1A8D" w:rsidRPr="008D1A8D" w:rsidRDefault="008D1A8D" w:rsidP="008D1A8D">
            <w:pPr>
              <w:pStyle w:val="Bulletindent1"/>
              <w:rPr>
                <w:rFonts w:eastAsia="Arial"/>
              </w:rPr>
            </w:pPr>
            <w:r w:rsidRPr="008D1A8D">
              <w:rPr>
                <w:rFonts w:eastAsia="Arial"/>
              </w:rPr>
              <w:t>Details of any adverse drug reactions and actions taken</w:t>
            </w:r>
          </w:p>
          <w:p w14:paraId="2EEE9CAA" w14:textId="77777777" w:rsidR="008D1A8D" w:rsidRPr="008D1A8D" w:rsidRDefault="008D1A8D" w:rsidP="008D1A8D">
            <w:pPr>
              <w:pStyle w:val="Bulletindent1"/>
              <w:rPr>
                <w:rFonts w:eastAsia="Arial"/>
              </w:rPr>
            </w:pPr>
            <w:r w:rsidRPr="008D1A8D">
              <w:rPr>
                <w:rFonts w:eastAsia="Arial"/>
              </w:rPr>
              <w:t xml:space="preserve">Advice given about the medication including dosing regimen, side effects, benefits, and when and what to do if any concerns  </w:t>
            </w:r>
          </w:p>
          <w:p w14:paraId="12FCEA9F" w14:textId="77777777" w:rsidR="008D1A8D" w:rsidRPr="008D1A8D" w:rsidRDefault="008D1A8D" w:rsidP="008D1A8D">
            <w:pPr>
              <w:pStyle w:val="Bulletindent1"/>
              <w:rPr>
                <w:rFonts w:eastAsia="Arial"/>
              </w:rPr>
            </w:pPr>
            <w:r w:rsidRPr="008D1A8D">
              <w:rPr>
                <w:rFonts w:eastAsia="Arial"/>
              </w:rPr>
              <w:t>Any referral arrangements made</w:t>
            </w:r>
          </w:p>
          <w:p w14:paraId="0BC18678" w14:textId="77777777" w:rsidR="008D1A8D" w:rsidRPr="008D1A8D" w:rsidRDefault="008D1A8D" w:rsidP="008D1A8D">
            <w:pPr>
              <w:pStyle w:val="Bulletindent1"/>
              <w:rPr>
                <w:rFonts w:eastAsia="Arial"/>
              </w:rPr>
            </w:pPr>
            <w:r w:rsidRPr="008D1A8D">
              <w:rPr>
                <w:rFonts w:eastAsia="Arial"/>
              </w:rPr>
              <w:lastRenderedPageBreak/>
              <w:t>Any supply outside the terms of the product marketing authorisation</w:t>
            </w:r>
          </w:p>
          <w:p w14:paraId="1A505F9F" w14:textId="77777777" w:rsidR="008D1A8D" w:rsidRPr="008D1A8D" w:rsidRDefault="008D1A8D" w:rsidP="008D1A8D">
            <w:pPr>
              <w:pStyle w:val="Bulletindent1"/>
              <w:rPr>
                <w:rFonts w:eastAsia="Arial"/>
              </w:rPr>
            </w:pPr>
            <w:r w:rsidRPr="008D1A8D">
              <w:rPr>
                <w:rFonts w:eastAsia="Arial"/>
              </w:rPr>
              <w:t>Recorded that supplied via Patient Group Direction (PGD)</w:t>
            </w:r>
          </w:p>
          <w:p w14:paraId="10CBBF08" w14:textId="51E0FE84" w:rsidR="008D1A8D" w:rsidRPr="000248BF" w:rsidRDefault="008D1A8D" w:rsidP="008D1A8D">
            <w:pPr>
              <w:pStyle w:val="Tabletext"/>
            </w:pPr>
            <w:r w:rsidRPr="000248BF">
              <w:t xml:space="preserve">Records should be signed and dated (or password-controlled e-records) and securely kept for a defined period in line with local policy. </w:t>
            </w:r>
          </w:p>
          <w:p w14:paraId="736C5239" w14:textId="77777777" w:rsidR="008D1A8D" w:rsidRPr="000248BF" w:rsidRDefault="008D1A8D" w:rsidP="008D1A8D">
            <w:pPr>
              <w:pStyle w:val="Tabletext"/>
            </w:pPr>
            <w:r w:rsidRPr="000248BF">
              <w:t>All records should be clear, legible and contemporaneous.</w:t>
            </w:r>
          </w:p>
          <w:p w14:paraId="08BE06BC" w14:textId="1D9B3704" w:rsidR="008D1A8D" w:rsidRPr="00EE599B" w:rsidRDefault="008D1A8D" w:rsidP="008D1A8D">
            <w:pPr>
              <w:pStyle w:val="Tabletext"/>
              <w:rPr>
                <w:rFonts w:eastAsia="Arial"/>
              </w:rPr>
            </w:pPr>
            <w:r w:rsidRPr="00B75499">
              <w:t>A record of all individuals receiving treatment under this PGD should also be kept for audit purposes in accordance with local policy.</w:t>
            </w:r>
          </w:p>
        </w:tc>
      </w:tr>
    </w:tbl>
    <w:p w14:paraId="25AAA4F5" w14:textId="77777777" w:rsidR="00B65EE5" w:rsidRDefault="00B65EE5">
      <w:bookmarkStart w:id="7" w:name="Regimens"/>
      <w:bookmarkEnd w:id="7"/>
    </w:p>
    <w:p w14:paraId="219263BD" w14:textId="36D1928D" w:rsidR="002E6B82" w:rsidRDefault="002E6B82">
      <w:pPr>
        <w:spacing w:after="0" w:line="240" w:lineRule="auto"/>
      </w:pPr>
      <w:r>
        <w:br w:type="page"/>
      </w:r>
    </w:p>
    <w:p w14:paraId="0E6FB204" w14:textId="27E0605F" w:rsidR="00170A61" w:rsidRDefault="00725927" w:rsidP="00170A61">
      <w:pPr>
        <w:pStyle w:val="Heading1"/>
      </w:pPr>
      <w:bookmarkStart w:id="8" w:name="Storage"/>
      <w:bookmarkEnd w:id="3"/>
      <w:bookmarkEnd w:id="8"/>
      <w:r w:rsidRPr="00DF77C7">
        <w:lastRenderedPageBreak/>
        <w:t xml:space="preserve">Key references </w:t>
      </w:r>
      <w:r w:rsidR="00170A61">
        <w:t>(</w:t>
      </w:r>
      <w:r w:rsidR="00170A61" w:rsidRPr="00170A61">
        <w:t xml:space="preserve">accessed </w:t>
      </w:r>
      <w:r w:rsidR="00482F01">
        <w:t xml:space="preserve">August </w:t>
      </w:r>
      <w:r w:rsidR="00170A61" w:rsidRPr="00170A61">
        <w:t>2025</w:t>
      </w:r>
      <w:r w:rsidR="002E6B82">
        <w:t xml:space="preserve"> and </w:t>
      </w:r>
      <w:r w:rsidR="002E6B82" w:rsidRPr="00097DDC">
        <w:rPr>
          <w:color w:val="000000" w:themeColor="text1"/>
        </w:rPr>
        <w:t>July 2026</w:t>
      </w:r>
      <w:r w:rsidR="00170A61" w:rsidRPr="00170A61">
        <w:t>)</w:t>
      </w:r>
    </w:p>
    <w:p w14:paraId="50E4146D" w14:textId="50B4416A" w:rsidR="00CE7FFC" w:rsidRPr="00C640C0" w:rsidRDefault="00C640C0" w:rsidP="00170A61">
      <w:pPr>
        <w:pStyle w:val="Bulletindent1"/>
        <w:rPr>
          <w:rStyle w:val="Hyperlink"/>
        </w:rPr>
      </w:pPr>
      <w:hyperlink r:id="rId35" w:history="1">
        <w:r w:rsidRPr="00C640C0">
          <w:rPr>
            <w:rStyle w:val="Hyperlink"/>
          </w:rPr>
          <w:t xml:space="preserve">Electronic Medicines Compendium </w:t>
        </w:r>
      </w:hyperlink>
    </w:p>
    <w:p w14:paraId="78F36D10" w14:textId="0779D3CB" w:rsidR="00CE7FFC" w:rsidRPr="00F23D72" w:rsidRDefault="00F23D72" w:rsidP="00877396">
      <w:pPr>
        <w:pStyle w:val="Bulletindent1"/>
        <w:rPr>
          <w:rStyle w:val="Hyperlink"/>
        </w:rPr>
      </w:pPr>
      <w:r>
        <w:fldChar w:fldCharType="begin"/>
      </w:r>
      <w:r>
        <w:instrText>HYPERLINK "https://bnf.nice.org.uk/"</w:instrText>
      </w:r>
      <w:r>
        <w:fldChar w:fldCharType="separate"/>
      </w:r>
      <w:r w:rsidR="00CE7FFC" w:rsidRPr="00F23D72">
        <w:rPr>
          <w:rStyle w:val="Hyperlink"/>
        </w:rPr>
        <w:t>Current edition of British National Formulary</w:t>
      </w:r>
    </w:p>
    <w:p w14:paraId="0360EE5F" w14:textId="66D22542" w:rsidR="00A05022" w:rsidRPr="008D1A8D" w:rsidRDefault="00F23D72" w:rsidP="00A05022">
      <w:pPr>
        <w:pStyle w:val="Bulletindent1"/>
        <w:rPr>
          <w:color w:val="0000FF"/>
          <w:u w:val="single"/>
        </w:rPr>
      </w:pPr>
      <w:r>
        <w:fldChar w:fldCharType="end"/>
      </w:r>
      <w:hyperlink r:id="rId36" w:history="1">
        <w:r w:rsidR="00A05022" w:rsidRPr="00C640C0">
          <w:rPr>
            <w:rStyle w:val="Hyperlink"/>
          </w:rPr>
          <w:t>NICE Medicines practice guideline MPG2 - Patient Group Directions - Last Updated 27 March 2017</w:t>
        </w:r>
      </w:hyperlink>
    </w:p>
    <w:p w14:paraId="05635D13" w14:textId="0E99A45F" w:rsidR="008D1A8D" w:rsidRPr="00520325" w:rsidRDefault="00520325" w:rsidP="008D1A8D">
      <w:pPr>
        <w:pStyle w:val="Bulletindent1"/>
        <w:rPr>
          <w:rStyle w:val="Hyperlink"/>
        </w:rPr>
      </w:pPr>
      <w:r>
        <w:fldChar w:fldCharType="begin"/>
      </w:r>
      <w:r>
        <w:instrText>HYPERLINK "https://www.cosrh.org/Common/Uploaded%20files/documents/fsrh-ceu-clinical-guideline-progestogen-only-pills-aug22-amended-11july-2023-.pdf"</w:instrText>
      </w:r>
      <w:r>
        <w:fldChar w:fldCharType="separate"/>
      </w:r>
      <w:r w:rsidR="008D1A8D" w:rsidRPr="00520325">
        <w:rPr>
          <w:rStyle w:val="Hyperlink"/>
        </w:rPr>
        <w:t>College of Sexual and Reproductive Health Clinical Guideline: Progestogen-only Pills August 2022, amended July 2023</w:t>
      </w:r>
    </w:p>
    <w:p w14:paraId="17639F91" w14:textId="652449A4" w:rsidR="00EA7646" w:rsidRPr="00C640C0" w:rsidRDefault="00520325" w:rsidP="00EA7646">
      <w:pPr>
        <w:pStyle w:val="Bulletindent1"/>
        <w:rPr>
          <w:rStyle w:val="Hyperlink"/>
        </w:rPr>
      </w:pPr>
      <w:r>
        <w:fldChar w:fldCharType="end"/>
      </w:r>
      <w:hyperlink r:id="rId37" w:history="1">
        <w:r w:rsidR="00EA7646" w:rsidRPr="00C640C0">
          <w:rPr>
            <w:rStyle w:val="Hyperlink"/>
            <w:lang w:val="en-US"/>
          </w:rPr>
          <w:t>College of Sexual and Reproductive Health Drug Interactions with Hormonal Contraception – May 2022</w:t>
        </w:r>
      </w:hyperlink>
      <w:r w:rsidR="00EA7646" w:rsidRPr="00C640C0">
        <w:rPr>
          <w:rStyle w:val="Hyperlink"/>
        </w:rPr>
        <w:t xml:space="preserve"> </w:t>
      </w:r>
    </w:p>
    <w:p w14:paraId="681CC3A9" w14:textId="0F6C1157" w:rsidR="00C640C0" w:rsidRPr="008971A4" w:rsidRDefault="008971A4" w:rsidP="00C640C0">
      <w:pPr>
        <w:pStyle w:val="Bulletindent1"/>
        <w:rPr>
          <w:rStyle w:val="Hyperlink"/>
        </w:rPr>
      </w:pPr>
      <w:r>
        <w:fldChar w:fldCharType="begin"/>
      </w:r>
      <w:r>
        <w:instrText>HYPERLINK "https://www.fsrh.org/Public/Documents/fsrh-guideline-combined-hormonal-contraception.aspx"</w:instrText>
      </w:r>
      <w:r>
        <w:fldChar w:fldCharType="separate"/>
      </w:r>
      <w:r w:rsidR="00C640C0" w:rsidRPr="008971A4">
        <w:rPr>
          <w:rStyle w:val="Hyperlink"/>
        </w:rPr>
        <w:t xml:space="preserve">College of Sexual and Reproductive Healthcare (2019, amended 2020) Combined Hormonal Contraception </w:t>
      </w:r>
    </w:p>
    <w:p w14:paraId="093A1FF6" w14:textId="1152044F" w:rsidR="00C640C0" w:rsidRPr="008971A4" w:rsidRDefault="008971A4" w:rsidP="00C640C0">
      <w:pPr>
        <w:pStyle w:val="Bulletindent1"/>
        <w:rPr>
          <w:rStyle w:val="Hyperlink"/>
        </w:rPr>
      </w:pPr>
      <w:r>
        <w:fldChar w:fldCharType="end"/>
      </w:r>
      <w:r>
        <w:fldChar w:fldCharType="begin"/>
      </w:r>
      <w:r>
        <w:instrText>HYPERLINK "https://www.fsrh.org/Public/Public/Standards-and-Guidance/uk-medical-eligibility-criteria-for-contraceptive-use-ukmec.aspx?hkey=82727ce6-756b-4b88-a5ab-acaf27c48669"</w:instrText>
      </w:r>
      <w:r>
        <w:fldChar w:fldCharType="separate"/>
      </w:r>
      <w:r w:rsidR="006079D4" w:rsidRPr="008971A4">
        <w:rPr>
          <w:rStyle w:val="Hyperlink"/>
        </w:rPr>
        <w:t>College of Sexual and Reproductive Healthcare (2016, amended 2019) UK Medical Eligibility Criteria for Contraceptive Use</w:t>
      </w:r>
    </w:p>
    <w:p w14:paraId="0DAAE0B7" w14:textId="504B20D6" w:rsidR="00C640C0" w:rsidRDefault="008971A4" w:rsidP="00C640C0">
      <w:pPr>
        <w:pStyle w:val="Bulletindent1"/>
        <w:rPr>
          <w:rStyle w:val="Hyperlink"/>
        </w:rPr>
      </w:pPr>
      <w:r>
        <w:fldChar w:fldCharType="end"/>
      </w:r>
      <w:hyperlink r:id="rId38" w:history="1">
        <w:r w:rsidR="00C640C0" w:rsidRPr="00C640C0">
          <w:rPr>
            <w:rStyle w:val="Hyperlink"/>
          </w:rPr>
          <w:t>College of Sexual and Reproductive Healthcare Clinical Guideline: Quick Starting Contraception (April 2017)</w:t>
        </w:r>
      </w:hyperlink>
      <w:r w:rsidR="00C640C0" w:rsidRPr="00C640C0">
        <w:rPr>
          <w:rStyle w:val="Hyperlink"/>
        </w:rPr>
        <w:t xml:space="preserve"> </w:t>
      </w:r>
    </w:p>
    <w:p w14:paraId="0BA3056E" w14:textId="52F5F883" w:rsidR="00ED056C" w:rsidRPr="005676D4" w:rsidRDefault="005676D4" w:rsidP="00C640C0">
      <w:pPr>
        <w:pStyle w:val="Bulletindent1"/>
        <w:rPr>
          <w:rStyle w:val="Hyperlink"/>
        </w:rPr>
      </w:pPr>
      <w:r>
        <w:fldChar w:fldCharType="begin"/>
      </w:r>
      <w:r>
        <w:instrText>HYPERLINK "https://www.cosrh.org/Public/Standards-and-Guidance/Switching-or-Starting-Methods-of-Contraception.aspx"</w:instrText>
      </w:r>
      <w:r>
        <w:fldChar w:fldCharType="separate"/>
      </w:r>
      <w:r w:rsidR="00F83367" w:rsidRPr="005676D4">
        <w:rPr>
          <w:rStyle w:val="Hyperlink"/>
        </w:rPr>
        <w:t>College of Sexual and Reprod</w:t>
      </w:r>
      <w:r w:rsidR="009636CE" w:rsidRPr="005676D4">
        <w:rPr>
          <w:rStyle w:val="Hyperlink"/>
        </w:rPr>
        <w:t>uctive Health</w:t>
      </w:r>
      <w:r w:rsidR="00C22CBD" w:rsidRPr="005676D4">
        <w:rPr>
          <w:rStyle w:val="Hyperlink"/>
        </w:rPr>
        <w:t>care</w:t>
      </w:r>
      <w:r w:rsidR="00ED056C" w:rsidRPr="005676D4">
        <w:rPr>
          <w:rStyle w:val="Hyperlink"/>
        </w:rPr>
        <w:t xml:space="preserve"> Guidance: Switching or Starting Methods of Contraception (amended May 2025) (log in required)</w:t>
      </w:r>
    </w:p>
    <w:p w14:paraId="0DCD2E18" w14:textId="1668835D" w:rsidR="00EA7646" w:rsidRPr="008971A4" w:rsidRDefault="005676D4" w:rsidP="00EA7646">
      <w:pPr>
        <w:pStyle w:val="Bulletindent1"/>
        <w:rPr>
          <w:rStyle w:val="Hyperlink"/>
        </w:rPr>
      </w:pPr>
      <w:r>
        <w:fldChar w:fldCharType="end"/>
      </w:r>
      <w:r w:rsidR="008971A4">
        <w:fldChar w:fldCharType="begin"/>
      </w:r>
      <w:r w:rsidR="008971A4">
        <w:instrText>HYPERLINK "https://www.fsrh.org/Public/Documents/fsrh-ceu-statement-drospirenone-progestogen-only-pill-drsp-pop.aspx?WebsiteKey=f858b086-d221-4a83-9688-824162920b1b"</w:instrText>
      </w:r>
      <w:r w:rsidR="008971A4">
        <w:fldChar w:fldCharType="separate"/>
      </w:r>
      <w:r w:rsidR="00EA7646" w:rsidRPr="008971A4">
        <w:rPr>
          <w:rStyle w:val="Hyperlink"/>
        </w:rPr>
        <w:t xml:space="preserve">College of Sexual and </w:t>
      </w:r>
      <w:r w:rsidR="00C22CBD" w:rsidRPr="008971A4">
        <w:rPr>
          <w:rStyle w:val="Hyperlink"/>
        </w:rPr>
        <w:t>R</w:t>
      </w:r>
      <w:r w:rsidR="00EA7646" w:rsidRPr="008971A4">
        <w:rPr>
          <w:rStyle w:val="Hyperlink"/>
        </w:rPr>
        <w:t>eproductive Healthcare CEU statement: Drospirenone 4mg progestogen-only Pill (</w:t>
      </w:r>
      <w:proofErr w:type="spellStart"/>
      <w:r w:rsidR="00EA7646" w:rsidRPr="008971A4">
        <w:rPr>
          <w:rStyle w:val="Hyperlink"/>
        </w:rPr>
        <w:t>Slynd</w:t>
      </w:r>
      <w:proofErr w:type="spellEnd"/>
      <w:r w:rsidR="00EA7646" w:rsidRPr="008971A4">
        <w:rPr>
          <w:rStyle w:val="Hyperlink"/>
        </w:rPr>
        <w:t>®) (Jan 2024)</w:t>
      </w:r>
    </w:p>
    <w:p w14:paraId="1674472F" w14:textId="2F27B2E9" w:rsidR="00EA7646" w:rsidRPr="008971A4" w:rsidRDefault="008971A4" w:rsidP="00EA7646">
      <w:pPr>
        <w:pStyle w:val="Bulletindent1"/>
        <w:rPr>
          <w:rStyle w:val="Hyperlink"/>
        </w:rPr>
      </w:pPr>
      <w:r>
        <w:fldChar w:fldCharType="end"/>
      </w:r>
      <w:r>
        <w:fldChar w:fldCharType="begin"/>
      </w:r>
      <w:r>
        <w:instrText>HYPERLINK "https://www.fsrh.org/Public/Documents/response-to-study-on-use-of-chc-and-poc-and-breast-cancer.aspx"</w:instrText>
      </w:r>
      <w:r>
        <w:fldChar w:fldCharType="separate"/>
      </w:r>
      <w:r w:rsidR="00EA7646" w:rsidRPr="008971A4">
        <w:rPr>
          <w:rStyle w:val="Hyperlink"/>
        </w:rPr>
        <w:t>College of Sexual and Reproductive Healthcare (2023) Response to new study on use of combined and progestogen-only hormonal contraception and breast cancer risk</w:t>
      </w:r>
    </w:p>
    <w:p w14:paraId="4FB0A5A0" w14:textId="1498E2D0" w:rsidR="00EA7646" w:rsidRPr="008971A4" w:rsidRDefault="008971A4" w:rsidP="00EA7646">
      <w:pPr>
        <w:pStyle w:val="Bulletindent1"/>
        <w:rPr>
          <w:rStyle w:val="Hyperlink"/>
        </w:rPr>
      </w:pPr>
      <w:r>
        <w:fldChar w:fldCharType="end"/>
      </w:r>
      <w:r>
        <w:fldChar w:fldCharType="begin"/>
      </w:r>
      <w:r>
        <w:instrText>HYPERLINK "https://fsrh.org/Common/Uploaded%20files/documents/CEU-statement-GLP-1-agonists-and-contraception.pdf?_gl=1*1ai7lsa*_ga*MTI1NTg5ODU4Ny4xNzEzNTE2Njg4*_ga_S2TDH89J5C*MTc0MTk0NjQyOS42OC4xLjE3NDE5NDY0OTQuMC4wLjA."</w:instrText>
      </w:r>
      <w:r>
        <w:fldChar w:fldCharType="separate"/>
      </w:r>
      <w:r w:rsidR="00EA7646" w:rsidRPr="008971A4">
        <w:rPr>
          <w:rStyle w:val="Hyperlink"/>
        </w:rPr>
        <w:t>CoSRH statement: Glucagon-like peptide-1 (GLP-1) agonists and oral contraception (January 2025)</w:t>
      </w:r>
    </w:p>
    <w:p w14:paraId="455A5E48" w14:textId="60528344" w:rsidR="00EA7646" w:rsidRPr="008971A4" w:rsidRDefault="008971A4" w:rsidP="00EA7646">
      <w:pPr>
        <w:pStyle w:val="Bulletindent1"/>
        <w:rPr>
          <w:rStyle w:val="Hyperlink"/>
        </w:rPr>
      </w:pPr>
      <w:r>
        <w:fldChar w:fldCharType="end"/>
      </w:r>
      <w:r>
        <w:fldChar w:fldCharType="begin"/>
      </w:r>
      <w:r>
        <w:instrText>HYPERLINK "https://fsrh.org/Common/Uploaded%20files/documents/Patient-information-GLP-1-agonists-and-contraception.pdf?_gl=1*1rbmy9o*_ga*MTI1NTg5ODU4Ny4xNzEzNTE2Njg4*_ga_S2TDH89J5C*MTc0MTk0NjQyOS42OC4xLjE3NDE5NDY0OTcuMC4wLjA."</w:instrText>
      </w:r>
      <w:r>
        <w:fldChar w:fldCharType="separate"/>
      </w:r>
      <w:r w:rsidR="00EA7646" w:rsidRPr="008971A4">
        <w:rPr>
          <w:rStyle w:val="Hyperlink"/>
        </w:rPr>
        <w:t>CoSRH: GLP-1 agonists and contraception Patient information leaflet (February 2025)</w:t>
      </w:r>
    </w:p>
    <w:p w14:paraId="3A729013" w14:textId="77777777" w:rsidR="001F19CB" w:rsidRDefault="008971A4" w:rsidP="001F19CB">
      <w:pPr>
        <w:pStyle w:val="Bulletindent1"/>
      </w:pPr>
      <w:r>
        <w:fldChar w:fldCharType="end"/>
      </w:r>
      <w:hyperlink r:id="rId39" w:history="1">
        <w:r w:rsidR="001F19CB" w:rsidRPr="001F19CB">
          <w:rPr>
            <w:rStyle w:val="Hyperlink"/>
            <w:rFonts w:cs="Arial"/>
            <w:szCs w:val="22"/>
          </w:rPr>
          <w:t>College of Sexual and Reproductive Healthcare CEU Statement: Response to new study by Lundstrøm et al. (2026). Contraceptive Progestogens and Incident Meningioma</w:t>
        </w:r>
      </w:hyperlink>
    </w:p>
    <w:p w14:paraId="724E919A" w14:textId="77777777" w:rsidR="000E157B" w:rsidRPr="005F35F7" w:rsidRDefault="000E157B" w:rsidP="000E157B">
      <w:pPr>
        <w:pStyle w:val="Bulletindent1"/>
        <w:rPr>
          <w:color w:val="0000FF"/>
          <w:u w:val="single"/>
        </w:rPr>
      </w:pPr>
      <w:hyperlink r:id="rId40" w:history="1">
        <w:r w:rsidRPr="00C640C0">
          <w:rPr>
            <w:rStyle w:val="Hyperlink"/>
          </w:rPr>
          <w:t>CoSRH CEU statement: Use of desogestrel and risk of intracranial meningioma (July 2025)</w:t>
        </w:r>
      </w:hyperlink>
    </w:p>
    <w:p w14:paraId="4CE46DA1" w14:textId="77777777" w:rsidR="000E157B" w:rsidRPr="001F19CB" w:rsidRDefault="000E157B" w:rsidP="001F19CB">
      <w:pPr>
        <w:pStyle w:val="Bulletindent1"/>
        <w:numPr>
          <w:ilvl w:val="0"/>
          <w:numId w:val="0"/>
        </w:numPr>
        <w:ind w:left="720"/>
        <w:rPr>
          <w:color w:val="0000FF"/>
          <w:u w:val="single"/>
        </w:rPr>
      </w:pPr>
    </w:p>
    <w:p w14:paraId="068AB94A" w14:textId="65432A43"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354F52">
        <w:rPr>
          <w:highlight w:val="yellow"/>
        </w:rPr>
        <w:t>[[</w:t>
      </w:r>
      <w:r w:rsidR="00510425" w:rsidRPr="00DF77C7">
        <w:rPr>
          <w:highlight w:val="yellow"/>
        </w:rPr>
        <w:t>(appendices may be added as agreed locally including relevant patient questionnaires, links to protocols and any patient information)</w:t>
      </w:r>
      <w:r w:rsidRPr="00354F52">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354F52">
        <w:rPr>
          <w:highlight w:val="yellow"/>
        </w:rPr>
        <w:t>[[</w:t>
      </w:r>
      <w:r w:rsidR="00510425" w:rsidRPr="00DF77C7">
        <w:rPr>
          <w:highlight w:val="yellow"/>
        </w:rPr>
        <w:t>(example – local versions/electronic systems may be use</w:t>
      </w:r>
      <w:r w:rsidR="00510425" w:rsidRPr="00354F52">
        <w:rPr>
          <w:highlight w:val="yellow"/>
        </w:rPr>
        <w:t>d)</w:t>
      </w:r>
      <w:r w:rsidRPr="00354F52">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1D546CF4"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354F52">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354F52">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354F52">
        <w:rPr>
          <w:highlight w:val="cyan"/>
        </w:rPr>
        <w:t>[</w:t>
      </w:r>
      <w:r w:rsidR="00510425" w:rsidRPr="00354F52">
        <w:rPr>
          <w:highlight w:val="cyan"/>
        </w:rPr>
        <w:t>Add details on how this information is to be retained according to organisation PGD policy.</w:t>
      </w:r>
      <w:r w:rsidRPr="00354F52">
        <w:rPr>
          <w:highlight w:val="cyan"/>
        </w:rPr>
        <w:t>]</w:t>
      </w:r>
    </w:p>
    <w:p w14:paraId="495DAEDB" w14:textId="77777777" w:rsidR="00E11FE0" w:rsidRDefault="00E11FE0" w:rsidP="00ED232C">
      <w:pPr>
        <w:pStyle w:val="PGDNormal"/>
      </w:pPr>
    </w:p>
    <w:sectPr w:rsidR="00E11FE0" w:rsidSect="00537E57">
      <w:headerReference w:type="even" r:id="rId41"/>
      <w:headerReference w:type="default" r:id="rId42"/>
      <w:footerReference w:type="default" r:id="rId43"/>
      <w:headerReference w:type="first" r:id="rId4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1A1D" w14:textId="77777777" w:rsidR="00606B77" w:rsidRPr="00DF77C7" w:rsidRDefault="00606B77">
      <w:r w:rsidRPr="00DF77C7">
        <w:separator/>
      </w:r>
    </w:p>
  </w:endnote>
  <w:endnote w:type="continuationSeparator" w:id="0">
    <w:p w14:paraId="679ED4E7" w14:textId="77777777" w:rsidR="00606B77" w:rsidRPr="00DF77C7" w:rsidRDefault="00606B77">
      <w:r w:rsidRPr="00DF77C7">
        <w:continuationSeparator/>
      </w:r>
    </w:p>
  </w:endnote>
  <w:endnote w:type="continuationNotice" w:id="1">
    <w:p w14:paraId="5615FBED" w14:textId="77777777" w:rsidR="00606B77" w:rsidRDefault="00606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CB4B5A" w:rsidRDefault="005E6491" w:rsidP="00CB4B5A">
    <w:pPr>
      <w:pStyle w:val="Footer"/>
      <w:spacing w:after="0"/>
      <w:rPr>
        <w:sz w:val="22"/>
        <w:szCs w:val="22"/>
        <w:highlight w:val="cyan"/>
      </w:rPr>
    </w:pPr>
    <w:r w:rsidRPr="00CB4B5A">
      <w:rPr>
        <w:sz w:val="22"/>
        <w:szCs w:val="22"/>
        <w:highlight w:val="cyan"/>
      </w:rPr>
      <w:t>[</w:t>
    </w:r>
    <w:r w:rsidR="007F0048" w:rsidRPr="00CB4B5A">
      <w:rPr>
        <w:sz w:val="22"/>
        <w:szCs w:val="22"/>
        <w:highlight w:val="cyan"/>
      </w:rPr>
      <w:t>Reference Number:</w:t>
    </w:r>
  </w:p>
  <w:p w14:paraId="37AB56FF" w14:textId="77777777" w:rsidR="007F0048" w:rsidRPr="00CB4B5A" w:rsidRDefault="007F0048" w:rsidP="00CB4B5A">
    <w:pPr>
      <w:pStyle w:val="PGDNormal"/>
      <w:spacing w:after="0"/>
      <w:rPr>
        <w:szCs w:val="22"/>
        <w:highlight w:val="cyan"/>
      </w:rPr>
    </w:pPr>
    <w:r w:rsidRPr="00CB4B5A">
      <w:rPr>
        <w:szCs w:val="22"/>
        <w:highlight w:val="cyan"/>
      </w:rPr>
      <w:t>Valid from:</w:t>
    </w:r>
  </w:p>
  <w:p w14:paraId="433533CD" w14:textId="77777777" w:rsidR="007F0048" w:rsidRPr="00CB4B5A" w:rsidRDefault="007F0048" w:rsidP="00CB4B5A">
    <w:pPr>
      <w:pStyle w:val="Footer"/>
      <w:spacing w:after="0"/>
      <w:rPr>
        <w:sz w:val="22"/>
        <w:szCs w:val="22"/>
        <w:highlight w:val="cyan"/>
      </w:rPr>
    </w:pPr>
    <w:r w:rsidRPr="00CB4B5A">
      <w:rPr>
        <w:sz w:val="22"/>
        <w:szCs w:val="22"/>
        <w:highlight w:val="cyan"/>
      </w:rPr>
      <w:t>Review date:</w:t>
    </w:r>
  </w:p>
  <w:p w14:paraId="6B111E08" w14:textId="239AE8CD" w:rsidR="007F0048" w:rsidRPr="00DF77C7" w:rsidRDefault="007F0048" w:rsidP="00CB4B5A">
    <w:pPr>
      <w:pStyle w:val="Footer"/>
      <w:spacing w:after="0"/>
    </w:pPr>
    <w:r w:rsidRPr="00CB4B5A">
      <w:rPr>
        <w:sz w:val="22"/>
        <w:szCs w:val="22"/>
        <w:highlight w:val="cyan"/>
      </w:rPr>
      <w:t>Expiry date:</w:t>
    </w:r>
    <w:r w:rsidR="005E6491" w:rsidRPr="00CB4B5A">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F352" w14:textId="77777777" w:rsidR="00606B77" w:rsidRPr="00DF77C7" w:rsidRDefault="00606B77">
      <w:r w:rsidRPr="00DF77C7">
        <w:separator/>
      </w:r>
    </w:p>
  </w:footnote>
  <w:footnote w:type="continuationSeparator" w:id="0">
    <w:p w14:paraId="62A82D95" w14:textId="77777777" w:rsidR="00606B77" w:rsidRPr="00DF77C7" w:rsidRDefault="00606B77">
      <w:r w:rsidRPr="00DF77C7">
        <w:continuationSeparator/>
      </w:r>
    </w:p>
  </w:footnote>
  <w:footnote w:type="continuationNotice" w:id="1">
    <w:p w14:paraId="638C1B00" w14:textId="77777777" w:rsidR="00606B77" w:rsidRDefault="00606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06B7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06B7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CB4B5A">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CB4B5A">
      <w:rPr>
        <w:sz w:val="16"/>
        <w:szCs w:val="16"/>
        <w:highlight w:val="cyan"/>
      </w:rPr>
      <w:t>]</w:t>
    </w:r>
    <w:r w:rsidR="00B11B08" w:rsidRPr="00B11B08">
      <w:rPr>
        <w:sz w:val="16"/>
        <w:szCs w:val="16"/>
      </w:rPr>
      <w:t xml:space="preserve"> should be replaced with the user organisation’s own text. Text </w:t>
    </w:r>
    <w:r w:rsidR="005E6491" w:rsidRPr="00CB4B5A">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w:t>
    </w:r>
    <w:r w:rsidR="005E6491" w:rsidRPr="00CB4B5A">
      <w:rPr>
        <w:sz w:val="16"/>
        <w:szCs w:val="16"/>
        <w:highlight w:val="yellow"/>
      </w:rPr>
      <w: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06B7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A62BB"/>
    <w:multiLevelType w:val="hybridMultilevel"/>
    <w:tmpl w:val="92E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B7617E"/>
    <w:multiLevelType w:val="hybridMultilevel"/>
    <w:tmpl w:val="33B86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40A67"/>
    <w:multiLevelType w:val="hybridMultilevel"/>
    <w:tmpl w:val="6D748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BF76C77"/>
    <w:multiLevelType w:val="hybridMultilevel"/>
    <w:tmpl w:val="A26A3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D5F5219"/>
    <w:multiLevelType w:val="hybridMultilevel"/>
    <w:tmpl w:val="1BD4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D415D"/>
    <w:multiLevelType w:val="hybridMultilevel"/>
    <w:tmpl w:val="F8E8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9B5CD3"/>
    <w:multiLevelType w:val="hybridMultilevel"/>
    <w:tmpl w:val="EE6C40BE"/>
    <w:lvl w:ilvl="0" w:tplc="1B3AFF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7030B"/>
    <w:multiLevelType w:val="hybridMultilevel"/>
    <w:tmpl w:val="FC1A12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EC46A70"/>
    <w:multiLevelType w:val="hybridMultilevel"/>
    <w:tmpl w:val="FF180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9"/>
  </w:num>
  <w:num w:numId="2" w16cid:durableId="460340545">
    <w:abstractNumId w:val="12"/>
  </w:num>
  <w:num w:numId="3" w16cid:durableId="862549155">
    <w:abstractNumId w:val="26"/>
  </w:num>
  <w:num w:numId="4" w16cid:durableId="1902785077">
    <w:abstractNumId w:val="27"/>
  </w:num>
  <w:num w:numId="5" w16cid:durableId="1400252542">
    <w:abstractNumId w:val="16"/>
  </w:num>
  <w:num w:numId="6" w16cid:durableId="585113440">
    <w:abstractNumId w:val="11"/>
  </w:num>
  <w:num w:numId="7" w16cid:durableId="1512915418">
    <w:abstractNumId w:val="24"/>
  </w:num>
  <w:num w:numId="8" w16cid:durableId="759831936">
    <w:abstractNumId w:val="30"/>
  </w:num>
  <w:num w:numId="9" w16cid:durableId="1747412429">
    <w:abstractNumId w:val="3"/>
  </w:num>
  <w:num w:numId="10" w16cid:durableId="1297833641">
    <w:abstractNumId w:val="1"/>
  </w:num>
  <w:num w:numId="11" w16cid:durableId="1684160055">
    <w:abstractNumId w:val="29"/>
  </w:num>
  <w:num w:numId="12" w16cid:durableId="1610894224">
    <w:abstractNumId w:val="32"/>
  </w:num>
  <w:num w:numId="13" w16cid:durableId="1880973297">
    <w:abstractNumId w:val="14"/>
  </w:num>
  <w:num w:numId="14" w16cid:durableId="77676389">
    <w:abstractNumId w:val="4"/>
  </w:num>
  <w:num w:numId="15" w16cid:durableId="1496384920">
    <w:abstractNumId w:val="13"/>
  </w:num>
  <w:num w:numId="16" w16cid:durableId="441388192">
    <w:abstractNumId w:val="21"/>
    <w:lvlOverride w:ilvl="0">
      <w:startOverride w:val="1"/>
    </w:lvlOverride>
  </w:num>
  <w:num w:numId="17" w16cid:durableId="73867840">
    <w:abstractNumId w:val="6"/>
    <w:lvlOverride w:ilvl="0">
      <w:startOverride w:val="1"/>
    </w:lvlOverride>
  </w:num>
  <w:num w:numId="18" w16cid:durableId="605583079">
    <w:abstractNumId w:val="17"/>
  </w:num>
  <w:num w:numId="19" w16cid:durableId="373623662">
    <w:abstractNumId w:val="0"/>
  </w:num>
  <w:num w:numId="20" w16cid:durableId="1135222389">
    <w:abstractNumId w:val="25"/>
  </w:num>
  <w:num w:numId="21" w16cid:durableId="367147215">
    <w:abstractNumId w:val="28"/>
  </w:num>
  <w:num w:numId="22" w16cid:durableId="751660544">
    <w:abstractNumId w:val="9"/>
  </w:num>
  <w:num w:numId="23" w16cid:durableId="1546065456">
    <w:abstractNumId w:val="31"/>
  </w:num>
  <w:num w:numId="24" w16cid:durableId="1296452458">
    <w:abstractNumId w:val="5"/>
  </w:num>
  <w:num w:numId="25" w16cid:durableId="296033592">
    <w:abstractNumId w:val="22"/>
  </w:num>
  <w:num w:numId="26" w16cid:durableId="603808879">
    <w:abstractNumId w:val="2"/>
  </w:num>
  <w:num w:numId="27" w16cid:durableId="1167552186">
    <w:abstractNumId w:val="23"/>
  </w:num>
  <w:num w:numId="28" w16cid:durableId="585113304">
    <w:abstractNumId w:val="15"/>
  </w:num>
  <w:num w:numId="29" w16cid:durableId="1772553630">
    <w:abstractNumId w:val="20"/>
  </w:num>
  <w:num w:numId="30" w16cid:durableId="400713749">
    <w:abstractNumId w:val="7"/>
  </w:num>
  <w:num w:numId="31" w16cid:durableId="7751021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1D8E"/>
    <w:rsid w:val="0004289C"/>
    <w:rsid w:val="00043006"/>
    <w:rsid w:val="00043DD4"/>
    <w:rsid w:val="00044863"/>
    <w:rsid w:val="00044C6C"/>
    <w:rsid w:val="00045368"/>
    <w:rsid w:val="00045C33"/>
    <w:rsid w:val="000462D9"/>
    <w:rsid w:val="0005035D"/>
    <w:rsid w:val="00050C45"/>
    <w:rsid w:val="00051AAD"/>
    <w:rsid w:val="000524CF"/>
    <w:rsid w:val="000556B2"/>
    <w:rsid w:val="00056CDA"/>
    <w:rsid w:val="00057899"/>
    <w:rsid w:val="000604E0"/>
    <w:rsid w:val="0006306E"/>
    <w:rsid w:val="00064511"/>
    <w:rsid w:val="000656F8"/>
    <w:rsid w:val="000661B3"/>
    <w:rsid w:val="0007109F"/>
    <w:rsid w:val="00071312"/>
    <w:rsid w:val="00072490"/>
    <w:rsid w:val="0007357B"/>
    <w:rsid w:val="00073A2D"/>
    <w:rsid w:val="00073B6D"/>
    <w:rsid w:val="00073C02"/>
    <w:rsid w:val="0007473C"/>
    <w:rsid w:val="00076494"/>
    <w:rsid w:val="00081B91"/>
    <w:rsid w:val="00082163"/>
    <w:rsid w:val="00084D8E"/>
    <w:rsid w:val="000856ED"/>
    <w:rsid w:val="000912CD"/>
    <w:rsid w:val="00091E6A"/>
    <w:rsid w:val="0009361B"/>
    <w:rsid w:val="00094814"/>
    <w:rsid w:val="00094B2C"/>
    <w:rsid w:val="00095CC0"/>
    <w:rsid w:val="00096140"/>
    <w:rsid w:val="00096257"/>
    <w:rsid w:val="00097675"/>
    <w:rsid w:val="00097D7C"/>
    <w:rsid w:val="00097DDC"/>
    <w:rsid w:val="000A016E"/>
    <w:rsid w:val="000A0B03"/>
    <w:rsid w:val="000A4616"/>
    <w:rsid w:val="000A6B68"/>
    <w:rsid w:val="000A7224"/>
    <w:rsid w:val="000A7F4E"/>
    <w:rsid w:val="000B11F9"/>
    <w:rsid w:val="000B2929"/>
    <w:rsid w:val="000B2B38"/>
    <w:rsid w:val="000B2D26"/>
    <w:rsid w:val="000B3C9A"/>
    <w:rsid w:val="000B451C"/>
    <w:rsid w:val="000B55E8"/>
    <w:rsid w:val="000B6CB9"/>
    <w:rsid w:val="000C1FB9"/>
    <w:rsid w:val="000C2D31"/>
    <w:rsid w:val="000D13FD"/>
    <w:rsid w:val="000D32D6"/>
    <w:rsid w:val="000D7704"/>
    <w:rsid w:val="000E157B"/>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39F1"/>
    <w:rsid w:val="0017669F"/>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ABD"/>
    <w:rsid w:val="001B1F2C"/>
    <w:rsid w:val="001B3087"/>
    <w:rsid w:val="001B3D6C"/>
    <w:rsid w:val="001B5C09"/>
    <w:rsid w:val="001B63A5"/>
    <w:rsid w:val="001B7FDB"/>
    <w:rsid w:val="001C02E3"/>
    <w:rsid w:val="001C24ED"/>
    <w:rsid w:val="001D4AB6"/>
    <w:rsid w:val="001D6E37"/>
    <w:rsid w:val="001D7020"/>
    <w:rsid w:val="001D7D3D"/>
    <w:rsid w:val="001E006A"/>
    <w:rsid w:val="001E1B05"/>
    <w:rsid w:val="001E3238"/>
    <w:rsid w:val="001E42CD"/>
    <w:rsid w:val="001E7E43"/>
    <w:rsid w:val="001F0DB2"/>
    <w:rsid w:val="001F19CB"/>
    <w:rsid w:val="001F1FD3"/>
    <w:rsid w:val="001F3071"/>
    <w:rsid w:val="001F3214"/>
    <w:rsid w:val="001F32F9"/>
    <w:rsid w:val="001F6143"/>
    <w:rsid w:val="001F6668"/>
    <w:rsid w:val="001F7697"/>
    <w:rsid w:val="0020051D"/>
    <w:rsid w:val="00202047"/>
    <w:rsid w:val="002026AE"/>
    <w:rsid w:val="00217F31"/>
    <w:rsid w:val="002206F3"/>
    <w:rsid w:val="00221439"/>
    <w:rsid w:val="00224BA3"/>
    <w:rsid w:val="00225F9D"/>
    <w:rsid w:val="00226222"/>
    <w:rsid w:val="00235023"/>
    <w:rsid w:val="002365EF"/>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E6B82"/>
    <w:rsid w:val="002F134E"/>
    <w:rsid w:val="002F4DEC"/>
    <w:rsid w:val="002F5864"/>
    <w:rsid w:val="00301008"/>
    <w:rsid w:val="00302939"/>
    <w:rsid w:val="0030749E"/>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4F52"/>
    <w:rsid w:val="00355735"/>
    <w:rsid w:val="003604DB"/>
    <w:rsid w:val="00361290"/>
    <w:rsid w:val="0036186E"/>
    <w:rsid w:val="00361DAE"/>
    <w:rsid w:val="003620A9"/>
    <w:rsid w:val="00362EFF"/>
    <w:rsid w:val="0036629F"/>
    <w:rsid w:val="003712C2"/>
    <w:rsid w:val="00373442"/>
    <w:rsid w:val="0037637C"/>
    <w:rsid w:val="00377C93"/>
    <w:rsid w:val="00381766"/>
    <w:rsid w:val="00381FB5"/>
    <w:rsid w:val="003834E5"/>
    <w:rsid w:val="00384C86"/>
    <w:rsid w:val="00386E45"/>
    <w:rsid w:val="00387754"/>
    <w:rsid w:val="00390939"/>
    <w:rsid w:val="00390B73"/>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1248"/>
    <w:rsid w:val="003D2411"/>
    <w:rsid w:val="003D3F0C"/>
    <w:rsid w:val="003D483F"/>
    <w:rsid w:val="003D4875"/>
    <w:rsid w:val="003D5921"/>
    <w:rsid w:val="003D59C2"/>
    <w:rsid w:val="003D5C60"/>
    <w:rsid w:val="003D7FEC"/>
    <w:rsid w:val="003E114F"/>
    <w:rsid w:val="003E1D6E"/>
    <w:rsid w:val="003E2F12"/>
    <w:rsid w:val="003E42E3"/>
    <w:rsid w:val="003E5C83"/>
    <w:rsid w:val="003E69CD"/>
    <w:rsid w:val="003E6FFF"/>
    <w:rsid w:val="003E7D6C"/>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656E"/>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BD9"/>
    <w:rsid w:val="004C18D1"/>
    <w:rsid w:val="004C1FDF"/>
    <w:rsid w:val="004C243F"/>
    <w:rsid w:val="004C39C3"/>
    <w:rsid w:val="004C3BB3"/>
    <w:rsid w:val="004C51BE"/>
    <w:rsid w:val="004C6FB9"/>
    <w:rsid w:val="004C74E5"/>
    <w:rsid w:val="004C78B4"/>
    <w:rsid w:val="004D11DE"/>
    <w:rsid w:val="004D1C74"/>
    <w:rsid w:val="004D30C0"/>
    <w:rsid w:val="004D3649"/>
    <w:rsid w:val="004D3B9A"/>
    <w:rsid w:val="004D4FB3"/>
    <w:rsid w:val="004D6E41"/>
    <w:rsid w:val="004D7D54"/>
    <w:rsid w:val="004E03A1"/>
    <w:rsid w:val="004E044C"/>
    <w:rsid w:val="004E48B7"/>
    <w:rsid w:val="004E59D9"/>
    <w:rsid w:val="004F55B1"/>
    <w:rsid w:val="005001FC"/>
    <w:rsid w:val="00501566"/>
    <w:rsid w:val="00501FBD"/>
    <w:rsid w:val="00502626"/>
    <w:rsid w:val="00504FB7"/>
    <w:rsid w:val="00510425"/>
    <w:rsid w:val="00510803"/>
    <w:rsid w:val="005111E0"/>
    <w:rsid w:val="00520325"/>
    <w:rsid w:val="00520D02"/>
    <w:rsid w:val="00523DF3"/>
    <w:rsid w:val="0052670D"/>
    <w:rsid w:val="0053278E"/>
    <w:rsid w:val="00533F89"/>
    <w:rsid w:val="005347B6"/>
    <w:rsid w:val="00537D8A"/>
    <w:rsid w:val="00537E57"/>
    <w:rsid w:val="005446AE"/>
    <w:rsid w:val="00544E14"/>
    <w:rsid w:val="00547D7B"/>
    <w:rsid w:val="00552DBA"/>
    <w:rsid w:val="00556836"/>
    <w:rsid w:val="00557D6E"/>
    <w:rsid w:val="00557DB1"/>
    <w:rsid w:val="00561CE9"/>
    <w:rsid w:val="0056237E"/>
    <w:rsid w:val="005662A5"/>
    <w:rsid w:val="0056643E"/>
    <w:rsid w:val="005666A9"/>
    <w:rsid w:val="00567220"/>
    <w:rsid w:val="005676D4"/>
    <w:rsid w:val="00567847"/>
    <w:rsid w:val="00570E3D"/>
    <w:rsid w:val="00572A06"/>
    <w:rsid w:val="00576318"/>
    <w:rsid w:val="005802B2"/>
    <w:rsid w:val="005806DB"/>
    <w:rsid w:val="00580EBB"/>
    <w:rsid w:val="00583011"/>
    <w:rsid w:val="0058595B"/>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6B77"/>
    <w:rsid w:val="006079D4"/>
    <w:rsid w:val="00607C5D"/>
    <w:rsid w:val="00611DA8"/>
    <w:rsid w:val="006125EC"/>
    <w:rsid w:val="00614AA5"/>
    <w:rsid w:val="006154DD"/>
    <w:rsid w:val="006165DF"/>
    <w:rsid w:val="00617AA0"/>
    <w:rsid w:val="006208D3"/>
    <w:rsid w:val="0062242D"/>
    <w:rsid w:val="00623945"/>
    <w:rsid w:val="006245F7"/>
    <w:rsid w:val="00624F56"/>
    <w:rsid w:val="00625E4A"/>
    <w:rsid w:val="0062633A"/>
    <w:rsid w:val="00627030"/>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0F2E"/>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2F74"/>
    <w:rsid w:val="006B39B2"/>
    <w:rsid w:val="006B5AF7"/>
    <w:rsid w:val="006C005F"/>
    <w:rsid w:val="006C0B7C"/>
    <w:rsid w:val="006C1957"/>
    <w:rsid w:val="006C196B"/>
    <w:rsid w:val="006C1A84"/>
    <w:rsid w:val="006C22A9"/>
    <w:rsid w:val="006C2CDE"/>
    <w:rsid w:val="006C3392"/>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112"/>
    <w:rsid w:val="0074695F"/>
    <w:rsid w:val="00752167"/>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C60B3"/>
    <w:rsid w:val="007D0D15"/>
    <w:rsid w:val="007D3AE2"/>
    <w:rsid w:val="007D47D1"/>
    <w:rsid w:val="007D4C53"/>
    <w:rsid w:val="007D6643"/>
    <w:rsid w:val="007D6C6B"/>
    <w:rsid w:val="007E1262"/>
    <w:rsid w:val="007E3623"/>
    <w:rsid w:val="007E38E9"/>
    <w:rsid w:val="007E6E41"/>
    <w:rsid w:val="007E763A"/>
    <w:rsid w:val="007E7CC9"/>
    <w:rsid w:val="007F0048"/>
    <w:rsid w:val="007F3C0C"/>
    <w:rsid w:val="007F4C22"/>
    <w:rsid w:val="007F687D"/>
    <w:rsid w:val="007F6A64"/>
    <w:rsid w:val="007F6CB4"/>
    <w:rsid w:val="00800595"/>
    <w:rsid w:val="00802041"/>
    <w:rsid w:val="0080206D"/>
    <w:rsid w:val="008039DB"/>
    <w:rsid w:val="00804CA2"/>
    <w:rsid w:val="00804FEC"/>
    <w:rsid w:val="008052B6"/>
    <w:rsid w:val="00805F95"/>
    <w:rsid w:val="00810480"/>
    <w:rsid w:val="00810BEE"/>
    <w:rsid w:val="008115AE"/>
    <w:rsid w:val="00811BDE"/>
    <w:rsid w:val="00811CCD"/>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426B"/>
    <w:rsid w:val="00846603"/>
    <w:rsid w:val="008479C0"/>
    <w:rsid w:val="00851718"/>
    <w:rsid w:val="008543A8"/>
    <w:rsid w:val="008548CB"/>
    <w:rsid w:val="00854BAD"/>
    <w:rsid w:val="00856887"/>
    <w:rsid w:val="0085752D"/>
    <w:rsid w:val="00863134"/>
    <w:rsid w:val="00867446"/>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971A4"/>
    <w:rsid w:val="008A24EB"/>
    <w:rsid w:val="008A4D2A"/>
    <w:rsid w:val="008A5671"/>
    <w:rsid w:val="008A6198"/>
    <w:rsid w:val="008A78EE"/>
    <w:rsid w:val="008B1B9D"/>
    <w:rsid w:val="008B2A57"/>
    <w:rsid w:val="008B30AB"/>
    <w:rsid w:val="008B3958"/>
    <w:rsid w:val="008B4145"/>
    <w:rsid w:val="008B54A7"/>
    <w:rsid w:val="008C121C"/>
    <w:rsid w:val="008C23F4"/>
    <w:rsid w:val="008C2F75"/>
    <w:rsid w:val="008C3BDB"/>
    <w:rsid w:val="008C3DAE"/>
    <w:rsid w:val="008C4917"/>
    <w:rsid w:val="008C6AC3"/>
    <w:rsid w:val="008D186B"/>
    <w:rsid w:val="008D1A8D"/>
    <w:rsid w:val="008D2F8B"/>
    <w:rsid w:val="008D3327"/>
    <w:rsid w:val="008D3ACB"/>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43F7"/>
    <w:rsid w:val="008F46D6"/>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36CE"/>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285"/>
    <w:rsid w:val="00993F59"/>
    <w:rsid w:val="00996AFB"/>
    <w:rsid w:val="009A0C30"/>
    <w:rsid w:val="009A2D6C"/>
    <w:rsid w:val="009A3065"/>
    <w:rsid w:val="009A37B8"/>
    <w:rsid w:val="009A3A3E"/>
    <w:rsid w:val="009A7439"/>
    <w:rsid w:val="009B0179"/>
    <w:rsid w:val="009B05E9"/>
    <w:rsid w:val="009B195D"/>
    <w:rsid w:val="009B3394"/>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564FF"/>
    <w:rsid w:val="00A6013E"/>
    <w:rsid w:val="00A61B14"/>
    <w:rsid w:val="00A61BF4"/>
    <w:rsid w:val="00A64257"/>
    <w:rsid w:val="00A64DF1"/>
    <w:rsid w:val="00A651C2"/>
    <w:rsid w:val="00A659A5"/>
    <w:rsid w:val="00A749D3"/>
    <w:rsid w:val="00A752FD"/>
    <w:rsid w:val="00A77574"/>
    <w:rsid w:val="00A80532"/>
    <w:rsid w:val="00A813B9"/>
    <w:rsid w:val="00A8711C"/>
    <w:rsid w:val="00A9433C"/>
    <w:rsid w:val="00AA0666"/>
    <w:rsid w:val="00AA150C"/>
    <w:rsid w:val="00AA16A5"/>
    <w:rsid w:val="00AA18EC"/>
    <w:rsid w:val="00AA200A"/>
    <w:rsid w:val="00AA2DC6"/>
    <w:rsid w:val="00AA4332"/>
    <w:rsid w:val="00AA5A30"/>
    <w:rsid w:val="00AB0146"/>
    <w:rsid w:val="00AB1EA8"/>
    <w:rsid w:val="00AB2F4B"/>
    <w:rsid w:val="00AB333A"/>
    <w:rsid w:val="00AB40E4"/>
    <w:rsid w:val="00AB5250"/>
    <w:rsid w:val="00AB5D04"/>
    <w:rsid w:val="00AC0BE9"/>
    <w:rsid w:val="00AC29A8"/>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967"/>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A19CD"/>
    <w:rsid w:val="00BA4095"/>
    <w:rsid w:val="00BA57B1"/>
    <w:rsid w:val="00BA6AF1"/>
    <w:rsid w:val="00BB0728"/>
    <w:rsid w:val="00BB2599"/>
    <w:rsid w:val="00BB2C75"/>
    <w:rsid w:val="00BB3155"/>
    <w:rsid w:val="00BC2FFD"/>
    <w:rsid w:val="00BC445E"/>
    <w:rsid w:val="00BC48E5"/>
    <w:rsid w:val="00BD2772"/>
    <w:rsid w:val="00BD2863"/>
    <w:rsid w:val="00BD3929"/>
    <w:rsid w:val="00BD7B21"/>
    <w:rsid w:val="00BE0E22"/>
    <w:rsid w:val="00BE6C68"/>
    <w:rsid w:val="00BE7661"/>
    <w:rsid w:val="00BE7810"/>
    <w:rsid w:val="00BE78CC"/>
    <w:rsid w:val="00BF0569"/>
    <w:rsid w:val="00BF09D0"/>
    <w:rsid w:val="00BF1BB5"/>
    <w:rsid w:val="00BF467C"/>
    <w:rsid w:val="00BF4981"/>
    <w:rsid w:val="00BF711A"/>
    <w:rsid w:val="00C005D8"/>
    <w:rsid w:val="00C02400"/>
    <w:rsid w:val="00C06E05"/>
    <w:rsid w:val="00C10DAE"/>
    <w:rsid w:val="00C11A15"/>
    <w:rsid w:val="00C11BBB"/>
    <w:rsid w:val="00C16536"/>
    <w:rsid w:val="00C17411"/>
    <w:rsid w:val="00C22683"/>
    <w:rsid w:val="00C22834"/>
    <w:rsid w:val="00C22CBD"/>
    <w:rsid w:val="00C25DE0"/>
    <w:rsid w:val="00C25F31"/>
    <w:rsid w:val="00C2654A"/>
    <w:rsid w:val="00C34902"/>
    <w:rsid w:val="00C373F2"/>
    <w:rsid w:val="00C37CA7"/>
    <w:rsid w:val="00C37FC1"/>
    <w:rsid w:val="00C403CE"/>
    <w:rsid w:val="00C434B8"/>
    <w:rsid w:val="00C43CEB"/>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B5A"/>
    <w:rsid w:val="00CB4D8A"/>
    <w:rsid w:val="00CC4D66"/>
    <w:rsid w:val="00CC4F69"/>
    <w:rsid w:val="00CC5763"/>
    <w:rsid w:val="00CC6054"/>
    <w:rsid w:val="00CC62C9"/>
    <w:rsid w:val="00CC658D"/>
    <w:rsid w:val="00CC6F35"/>
    <w:rsid w:val="00CD1FE9"/>
    <w:rsid w:val="00CD207C"/>
    <w:rsid w:val="00CD7B61"/>
    <w:rsid w:val="00CD7E3B"/>
    <w:rsid w:val="00CE176B"/>
    <w:rsid w:val="00CE50C2"/>
    <w:rsid w:val="00CE527F"/>
    <w:rsid w:val="00CE7F6E"/>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1CC4"/>
    <w:rsid w:val="00D62CAD"/>
    <w:rsid w:val="00D62DC6"/>
    <w:rsid w:val="00D726AB"/>
    <w:rsid w:val="00D7409D"/>
    <w:rsid w:val="00D745FE"/>
    <w:rsid w:val="00D76682"/>
    <w:rsid w:val="00D77616"/>
    <w:rsid w:val="00D82F2A"/>
    <w:rsid w:val="00D84064"/>
    <w:rsid w:val="00D843E4"/>
    <w:rsid w:val="00D87AC1"/>
    <w:rsid w:val="00D94B43"/>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459"/>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1A0A"/>
    <w:rsid w:val="00E334E6"/>
    <w:rsid w:val="00E34F53"/>
    <w:rsid w:val="00E437E5"/>
    <w:rsid w:val="00E43BDB"/>
    <w:rsid w:val="00E4552C"/>
    <w:rsid w:val="00E45889"/>
    <w:rsid w:val="00E45954"/>
    <w:rsid w:val="00E46E97"/>
    <w:rsid w:val="00E511F5"/>
    <w:rsid w:val="00E513E3"/>
    <w:rsid w:val="00E57A07"/>
    <w:rsid w:val="00E60C36"/>
    <w:rsid w:val="00E6166A"/>
    <w:rsid w:val="00E642F5"/>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965CD"/>
    <w:rsid w:val="00E96B48"/>
    <w:rsid w:val="00EA36BD"/>
    <w:rsid w:val="00EA389C"/>
    <w:rsid w:val="00EA3DB6"/>
    <w:rsid w:val="00EA4EA8"/>
    <w:rsid w:val="00EA7646"/>
    <w:rsid w:val="00EB0515"/>
    <w:rsid w:val="00EB0F75"/>
    <w:rsid w:val="00EB1C3F"/>
    <w:rsid w:val="00EB5328"/>
    <w:rsid w:val="00EB56E4"/>
    <w:rsid w:val="00EC5BB8"/>
    <w:rsid w:val="00ED056C"/>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1AFB"/>
    <w:rsid w:val="00F141C0"/>
    <w:rsid w:val="00F14FA7"/>
    <w:rsid w:val="00F224C7"/>
    <w:rsid w:val="00F22894"/>
    <w:rsid w:val="00F23D72"/>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367"/>
    <w:rsid w:val="00F83E3E"/>
    <w:rsid w:val="00F85CC0"/>
    <w:rsid w:val="00F87EB4"/>
    <w:rsid w:val="00F930DE"/>
    <w:rsid w:val="00F960AD"/>
    <w:rsid w:val="00F978F4"/>
    <w:rsid w:val="00FA08E6"/>
    <w:rsid w:val="00FA306E"/>
    <w:rsid w:val="00FA32E4"/>
    <w:rsid w:val="00FA5956"/>
    <w:rsid w:val="00FA6AA0"/>
    <w:rsid w:val="00FB3672"/>
    <w:rsid w:val="00FB3F72"/>
    <w:rsid w:val="00FB59B8"/>
    <w:rsid w:val="00FC0A36"/>
    <w:rsid w:val="00FC30A2"/>
    <w:rsid w:val="00FC4AA5"/>
    <w:rsid w:val="00FC66A4"/>
    <w:rsid w:val="00FD1904"/>
    <w:rsid w:val="00FD3A8D"/>
    <w:rsid w:val="00FD6A5F"/>
    <w:rsid w:val="00FD794D"/>
    <w:rsid w:val="00FE07B4"/>
    <w:rsid w:val="00FE44F2"/>
    <w:rsid w:val="00FE6E1E"/>
    <w:rsid w:val="00FE7EA2"/>
    <w:rsid w:val="00FF0313"/>
    <w:rsid w:val="00FF0842"/>
    <w:rsid w:val="08D3297E"/>
    <w:rsid w:val="0FB8AF3E"/>
    <w:rsid w:val="165773FE"/>
    <w:rsid w:val="1A3ED7F0"/>
    <w:rsid w:val="23199E08"/>
    <w:rsid w:val="2BAE1304"/>
    <w:rsid w:val="2D194874"/>
    <w:rsid w:val="2F3E8A63"/>
    <w:rsid w:val="33EAF501"/>
    <w:rsid w:val="39C88B5D"/>
    <w:rsid w:val="3DFA0153"/>
    <w:rsid w:val="55E89EEF"/>
    <w:rsid w:val="5D2FDCEC"/>
    <w:rsid w:val="6271C74A"/>
    <w:rsid w:val="68076404"/>
    <w:rsid w:val="6CE4A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96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739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7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739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739F1"/>
    <w:pPr>
      <w:spacing w:before="200"/>
      <w:outlineLvl w:val="3"/>
    </w:pPr>
    <w:rPr>
      <w:rFonts w:ascii="Cambria" w:hAnsi="Cambria"/>
      <w:b/>
      <w:bCs/>
      <w:i/>
      <w:iCs/>
    </w:rPr>
  </w:style>
  <w:style w:type="paragraph" w:styleId="Heading5">
    <w:name w:val="heading 5"/>
    <w:basedOn w:val="Normal"/>
    <w:next w:val="Normal"/>
    <w:link w:val="Heading5Char"/>
    <w:uiPriority w:val="9"/>
    <w:qFormat/>
    <w:rsid w:val="001739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739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739F1"/>
    <w:pPr>
      <w:outlineLvl w:val="6"/>
    </w:pPr>
    <w:rPr>
      <w:rFonts w:ascii="Cambria" w:hAnsi="Cambria"/>
      <w:i/>
      <w:iCs/>
    </w:rPr>
  </w:style>
  <w:style w:type="paragraph" w:styleId="Heading8">
    <w:name w:val="heading 8"/>
    <w:basedOn w:val="Normal"/>
    <w:next w:val="Normal"/>
    <w:link w:val="Heading8Char"/>
    <w:uiPriority w:val="9"/>
    <w:qFormat/>
    <w:rsid w:val="001739F1"/>
    <w:pPr>
      <w:outlineLvl w:val="7"/>
    </w:pPr>
    <w:rPr>
      <w:rFonts w:ascii="Cambria" w:hAnsi="Cambria"/>
    </w:rPr>
  </w:style>
  <w:style w:type="paragraph" w:styleId="Heading9">
    <w:name w:val="heading 9"/>
    <w:basedOn w:val="Normal"/>
    <w:next w:val="Normal"/>
    <w:link w:val="Heading9Char"/>
    <w:uiPriority w:val="9"/>
    <w:qFormat/>
    <w:rsid w:val="001739F1"/>
    <w:pPr>
      <w:outlineLvl w:val="8"/>
    </w:pPr>
    <w:rPr>
      <w:rFonts w:ascii="Cambria" w:hAnsi="Cambria"/>
      <w:i/>
      <w:iCs/>
      <w:spacing w:val="5"/>
    </w:rPr>
  </w:style>
  <w:style w:type="character" w:default="1" w:styleId="DefaultParagraphFont">
    <w:name w:val="Default Paragraph Font"/>
    <w:uiPriority w:val="1"/>
    <w:semiHidden/>
    <w:unhideWhenUsed/>
    <w:rsid w:val="00B329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2967"/>
  </w:style>
  <w:style w:type="paragraph" w:customStyle="1" w:styleId="NICEnormal">
    <w:name w:val="NICE normal"/>
    <w:rsid w:val="001739F1"/>
    <w:pPr>
      <w:spacing w:after="240" w:line="360" w:lineRule="auto"/>
    </w:pPr>
    <w:rPr>
      <w:rFonts w:ascii="Arial" w:eastAsia="Times New Roman" w:hAnsi="Arial"/>
      <w:lang w:val="en-US" w:eastAsia="en-US"/>
    </w:rPr>
  </w:style>
  <w:style w:type="character" w:customStyle="1" w:styleId="NICEnormalChar">
    <w:name w:val="NICE normal Char"/>
    <w:rsid w:val="001739F1"/>
    <w:rPr>
      <w:rFonts w:ascii="Arial" w:eastAsia="Times New Roman" w:hAnsi="Arial"/>
      <w:sz w:val="24"/>
      <w:szCs w:val="24"/>
      <w:lang w:val="en-GB" w:eastAsia="en-US" w:bidi="ar-SA"/>
    </w:rPr>
  </w:style>
  <w:style w:type="character" w:customStyle="1" w:styleId="Heading1Char">
    <w:name w:val="Heading 1 Char"/>
    <w:link w:val="Heading1"/>
    <w:uiPriority w:val="1"/>
    <w:rsid w:val="001739F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739F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739F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739F1"/>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739F1"/>
    <w:pPr>
      <w:ind w:left="720"/>
      <w:contextualSpacing/>
    </w:pPr>
    <w:rPr>
      <w:rFonts w:eastAsia="Calibri"/>
    </w:rPr>
  </w:style>
  <w:style w:type="character" w:styleId="Hyperlink">
    <w:name w:val="Hyperlink"/>
    <w:uiPriority w:val="99"/>
    <w:rsid w:val="001739F1"/>
    <w:rPr>
      <w:color w:val="0000FF"/>
      <w:u w:val="single"/>
    </w:rPr>
  </w:style>
  <w:style w:type="paragraph" w:styleId="Header">
    <w:name w:val="header"/>
    <w:basedOn w:val="Normal"/>
    <w:link w:val="HeaderChar"/>
    <w:uiPriority w:val="99"/>
    <w:rsid w:val="001739F1"/>
    <w:pPr>
      <w:tabs>
        <w:tab w:val="center" w:pos="4513"/>
        <w:tab w:val="right" w:pos="9026"/>
      </w:tabs>
    </w:pPr>
    <w:rPr>
      <w:rFonts w:ascii="Arial" w:hAnsi="Arial"/>
    </w:rPr>
  </w:style>
  <w:style w:type="paragraph" w:customStyle="1" w:styleId="NICEnormaldoublespacing">
    <w:name w:val="NICE normal double spacing"/>
    <w:basedOn w:val="NICEnormal"/>
    <w:rsid w:val="001739F1"/>
  </w:style>
  <w:style w:type="character" w:customStyle="1" w:styleId="HeaderChar">
    <w:name w:val="Header Char"/>
    <w:link w:val="Header"/>
    <w:uiPriority w:val="99"/>
    <w:rsid w:val="001739F1"/>
    <w:rPr>
      <w:rFonts w:ascii="Arial" w:eastAsiaTheme="minorHAnsi" w:hAnsi="Arial"/>
      <w:kern w:val="2"/>
      <w:lang w:eastAsia="en-US"/>
      <w14:ligatures w14:val="standardContextual"/>
    </w:rPr>
  </w:style>
  <w:style w:type="paragraph" w:styleId="Footer">
    <w:name w:val="footer"/>
    <w:basedOn w:val="Normal"/>
    <w:link w:val="FooterChar"/>
    <w:uiPriority w:val="99"/>
    <w:rsid w:val="001739F1"/>
    <w:pPr>
      <w:tabs>
        <w:tab w:val="center" w:pos="4513"/>
        <w:tab w:val="right" w:pos="9026"/>
      </w:tabs>
    </w:pPr>
    <w:rPr>
      <w:rFonts w:ascii="Arial" w:hAnsi="Arial"/>
    </w:rPr>
  </w:style>
  <w:style w:type="character" w:customStyle="1" w:styleId="FooterChar">
    <w:name w:val="Footer Char"/>
    <w:link w:val="Footer"/>
    <w:uiPriority w:val="99"/>
    <w:rsid w:val="001739F1"/>
    <w:rPr>
      <w:rFonts w:ascii="Arial" w:eastAsiaTheme="minorHAnsi" w:hAnsi="Arial"/>
      <w:kern w:val="2"/>
      <w:lang w:eastAsia="en-US"/>
      <w14:ligatures w14:val="standardContextual"/>
    </w:rPr>
  </w:style>
  <w:style w:type="paragraph" w:customStyle="1" w:styleId="Style1">
    <w:name w:val="Style1"/>
    <w:basedOn w:val="Normal"/>
    <w:autoRedefine/>
    <w:rsid w:val="001739F1"/>
    <w:pPr>
      <w:keepNext/>
      <w:spacing w:line="360" w:lineRule="auto"/>
      <w:ind w:left="567"/>
    </w:pPr>
    <w:rPr>
      <w:rFonts w:ascii="Arial" w:hAnsi="Arial" w:cs="Arial"/>
      <w:szCs w:val="16"/>
    </w:rPr>
  </w:style>
  <w:style w:type="paragraph" w:customStyle="1" w:styleId="Unnumberedboldheading">
    <w:name w:val="Unnumbered bold heading"/>
    <w:next w:val="NICEnormal"/>
    <w:rsid w:val="001739F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739F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73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9F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739F1"/>
  </w:style>
  <w:style w:type="paragraph" w:customStyle="1" w:styleId="Introtext">
    <w:name w:val="Intro text"/>
    <w:basedOn w:val="PGDNormal"/>
    <w:rsid w:val="001739F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739F1"/>
    <w:pPr>
      <w:tabs>
        <w:tab w:val="num" w:pos="360"/>
      </w:tabs>
    </w:pPr>
    <w:rPr>
      <w:szCs w:val="24"/>
    </w:rPr>
  </w:style>
  <w:style w:type="character" w:customStyle="1" w:styleId="Numberedheading1CharChar">
    <w:name w:val="Numbered heading 1 Char Char"/>
    <w:link w:val="Numberedheading1"/>
    <w:rsid w:val="001739F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739F1"/>
    <w:pPr>
      <w:tabs>
        <w:tab w:val="num" w:pos="360"/>
      </w:tabs>
    </w:pPr>
  </w:style>
  <w:style w:type="character" w:customStyle="1" w:styleId="Numberedheading2Char">
    <w:name w:val="Numbered heading 2 Char"/>
    <w:basedOn w:val="Heading2Char"/>
    <w:link w:val="Numberedheading2"/>
    <w:rsid w:val="001739F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739F1"/>
    <w:pPr>
      <w:tabs>
        <w:tab w:val="num" w:pos="360"/>
      </w:tabs>
    </w:pPr>
    <w:rPr>
      <w:sz w:val="26"/>
    </w:rPr>
  </w:style>
  <w:style w:type="paragraph" w:customStyle="1" w:styleId="Numberedlevel4text">
    <w:name w:val="Numbered level 4 text"/>
    <w:basedOn w:val="NICEnormal"/>
    <w:next w:val="NICEnormal"/>
    <w:rsid w:val="001739F1"/>
    <w:pPr>
      <w:tabs>
        <w:tab w:val="num" w:pos="360"/>
      </w:tabs>
    </w:pPr>
  </w:style>
  <w:style w:type="paragraph" w:customStyle="1" w:styleId="Numberedlevel3text">
    <w:name w:val="Numbered level 3 text"/>
    <w:basedOn w:val="Numberedheading3"/>
    <w:rsid w:val="001739F1"/>
    <w:pPr>
      <w:spacing w:after="240"/>
    </w:pPr>
    <w:rPr>
      <w:b w:val="0"/>
      <w:sz w:val="24"/>
    </w:rPr>
  </w:style>
  <w:style w:type="paragraph" w:customStyle="1" w:styleId="Bulletindent2">
    <w:name w:val="Bullet indent 2"/>
    <w:basedOn w:val="NICEnormal"/>
    <w:rsid w:val="001739F1"/>
    <w:pPr>
      <w:tabs>
        <w:tab w:val="num" w:pos="360"/>
      </w:tabs>
      <w:spacing w:after="0"/>
      <w:ind w:left="1702" w:hanging="284"/>
    </w:pPr>
  </w:style>
  <w:style w:type="paragraph" w:customStyle="1" w:styleId="Title16ptleft">
    <w:name w:val="Title 16 pt left"/>
    <w:basedOn w:val="Title16pt"/>
    <w:rsid w:val="001739F1"/>
  </w:style>
  <w:style w:type="paragraph" w:customStyle="1" w:styleId="Bulletleft1">
    <w:name w:val="Bullet left 1"/>
    <w:basedOn w:val="NICEnormal"/>
    <w:rsid w:val="001739F1"/>
    <w:pPr>
      <w:tabs>
        <w:tab w:val="num" w:pos="360"/>
      </w:tabs>
      <w:spacing w:after="0"/>
    </w:pPr>
  </w:style>
  <w:style w:type="character" w:customStyle="1" w:styleId="Bulletleft1Char">
    <w:name w:val="Bullet left 1 Char"/>
    <w:basedOn w:val="NICEnormalChar"/>
    <w:rsid w:val="001739F1"/>
    <w:rPr>
      <w:rFonts w:ascii="Arial" w:eastAsia="Times New Roman" w:hAnsi="Arial"/>
      <w:sz w:val="24"/>
      <w:szCs w:val="24"/>
      <w:lang w:val="en-GB" w:eastAsia="en-US" w:bidi="ar-SA"/>
    </w:rPr>
  </w:style>
  <w:style w:type="paragraph" w:customStyle="1" w:styleId="Bulletleft2">
    <w:name w:val="Bullet left 2"/>
    <w:basedOn w:val="NICEnormal"/>
    <w:rsid w:val="001739F1"/>
    <w:pPr>
      <w:tabs>
        <w:tab w:val="num" w:pos="360"/>
      </w:tabs>
      <w:spacing w:after="0"/>
      <w:ind w:left="568" w:hanging="284"/>
    </w:pPr>
  </w:style>
  <w:style w:type="paragraph" w:customStyle="1" w:styleId="Bulletleft3">
    <w:name w:val="Bullet left 3"/>
    <w:basedOn w:val="NICEnormal"/>
    <w:rsid w:val="001739F1"/>
    <w:pPr>
      <w:tabs>
        <w:tab w:val="num" w:pos="360"/>
      </w:tabs>
      <w:spacing w:after="0"/>
    </w:pPr>
  </w:style>
  <w:style w:type="paragraph" w:customStyle="1" w:styleId="Bulletindent1">
    <w:name w:val="Bullet indent 1"/>
    <w:basedOn w:val="NICEnormal"/>
    <w:rsid w:val="001739F1"/>
    <w:pPr>
      <w:numPr>
        <w:numId w:val="15"/>
      </w:numPr>
      <w:spacing w:before="120" w:after="120" w:line="240" w:lineRule="auto"/>
    </w:pPr>
    <w:rPr>
      <w:sz w:val="22"/>
      <w:lang w:val="en-GB"/>
    </w:rPr>
  </w:style>
  <w:style w:type="paragraph" w:customStyle="1" w:styleId="Bulletindent3">
    <w:name w:val="Bullet indent 3"/>
    <w:basedOn w:val="NICEnormal"/>
    <w:rsid w:val="001739F1"/>
    <w:pPr>
      <w:tabs>
        <w:tab w:val="num" w:pos="360"/>
      </w:tabs>
      <w:spacing w:after="0"/>
    </w:pPr>
  </w:style>
  <w:style w:type="paragraph" w:customStyle="1" w:styleId="Numberedlevel2text">
    <w:name w:val="Numbered level 2 text"/>
    <w:basedOn w:val="Numberedheading2"/>
    <w:rsid w:val="001739F1"/>
    <w:pPr>
      <w:spacing w:after="240"/>
    </w:pPr>
    <w:rPr>
      <w:b/>
      <w:i/>
    </w:rPr>
  </w:style>
  <w:style w:type="paragraph" w:customStyle="1" w:styleId="Bulletleft1last">
    <w:name w:val="Bullet left 1 last"/>
    <w:basedOn w:val="NICEnormal"/>
    <w:rsid w:val="001739F1"/>
    <w:pPr>
      <w:tabs>
        <w:tab w:val="num" w:pos="360"/>
      </w:tabs>
    </w:pPr>
    <w:rPr>
      <w:rFonts w:cs="Arial"/>
    </w:rPr>
  </w:style>
  <w:style w:type="character" w:customStyle="1" w:styleId="Bulletleft1lastChar">
    <w:name w:val="Bullet left 1 last Char"/>
    <w:rsid w:val="001739F1"/>
    <w:rPr>
      <w:rFonts w:ascii="Arial" w:eastAsia="Times New Roman" w:hAnsi="Arial" w:cs="Arial"/>
      <w:sz w:val="24"/>
      <w:szCs w:val="24"/>
      <w:lang w:eastAsia="en-US"/>
    </w:rPr>
  </w:style>
  <w:style w:type="paragraph" w:customStyle="1" w:styleId="boxedtext">
    <w:name w:val="boxed text"/>
    <w:basedOn w:val="NICEnormal"/>
    <w:rsid w:val="001739F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739F1"/>
    <w:rPr>
      <w:rFonts w:ascii="Arial" w:hAnsi="Arial"/>
      <w:sz w:val="24"/>
    </w:rPr>
  </w:style>
  <w:style w:type="paragraph" w:customStyle="1" w:styleId="Bulletindent1last">
    <w:name w:val="Bullet indent 1 last"/>
    <w:basedOn w:val="NICEnormal"/>
    <w:next w:val="NICEnormal"/>
    <w:rsid w:val="001739F1"/>
    <w:pPr>
      <w:numPr>
        <w:numId w:val="11"/>
      </w:numPr>
    </w:pPr>
    <w:rPr>
      <w:sz w:val="22"/>
      <w:lang w:val="en-GB"/>
    </w:rPr>
  </w:style>
  <w:style w:type="paragraph" w:customStyle="1" w:styleId="NICEnormalindented">
    <w:name w:val="NICE normal indented"/>
    <w:basedOn w:val="NICEnormal"/>
    <w:rsid w:val="001739F1"/>
    <w:pPr>
      <w:tabs>
        <w:tab w:val="left" w:pos="1134"/>
      </w:tabs>
      <w:ind w:left="1134"/>
    </w:pPr>
  </w:style>
  <w:style w:type="paragraph" w:customStyle="1" w:styleId="Tabletitle">
    <w:name w:val="Table title"/>
    <w:basedOn w:val="NICEnormal"/>
    <w:next w:val="NICEnormal"/>
    <w:rsid w:val="001739F1"/>
    <w:pPr>
      <w:keepNext/>
      <w:spacing w:after="60" w:line="240" w:lineRule="auto"/>
    </w:pPr>
    <w:rPr>
      <w:b/>
    </w:rPr>
  </w:style>
  <w:style w:type="paragraph" w:customStyle="1" w:styleId="Tabletext">
    <w:name w:val="Table text"/>
    <w:basedOn w:val="PGDNormal"/>
    <w:rsid w:val="001739F1"/>
    <w:pPr>
      <w:keepNext/>
      <w:spacing w:after="60"/>
    </w:pPr>
  </w:style>
  <w:style w:type="paragraph" w:customStyle="1" w:styleId="Section2paragraphs">
    <w:name w:val="Section 2 paragraphs"/>
    <w:basedOn w:val="NICEnormal"/>
    <w:rsid w:val="001739F1"/>
    <w:pPr>
      <w:tabs>
        <w:tab w:val="num" w:pos="360"/>
      </w:tabs>
    </w:pPr>
  </w:style>
  <w:style w:type="paragraph" w:customStyle="1" w:styleId="Section3paragraphs">
    <w:name w:val="Section 3 paragraphs"/>
    <w:basedOn w:val="NICEnormal"/>
    <w:rsid w:val="001739F1"/>
    <w:pPr>
      <w:tabs>
        <w:tab w:val="num" w:pos="360"/>
      </w:tabs>
    </w:pPr>
  </w:style>
  <w:style w:type="paragraph" w:customStyle="1" w:styleId="Section411paragraphs">
    <w:name w:val="Section 4.1.1 paragraphs"/>
    <w:basedOn w:val="NICEnormal"/>
    <w:rsid w:val="001739F1"/>
    <w:pPr>
      <w:tabs>
        <w:tab w:val="num" w:pos="360"/>
      </w:tabs>
    </w:pPr>
  </w:style>
  <w:style w:type="paragraph" w:customStyle="1" w:styleId="Section412paragraphs">
    <w:name w:val="Section 4.1.2 paragraphs"/>
    <w:basedOn w:val="NICEnormal"/>
    <w:rsid w:val="001739F1"/>
    <w:pPr>
      <w:tabs>
        <w:tab w:val="num" w:pos="360"/>
      </w:tabs>
    </w:pPr>
  </w:style>
  <w:style w:type="paragraph" w:customStyle="1" w:styleId="Section42paragraphs">
    <w:name w:val="Section 4.2 paragraphs"/>
    <w:basedOn w:val="NICEnormal"/>
    <w:rsid w:val="001739F1"/>
    <w:pPr>
      <w:tabs>
        <w:tab w:val="num" w:pos="360"/>
      </w:tabs>
    </w:pPr>
  </w:style>
  <w:style w:type="paragraph" w:customStyle="1" w:styleId="Section43paragraphs">
    <w:name w:val="Section 4.3 paragraphs"/>
    <w:basedOn w:val="NICEnormal"/>
    <w:rsid w:val="001739F1"/>
    <w:pPr>
      <w:tabs>
        <w:tab w:val="num" w:pos="360"/>
      </w:tabs>
    </w:pPr>
  </w:style>
  <w:style w:type="paragraph" w:customStyle="1" w:styleId="Appendixlevel1">
    <w:name w:val="Appendix level 1"/>
    <w:basedOn w:val="NICEnormal"/>
    <w:autoRedefine/>
    <w:rsid w:val="001739F1"/>
    <w:pPr>
      <w:tabs>
        <w:tab w:val="num" w:pos="360"/>
      </w:tabs>
      <w:spacing w:before="240"/>
    </w:pPr>
  </w:style>
  <w:style w:type="paragraph" w:customStyle="1" w:styleId="Appendixlevel2">
    <w:name w:val="Appendix level 2"/>
    <w:basedOn w:val="NICEnormal"/>
    <w:rsid w:val="001739F1"/>
    <w:pPr>
      <w:tabs>
        <w:tab w:val="num" w:pos="360"/>
      </w:tabs>
      <w:spacing w:before="240"/>
    </w:pPr>
  </w:style>
  <w:style w:type="paragraph" w:customStyle="1" w:styleId="Appendixbullet">
    <w:name w:val="Appendix bullet"/>
    <w:basedOn w:val="NICEnormal"/>
    <w:rsid w:val="001739F1"/>
    <w:pPr>
      <w:tabs>
        <w:tab w:val="num" w:pos="360"/>
      </w:tabs>
      <w:spacing w:after="0" w:line="240" w:lineRule="auto"/>
    </w:pPr>
  </w:style>
  <w:style w:type="paragraph" w:customStyle="1" w:styleId="Appendixreferences">
    <w:name w:val="Appendix references"/>
    <w:basedOn w:val="NICEnormal"/>
    <w:rsid w:val="001739F1"/>
    <w:pPr>
      <w:tabs>
        <w:tab w:val="left" w:pos="567"/>
      </w:tabs>
      <w:spacing w:after="120" w:line="240" w:lineRule="auto"/>
      <w:ind w:left="567"/>
    </w:pPr>
  </w:style>
  <w:style w:type="paragraph" w:customStyle="1" w:styleId="References">
    <w:name w:val="References"/>
    <w:basedOn w:val="PGDNormal"/>
    <w:rsid w:val="001739F1"/>
    <w:pPr>
      <w:tabs>
        <w:tab w:val="num" w:pos="360"/>
      </w:tabs>
      <w:spacing w:after="120"/>
    </w:pPr>
  </w:style>
  <w:style w:type="paragraph" w:styleId="BalloonText">
    <w:name w:val="Balloon Text"/>
    <w:basedOn w:val="Normal"/>
    <w:link w:val="BalloonTextChar"/>
    <w:semiHidden/>
    <w:rsid w:val="001739F1"/>
    <w:rPr>
      <w:rFonts w:ascii="Tahoma" w:hAnsi="Tahoma" w:cs="Tahoma"/>
      <w:sz w:val="16"/>
      <w:szCs w:val="16"/>
    </w:rPr>
  </w:style>
  <w:style w:type="character" w:customStyle="1" w:styleId="BalloonTextChar">
    <w:name w:val="Balloon Text Char"/>
    <w:link w:val="BalloonText"/>
    <w:semiHidden/>
    <w:rsid w:val="001739F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739F1"/>
    <w:rPr>
      <w:sz w:val="16"/>
      <w:szCs w:val="16"/>
    </w:rPr>
  </w:style>
  <w:style w:type="paragraph" w:styleId="CommentText">
    <w:name w:val="annotation text"/>
    <w:basedOn w:val="Normal"/>
    <w:link w:val="CommentTextChar1"/>
    <w:uiPriority w:val="99"/>
    <w:unhideWhenUsed/>
    <w:rsid w:val="001739F1"/>
  </w:style>
  <w:style w:type="character" w:customStyle="1" w:styleId="CommentTextChar">
    <w:name w:val="Comment Text Char"/>
    <w:uiPriority w:val="99"/>
    <w:rsid w:val="001739F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739F1"/>
    <w:rPr>
      <w:b/>
      <w:bCs/>
    </w:rPr>
  </w:style>
  <w:style w:type="character" w:customStyle="1" w:styleId="CommentSubjectChar">
    <w:name w:val="Comment Subject Char"/>
    <w:semiHidden/>
    <w:rsid w:val="001739F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739F1"/>
    <w:pPr>
      <w:spacing w:before="100" w:beforeAutospacing="1" w:after="100" w:afterAutospacing="1"/>
    </w:pPr>
  </w:style>
  <w:style w:type="paragraph" w:styleId="TOC1">
    <w:name w:val="toc 1"/>
    <w:basedOn w:val="Normal"/>
    <w:next w:val="Normal"/>
    <w:autoRedefine/>
    <w:rsid w:val="001739F1"/>
    <w:rPr>
      <w:rFonts w:ascii="Arial" w:hAnsi="Arial"/>
    </w:rPr>
  </w:style>
  <w:style w:type="paragraph" w:styleId="TOC2">
    <w:name w:val="toc 2"/>
    <w:basedOn w:val="Normal"/>
    <w:next w:val="Normal"/>
    <w:autoRedefine/>
    <w:rsid w:val="001739F1"/>
    <w:pPr>
      <w:ind w:left="240"/>
    </w:pPr>
    <w:rPr>
      <w:rFonts w:ascii="Arial" w:hAnsi="Arial"/>
    </w:rPr>
  </w:style>
  <w:style w:type="paragraph" w:customStyle="1" w:styleId="Frontpagetitle">
    <w:name w:val="Front page title"/>
    <w:basedOn w:val="Normal"/>
    <w:rsid w:val="001739F1"/>
    <w:pPr>
      <w:spacing w:after="240"/>
      <w:jc w:val="center"/>
    </w:pPr>
    <w:rPr>
      <w:rFonts w:ascii="Arial" w:hAnsi="Arial" w:cs="Arial"/>
      <w:sz w:val="48"/>
      <w:szCs w:val="48"/>
      <w:lang w:val="en-US"/>
    </w:rPr>
  </w:style>
  <w:style w:type="paragraph" w:customStyle="1" w:styleId="Frontpagedate">
    <w:name w:val="Front page date"/>
    <w:basedOn w:val="Normal"/>
    <w:rsid w:val="001739F1"/>
    <w:pPr>
      <w:spacing w:after="240"/>
    </w:pPr>
    <w:rPr>
      <w:rFonts w:ascii="Arial" w:hAnsi="Arial" w:cs="Arial"/>
      <w:sz w:val="32"/>
      <w:szCs w:val="32"/>
      <w:lang w:val="en-US"/>
    </w:rPr>
  </w:style>
  <w:style w:type="paragraph" w:customStyle="1" w:styleId="Frontpageguidelinenumber">
    <w:name w:val="Front page guideline number"/>
    <w:basedOn w:val="Normal"/>
    <w:rsid w:val="001739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739F1"/>
    <w:pPr>
      <w:outlineLvl w:val="9"/>
    </w:pPr>
    <w:rPr>
      <w:lang w:bidi="en-US"/>
    </w:rPr>
  </w:style>
  <w:style w:type="paragraph" w:styleId="TOC3">
    <w:name w:val="toc 3"/>
    <w:basedOn w:val="Normal"/>
    <w:next w:val="Normal"/>
    <w:autoRedefine/>
    <w:semiHidden/>
    <w:rsid w:val="001739F1"/>
    <w:pPr>
      <w:ind w:left="480"/>
    </w:pPr>
    <w:rPr>
      <w:rFonts w:ascii="Arial" w:hAnsi="Arial"/>
    </w:rPr>
  </w:style>
  <w:style w:type="character" w:styleId="FollowedHyperlink">
    <w:name w:val="FollowedHyperlink"/>
    <w:unhideWhenUsed/>
    <w:rsid w:val="001739F1"/>
    <w:rPr>
      <w:color w:val="800080"/>
      <w:u w:val="single"/>
    </w:rPr>
  </w:style>
  <w:style w:type="paragraph" w:customStyle="1" w:styleId="Level2text">
    <w:name w:val="Level 2 text"/>
    <w:basedOn w:val="Numberedheading2"/>
    <w:locked/>
    <w:rsid w:val="001739F1"/>
    <w:pPr>
      <w:numPr>
        <w:ilvl w:val="1"/>
        <w:numId w:val="1"/>
      </w:numPr>
    </w:pPr>
    <w:rPr>
      <w:b/>
      <w:i/>
    </w:rPr>
  </w:style>
  <w:style w:type="paragraph" w:styleId="FootnoteText">
    <w:name w:val="footnote text"/>
    <w:basedOn w:val="Normal"/>
    <w:link w:val="FootnoteTextChar1"/>
    <w:semiHidden/>
    <w:rsid w:val="001739F1"/>
    <w:rPr>
      <w:rFonts w:ascii="Arial" w:eastAsia="Calibri" w:hAnsi="Arial"/>
    </w:rPr>
  </w:style>
  <w:style w:type="character" w:customStyle="1" w:styleId="FootnoteTextChar">
    <w:name w:val="Footnote Text Char"/>
    <w:rsid w:val="001739F1"/>
    <w:rPr>
      <w:rFonts w:ascii="Arial" w:eastAsia="Times New Roman" w:hAnsi="Arial"/>
    </w:rPr>
  </w:style>
  <w:style w:type="character" w:styleId="FootnoteReference">
    <w:name w:val="footnote reference"/>
    <w:rsid w:val="001739F1"/>
    <w:rPr>
      <w:vertAlign w:val="superscript"/>
    </w:rPr>
  </w:style>
  <w:style w:type="paragraph" w:customStyle="1" w:styleId="Paragraph">
    <w:name w:val="Paragraph"/>
    <w:basedOn w:val="Paragraphnonumbers"/>
    <w:uiPriority w:val="4"/>
    <w:qFormat/>
    <w:rsid w:val="001739F1"/>
    <w:pPr>
      <w:numPr>
        <w:numId w:val="9"/>
      </w:numPr>
      <w:tabs>
        <w:tab w:val="left" w:pos="567"/>
      </w:tabs>
    </w:pPr>
  </w:style>
  <w:style w:type="paragraph" w:customStyle="1" w:styleId="Bullets">
    <w:name w:val="Bullets"/>
    <w:basedOn w:val="Normal"/>
    <w:uiPriority w:val="5"/>
    <w:qFormat/>
    <w:rsid w:val="001739F1"/>
    <w:pPr>
      <w:numPr>
        <w:numId w:val="16"/>
      </w:numPr>
      <w:spacing w:after="120" w:line="276" w:lineRule="auto"/>
    </w:pPr>
    <w:rPr>
      <w:rFonts w:ascii="Arial" w:hAnsi="Arial"/>
    </w:rPr>
  </w:style>
  <w:style w:type="paragraph" w:customStyle="1" w:styleId="Subbullets">
    <w:name w:val="Sub bullets"/>
    <w:basedOn w:val="Normal"/>
    <w:uiPriority w:val="6"/>
    <w:qFormat/>
    <w:rsid w:val="001739F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739F1"/>
    <w:pPr>
      <w:spacing w:after="240" w:line="276" w:lineRule="auto"/>
    </w:pPr>
    <w:rPr>
      <w:rFonts w:ascii="Arial" w:hAnsi="Arial"/>
    </w:rPr>
  </w:style>
  <w:style w:type="paragraph" w:styleId="TOAHeading">
    <w:name w:val="toa heading"/>
    <w:basedOn w:val="Normal"/>
    <w:next w:val="Normal"/>
    <w:semiHidden/>
    <w:rsid w:val="001739F1"/>
    <w:pPr>
      <w:spacing w:before="120"/>
    </w:pPr>
    <w:rPr>
      <w:rFonts w:ascii="Arial" w:hAnsi="Arial"/>
      <w:b/>
      <w:bCs/>
    </w:rPr>
  </w:style>
  <w:style w:type="paragraph" w:styleId="TOC4">
    <w:name w:val="toc 4"/>
    <w:basedOn w:val="Normal"/>
    <w:next w:val="Normal"/>
    <w:autoRedefine/>
    <w:semiHidden/>
    <w:rsid w:val="001739F1"/>
    <w:pPr>
      <w:ind w:left="720"/>
    </w:pPr>
    <w:rPr>
      <w:rFonts w:ascii="Arial" w:hAnsi="Arial"/>
    </w:rPr>
  </w:style>
  <w:style w:type="paragraph" w:customStyle="1" w:styleId="Bulletindent1alast">
    <w:name w:val="Bullet indent 1a last"/>
    <w:basedOn w:val="Bulletindent1last"/>
    <w:qFormat/>
    <w:rsid w:val="001739F1"/>
    <w:pPr>
      <w:ind w:left="2552"/>
    </w:pPr>
  </w:style>
  <w:style w:type="paragraph" w:customStyle="1" w:styleId="Bulletindent2a">
    <w:name w:val="Bullet indent 2a"/>
    <w:basedOn w:val="Normal"/>
    <w:qFormat/>
    <w:rsid w:val="001739F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739F1"/>
    <w:pPr>
      <w:tabs>
        <w:tab w:val="num" w:pos="2552"/>
      </w:tabs>
      <w:ind w:left="2552"/>
    </w:pPr>
  </w:style>
  <w:style w:type="paragraph" w:customStyle="1" w:styleId="Frontpagegreentitle">
    <w:name w:val="Front page green title"/>
    <w:basedOn w:val="Normal"/>
    <w:rsid w:val="001739F1"/>
    <w:pPr>
      <w:jc w:val="center"/>
    </w:pPr>
    <w:rPr>
      <w:rFonts w:ascii="Arial" w:hAnsi="Arial" w:cs="Arial"/>
      <w:b/>
      <w:color w:val="009999"/>
      <w:sz w:val="64"/>
      <w:szCs w:val="64"/>
    </w:rPr>
  </w:style>
  <w:style w:type="paragraph" w:styleId="TOC5">
    <w:name w:val="toc 5"/>
    <w:basedOn w:val="Normal"/>
    <w:next w:val="Normal"/>
    <w:autoRedefine/>
    <w:semiHidden/>
    <w:unhideWhenUsed/>
    <w:rsid w:val="001739F1"/>
    <w:pPr>
      <w:spacing w:after="100" w:line="276" w:lineRule="auto"/>
      <w:ind w:left="880"/>
    </w:pPr>
  </w:style>
  <w:style w:type="paragraph" w:styleId="TOC6">
    <w:name w:val="toc 6"/>
    <w:basedOn w:val="Normal"/>
    <w:next w:val="Normal"/>
    <w:autoRedefine/>
    <w:semiHidden/>
    <w:unhideWhenUsed/>
    <w:rsid w:val="001739F1"/>
    <w:pPr>
      <w:spacing w:after="100" w:line="276" w:lineRule="auto"/>
      <w:ind w:left="1100"/>
    </w:pPr>
  </w:style>
  <w:style w:type="paragraph" w:styleId="TOC7">
    <w:name w:val="toc 7"/>
    <w:basedOn w:val="Normal"/>
    <w:next w:val="Normal"/>
    <w:autoRedefine/>
    <w:semiHidden/>
    <w:unhideWhenUsed/>
    <w:rsid w:val="001739F1"/>
    <w:pPr>
      <w:spacing w:after="100" w:line="276" w:lineRule="auto"/>
      <w:ind w:left="1320"/>
    </w:pPr>
  </w:style>
  <w:style w:type="paragraph" w:styleId="TOC8">
    <w:name w:val="toc 8"/>
    <w:basedOn w:val="Normal"/>
    <w:next w:val="Normal"/>
    <w:autoRedefine/>
    <w:semiHidden/>
    <w:unhideWhenUsed/>
    <w:rsid w:val="001739F1"/>
    <w:pPr>
      <w:spacing w:after="100" w:line="276" w:lineRule="auto"/>
      <w:ind w:left="1540"/>
    </w:pPr>
  </w:style>
  <w:style w:type="paragraph" w:styleId="TOC9">
    <w:name w:val="toc 9"/>
    <w:basedOn w:val="Normal"/>
    <w:next w:val="Normal"/>
    <w:autoRedefine/>
    <w:semiHidden/>
    <w:unhideWhenUsed/>
    <w:rsid w:val="001739F1"/>
    <w:pPr>
      <w:spacing w:after="100" w:line="276" w:lineRule="auto"/>
      <w:ind w:left="1760"/>
    </w:pPr>
  </w:style>
  <w:style w:type="paragraph" w:customStyle="1" w:styleId="Question">
    <w:name w:val="Question"/>
    <w:basedOn w:val="References"/>
    <w:qFormat/>
    <w:rsid w:val="001739F1"/>
    <w:pPr>
      <w:keepNext/>
      <w:numPr>
        <w:numId w:val="2"/>
      </w:numPr>
    </w:pPr>
    <w:rPr>
      <w:b/>
    </w:rPr>
  </w:style>
  <w:style w:type="paragraph" w:styleId="EndnoteText">
    <w:name w:val="endnote text"/>
    <w:basedOn w:val="Normal"/>
    <w:link w:val="EndnoteTextChar1"/>
    <w:semiHidden/>
    <w:unhideWhenUsed/>
    <w:rsid w:val="001739F1"/>
  </w:style>
  <w:style w:type="character" w:customStyle="1" w:styleId="EndnoteTextChar">
    <w:name w:val="Endnote Text Char"/>
    <w:semiHidden/>
    <w:rsid w:val="001739F1"/>
    <w:rPr>
      <w:rFonts w:ascii="Times New Roman" w:eastAsia="Times New Roman" w:hAnsi="Times New Roman"/>
    </w:rPr>
  </w:style>
  <w:style w:type="character" w:styleId="EndnoteReference">
    <w:name w:val="endnote reference"/>
    <w:semiHidden/>
    <w:unhideWhenUsed/>
    <w:rsid w:val="001739F1"/>
    <w:rPr>
      <w:vertAlign w:val="superscript"/>
    </w:rPr>
  </w:style>
  <w:style w:type="paragraph" w:customStyle="1" w:styleId="Style4">
    <w:name w:val="Style4"/>
    <w:basedOn w:val="Normal"/>
    <w:autoRedefine/>
    <w:rsid w:val="001739F1"/>
    <w:pPr>
      <w:keepNext/>
      <w:spacing w:line="360" w:lineRule="auto"/>
      <w:ind w:left="567"/>
    </w:pPr>
    <w:rPr>
      <w:rFonts w:ascii="Arial" w:hAnsi="Arial" w:cs="Arial"/>
    </w:rPr>
  </w:style>
  <w:style w:type="paragraph" w:customStyle="1" w:styleId="Bodytextosteo">
    <w:name w:val="Body text osteo"/>
    <w:basedOn w:val="BodyText"/>
    <w:autoRedefine/>
    <w:rsid w:val="001739F1"/>
    <w:pPr>
      <w:spacing w:after="0" w:line="360" w:lineRule="auto"/>
      <w:ind w:left="567"/>
    </w:pPr>
    <w:rPr>
      <w:rFonts w:ascii="Arial" w:hAnsi="Arial" w:cs="Arial"/>
    </w:rPr>
  </w:style>
  <w:style w:type="paragraph" w:styleId="BodyText">
    <w:name w:val="Body Text"/>
    <w:basedOn w:val="Normal"/>
    <w:link w:val="BodyTextChar"/>
    <w:rsid w:val="001739F1"/>
    <w:pPr>
      <w:spacing w:after="120"/>
    </w:pPr>
  </w:style>
  <w:style w:type="paragraph" w:customStyle="1" w:styleId="bulletdoubleindent">
    <w:name w:val="bullet double indent"/>
    <w:basedOn w:val="Normal"/>
    <w:autoRedefine/>
    <w:rsid w:val="001739F1"/>
    <w:pPr>
      <w:numPr>
        <w:numId w:val="3"/>
      </w:numPr>
      <w:spacing w:line="360" w:lineRule="auto"/>
    </w:pPr>
    <w:rPr>
      <w:rFonts w:ascii="Arial" w:eastAsia="Calibri" w:hAnsi="Arial"/>
    </w:rPr>
  </w:style>
  <w:style w:type="paragraph" w:customStyle="1" w:styleId="bulletindentosteo">
    <w:name w:val="bullet indent osteo"/>
    <w:basedOn w:val="Normal"/>
    <w:autoRedefine/>
    <w:rsid w:val="001739F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739F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739F1"/>
    <w:pPr>
      <w:spacing w:after="0" w:line="360" w:lineRule="auto"/>
      <w:ind w:left="567"/>
    </w:pPr>
  </w:style>
  <w:style w:type="paragraph" w:customStyle="1" w:styleId="subheadingosteo">
    <w:name w:val="subheading osteo"/>
    <w:basedOn w:val="Heading6"/>
    <w:autoRedefine/>
    <w:rsid w:val="001739F1"/>
    <w:pPr>
      <w:keepNext/>
      <w:spacing w:line="360" w:lineRule="auto"/>
      <w:ind w:left="539"/>
    </w:pPr>
    <w:rPr>
      <w:rFonts w:ascii="Arial" w:hAnsi="Arial"/>
    </w:rPr>
  </w:style>
  <w:style w:type="paragraph" w:customStyle="1" w:styleId="bulletdoubleindentosteo">
    <w:name w:val="bullet double indent osteo"/>
    <w:basedOn w:val="bulletindentosteo"/>
    <w:autoRedefine/>
    <w:rsid w:val="001739F1"/>
    <w:pPr>
      <w:numPr>
        <w:numId w:val="5"/>
      </w:numPr>
    </w:pPr>
    <w:rPr>
      <w:rFonts w:eastAsia="Times New Roman"/>
      <w:lang w:eastAsia="en-GB"/>
    </w:rPr>
  </w:style>
  <w:style w:type="paragraph" w:styleId="ListBullet3">
    <w:name w:val="List Bullet 3"/>
    <w:basedOn w:val="Normal"/>
    <w:autoRedefine/>
    <w:rsid w:val="001739F1"/>
  </w:style>
  <w:style w:type="paragraph" w:customStyle="1" w:styleId="Bulletosteotable">
    <w:name w:val="Bullet osteo table"/>
    <w:basedOn w:val="bulletosteoporosis"/>
    <w:autoRedefine/>
    <w:rsid w:val="001739F1"/>
    <w:pPr>
      <w:numPr>
        <w:numId w:val="6"/>
      </w:numPr>
    </w:pPr>
  </w:style>
  <w:style w:type="paragraph" w:customStyle="1" w:styleId="StyleHeading2Before0ptAfter0ptLinespacing15l">
    <w:name w:val="Style Heading 2 + Before:  0 pt After:  0 pt Line spacing:  1.5 l..."/>
    <w:basedOn w:val="Heading2"/>
    <w:autoRedefine/>
    <w:rsid w:val="001739F1"/>
    <w:pPr>
      <w:spacing w:after="0" w:line="360" w:lineRule="auto"/>
    </w:pPr>
    <w:rPr>
      <w:szCs w:val="20"/>
      <w:lang w:val="en-US"/>
    </w:rPr>
  </w:style>
  <w:style w:type="paragraph" w:customStyle="1" w:styleId="NCC-ACChaptertitle">
    <w:name w:val="NCC-AC Chapter title"/>
    <w:basedOn w:val="Numberedheading1"/>
    <w:next w:val="Normal"/>
    <w:autoRedefine/>
    <w:rsid w:val="001739F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739F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739F1"/>
    <w:pPr>
      <w:numPr>
        <w:ilvl w:val="3"/>
        <w:numId w:val="8"/>
      </w:numPr>
    </w:pPr>
    <w:rPr>
      <w:b w:val="0"/>
    </w:rPr>
  </w:style>
  <w:style w:type="numbering" w:customStyle="1" w:styleId="NiceNumbering">
    <w:name w:val="Nice Numbering"/>
    <w:rsid w:val="001739F1"/>
    <w:pPr>
      <w:numPr>
        <w:numId w:val="8"/>
      </w:numPr>
    </w:pPr>
  </w:style>
  <w:style w:type="character" w:customStyle="1" w:styleId="FootnoteTextChar1">
    <w:name w:val="Footnote Text Char1"/>
    <w:link w:val="FootnoteText"/>
    <w:semiHidden/>
    <w:rsid w:val="001739F1"/>
    <w:rPr>
      <w:rFonts w:ascii="Arial" w:hAnsi="Arial"/>
      <w:kern w:val="2"/>
      <w:lang w:eastAsia="en-US"/>
      <w14:ligatures w14:val="standardContextual"/>
    </w:rPr>
  </w:style>
  <w:style w:type="table" w:styleId="TableGrid">
    <w:name w:val="Table Grid"/>
    <w:basedOn w:val="TableNormal"/>
    <w:rsid w:val="001739F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739F1"/>
    <w:rPr>
      <w:rFonts w:ascii="Arial" w:hAnsi="Arial" w:cs="Arial"/>
      <w:color w:val="FFFFFF"/>
      <w:sz w:val="32"/>
      <w:szCs w:val="32"/>
    </w:rPr>
  </w:style>
  <w:style w:type="paragraph" w:customStyle="1" w:styleId="Default">
    <w:name w:val="Default"/>
    <w:rsid w:val="001739F1"/>
    <w:pPr>
      <w:autoSpaceDE w:val="0"/>
      <w:autoSpaceDN w:val="0"/>
      <w:adjustRightInd w:val="0"/>
    </w:pPr>
    <w:rPr>
      <w:rFonts w:eastAsia="Times New Roman" w:cs="Calibri"/>
      <w:color w:val="000000"/>
    </w:rPr>
  </w:style>
  <w:style w:type="paragraph" w:customStyle="1" w:styleId="PGDNormal">
    <w:name w:val="PGD Normal"/>
    <w:basedOn w:val="NICEnormal"/>
    <w:rsid w:val="001739F1"/>
    <w:pPr>
      <w:spacing w:line="240" w:lineRule="auto"/>
    </w:pPr>
    <w:rPr>
      <w:sz w:val="22"/>
    </w:rPr>
  </w:style>
  <w:style w:type="paragraph" w:customStyle="1" w:styleId="TabletextIPoverviewevidence">
    <w:name w:val="Table text IP overview evidence"/>
    <w:basedOn w:val="Tabletext"/>
    <w:rsid w:val="001739F1"/>
    <w:rPr>
      <w:sz w:val="18"/>
    </w:rPr>
  </w:style>
  <w:style w:type="character" w:customStyle="1" w:styleId="Heading5Char">
    <w:name w:val="Heading 5 Char"/>
    <w:link w:val="Heading5"/>
    <w:uiPriority w:val="9"/>
    <w:rsid w:val="001739F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739F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739F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739F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739F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739F1"/>
    <w:pPr>
      <w:spacing w:after="600"/>
    </w:pPr>
    <w:rPr>
      <w:rFonts w:ascii="Cambria" w:hAnsi="Cambria"/>
      <w:i/>
      <w:iCs/>
      <w:spacing w:val="13"/>
    </w:rPr>
  </w:style>
  <w:style w:type="character" w:customStyle="1" w:styleId="SubtitleChar">
    <w:name w:val="Subtitle Char"/>
    <w:link w:val="Subtitle"/>
    <w:uiPriority w:val="11"/>
    <w:rsid w:val="001739F1"/>
    <w:rPr>
      <w:rFonts w:ascii="Cambria" w:eastAsiaTheme="minorHAnsi" w:hAnsi="Cambria"/>
      <w:i/>
      <w:iCs/>
      <w:spacing w:val="13"/>
      <w:kern w:val="2"/>
      <w:lang w:eastAsia="en-US"/>
      <w14:ligatures w14:val="standardContextual"/>
    </w:rPr>
  </w:style>
  <w:style w:type="character" w:styleId="Strong">
    <w:name w:val="Strong"/>
    <w:uiPriority w:val="22"/>
    <w:qFormat/>
    <w:rsid w:val="001739F1"/>
    <w:rPr>
      <w:b/>
      <w:bCs/>
    </w:rPr>
  </w:style>
  <w:style w:type="character" w:styleId="Emphasis">
    <w:name w:val="Emphasis"/>
    <w:uiPriority w:val="20"/>
    <w:qFormat/>
    <w:rsid w:val="001739F1"/>
    <w:rPr>
      <w:b/>
      <w:bCs/>
      <w:i/>
      <w:iCs/>
      <w:spacing w:val="10"/>
      <w:bdr w:val="none" w:sz="0" w:space="0" w:color="auto"/>
      <w:shd w:val="clear" w:color="auto" w:fill="auto"/>
    </w:rPr>
  </w:style>
  <w:style w:type="paragraph" w:styleId="NoSpacing">
    <w:name w:val="No Spacing"/>
    <w:basedOn w:val="Normal"/>
    <w:uiPriority w:val="1"/>
    <w:qFormat/>
    <w:rsid w:val="001739F1"/>
    <w:rPr>
      <w:rFonts w:eastAsia="Calibri"/>
    </w:rPr>
  </w:style>
  <w:style w:type="paragraph" w:styleId="Quote">
    <w:name w:val="Quote"/>
    <w:basedOn w:val="Normal"/>
    <w:next w:val="Normal"/>
    <w:link w:val="QuoteChar"/>
    <w:uiPriority w:val="29"/>
    <w:qFormat/>
    <w:rsid w:val="001739F1"/>
    <w:pPr>
      <w:spacing w:before="200"/>
      <w:ind w:left="360" w:right="360"/>
    </w:pPr>
    <w:rPr>
      <w:i/>
      <w:iCs/>
    </w:rPr>
  </w:style>
  <w:style w:type="character" w:customStyle="1" w:styleId="QuoteChar">
    <w:name w:val="Quote Char"/>
    <w:link w:val="Quote"/>
    <w:uiPriority w:val="29"/>
    <w:rsid w:val="001739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739F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739F1"/>
    <w:rPr>
      <w:rFonts w:eastAsiaTheme="minorHAnsi"/>
      <w:b/>
      <w:bCs/>
      <w:i/>
      <w:iCs/>
      <w:kern w:val="2"/>
      <w:lang w:eastAsia="en-US"/>
      <w14:ligatures w14:val="standardContextual"/>
    </w:rPr>
  </w:style>
  <w:style w:type="character" w:styleId="SubtleEmphasis">
    <w:name w:val="Subtle Emphasis"/>
    <w:uiPriority w:val="19"/>
    <w:qFormat/>
    <w:rsid w:val="001739F1"/>
    <w:rPr>
      <w:i/>
      <w:iCs/>
    </w:rPr>
  </w:style>
  <w:style w:type="character" w:styleId="IntenseEmphasis">
    <w:name w:val="Intense Emphasis"/>
    <w:uiPriority w:val="21"/>
    <w:qFormat/>
    <w:rsid w:val="001739F1"/>
    <w:rPr>
      <w:b/>
      <w:bCs/>
    </w:rPr>
  </w:style>
  <w:style w:type="character" w:styleId="SubtleReference">
    <w:name w:val="Subtle Reference"/>
    <w:uiPriority w:val="31"/>
    <w:qFormat/>
    <w:rsid w:val="001739F1"/>
    <w:rPr>
      <w:smallCaps/>
    </w:rPr>
  </w:style>
  <w:style w:type="character" w:styleId="IntenseReference">
    <w:name w:val="Intense Reference"/>
    <w:uiPriority w:val="32"/>
    <w:qFormat/>
    <w:rsid w:val="001739F1"/>
    <w:rPr>
      <w:smallCaps/>
      <w:spacing w:val="5"/>
      <w:u w:val="single"/>
    </w:rPr>
  </w:style>
  <w:style w:type="character" w:styleId="BookTitle">
    <w:name w:val="Book Title"/>
    <w:uiPriority w:val="33"/>
    <w:qFormat/>
    <w:rsid w:val="001739F1"/>
    <w:rPr>
      <w:i/>
      <w:iCs/>
      <w:smallCaps/>
      <w:spacing w:val="5"/>
    </w:rPr>
  </w:style>
  <w:style w:type="paragraph" w:customStyle="1" w:styleId="NICETitle2">
    <w:name w:val="NICE Title 2"/>
    <w:basedOn w:val="Normal"/>
    <w:qFormat/>
    <w:rsid w:val="001739F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739F1"/>
    <w:pPr>
      <w:spacing w:after="120" w:line="480" w:lineRule="auto"/>
    </w:pPr>
  </w:style>
  <w:style w:type="character" w:customStyle="1" w:styleId="BodyText2Char">
    <w:name w:val="Body Text 2 Char"/>
    <w:link w:val="BodyText2"/>
    <w:uiPriority w:val="99"/>
    <w:semiHidden/>
    <w:rsid w:val="001739F1"/>
    <w:rPr>
      <w:rFonts w:eastAsiaTheme="minorHAnsi"/>
      <w:kern w:val="2"/>
      <w:lang w:eastAsia="en-US"/>
      <w14:ligatures w14:val="standardContextual"/>
    </w:rPr>
  </w:style>
  <w:style w:type="character" w:styleId="UnresolvedMention">
    <w:name w:val="Unresolved Mention"/>
    <w:uiPriority w:val="99"/>
    <w:semiHidden/>
    <w:unhideWhenUsed/>
    <w:rsid w:val="001739F1"/>
    <w:rPr>
      <w:color w:val="605E5C"/>
      <w:shd w:val="clear" w:color="auto" w:fill="E1DFDD"/>
    </w:rPr>
  </w:style>
  <w:style w:type="paragraph" w:customStyle="1" w:styleId="PGDTitle2">
    <w:name w:val="PGD Title 2"/>
    <w:basedOn w:val="Normal"/>
    <w:rsid w:val="001739F1"/>
    <w:pPr>
      <w:jc w:val="center"/>
    </w:pPr>
    <w:rPr>
      <w:rFonts w:ascii="Arial" w:hAnsi="Arial"/>
      <w:b/>
      <w:sz w:val="36"/>
      <w:szCs w:val="36"/>
    </w:rPr>
  </w:style>
  <w:style w:type="paragraph" w:customStyle="1" w:styleId="PGDTitle1">
    <w:name w:val="PGD Title 1"/>
    <w:basedOn w:val="Normal"/>
    <w:rsid w:val="001739F1"/>
    <w:pPr>
      <w:jc w:val="center"/>
    </w:pPr>
    <w:rPr>
      <w:rFonts w:ascii="Arial" w:hAnsi="Arial"/>
      <w:b/>
      <w:bCs/>
      <w:sz w:val="44"/>
    </w:rPr>
  </w:style>
  <w:style w:type="character" w:customStyle="1" w:styleId="PGDVersionNumber">
    <w:name w:val="PGD Version Number"/>
    <w:basedOn w:val="DefaultParagraphFont"/>
    <w:qFormat/>
    <w:rsid w:val="001739F1"/>
    <w:rPr>
      <w:rFonts w:ascii="Arial" w:hAnsi="Arial"/>
      <w:sz w:val="28"/>
    </w:rPr>
  </w:style>
  <w:style w:type="paragraph" w:customStyle="1" w:styleId="TableHeaderRow">
    <w:name w:val="Table Header Row"/>
    <w:basedOn w:val="Normal"/>
    <w:rsid w:val="001739F1"/>
    <w:rPr>
      <w:rFonts w:ascii="Arial" w:hAnsi="Arial"/>
      <w:b/>
      <w:bCs/>
    </w:rPr>
  </w:style>
  <w:style w:type="character" w:customStyle="1" w:styleId="PGDNormalBold">
    <w:name w:val="PGD Normal Bold"/>
    <w:basedOn w:val="DefaultParagraphFont"/>
    <w:rsid w:val="001739F1"/>
    <w:rPr>
      <w:rFonts w:ascii="Arial" w:hAnsi="Arial"/>
      <w:b/>
      <w:bCs/>
    </w:rPr>
  </w:style>
  <w:style w:type="character" w:customStyle="1" w:styleId="TableHeaderColumn">
    <w:name w:val="Table Header Column"/>
    <w:basedOn w:val="DefaultParagraphFont"/>
    <w:rsid w:val="001739F1"/>
    <w:rPr>
      <w:rFonts w:ascii="Arial" w:hAnsi="Arial"/>
      <w:b/>
      <w:bCs/>
      <w:sz w:val="20"/>
    </w:rPr>
  </w:style>
  <w:style w:type="paragraph" w:customStyle="1" w:styleId="Title1">
    <w:name w:val="Title 1"/>
    <w:basedOn w:val="Title"/>
    <w:qFormat/>
    <w:rsid w:val="001739F1"/>
    <w:rPr>
      <w:rFonts w:ascii="Arial" w:hAnsi="Arial" w:cs="Arial"/>
      <w:sz w:val="44"/>
      <w:szCs w:val="44"/>
    </w:rPr>
  </w:style>
  <w:style w:type="paragraph" w:customStyle="1" w:styleId="Title2">
    <w:name w:val="Title 2"/>
    <w:basedOn w:val="Title"/>
    <w:qFormat/>
    <w:rsid w:val="001739F1"/>
    <w:rPr>
      <w:rFonts w:ascii="Arial" w:hAnsi="Arial" w:cs="Arial"/>
      <w:sz w:val="40"/>
      <w:szCs w:val="40"/>
    </w:rPr>
  </w:style>
  <w:style w:type="paragraph" w:customStyle="1" w:styleId="PGDHeading2">
    <w:name w:val="PGD Heading 2"/>
    <w:basedOn w:val="Heading2"/>
    <w:qFormat/>
    <w:rsid w:val="001739F1"/>
    <w:rPr>
      <w:rFonts w:ascii="Arial" w:hAnsi="Arial" w:cs="Arial"/>
      <w:color w:val="auto"/>
      <w:sz w:val="28"/>
      <w:szCs w:val="28"/>
    </w:rPr>
  </w:style>
  <w:style w:type="table" w:customStyle="1" w:styleId="Tableheading">
    <w:name w:val="Table heading"/>
    <w:basedOn w:val="TableNormal"/>
    <w:uiPriority w:val="99"/>
    <w:rsid w:val="001739F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739F1"/>
    <w:pPr>
      <w:spacing w:line="240" w:lineRule="auto"/>
    </w:pPr>
  </w:style>
  <w:style w:type="paragraph" w:customStyle="1" w:styleId="PGDtablebullet0">
    <w:name w:val="PGD table bullet"/>
    <w:basedOn w:val="Normal"/>
    <w:rsid w:val="001739F1"/>
    <w:rPr>
      <w:rFonts w:ascii="Arial" w:eastAsia="Times New Roman" w:hAnsi="Arial"/>
    </w:rPr>
  </w:style>
  <w:style w:type="numbering" w:customStyle="1" w:styleId="PGDTableBullet">
    <w:name w:val="PGD Table Bullet"/>
    <w:basedOn w:val="NoList"/>
    <w:uiPriority w:val="99"/>
    <w:rsid w:val="001739F1"/>
    <w:pPr>
      <w:numPr>
        <w:numId w:val="10"/>
      </w:numPr>
    </w:pPr>
  </w:style>
  <w:style w:type="paragraph" w:customStyle="1" w:styleId="StyleLatinArialAfter0ptLinespacingsingle">
    <w:name w:val="Style (Latin) Arial After:  0 pt Line spacing:  single"/>
    <w:basedOn w:val="Normal"/>
    <w:rsid w:val="001739F1"/>
    <w:rPr>
      <w:rFonts w:ascii="Arial" w:eastAsia="Times New Roman" w:hAnsi="Arial"/>
    </w:rPr>
  </w:style>
  <w:style w:type="paragraph" w:customStyle="1" w:styleId="PGDlogo">
    <w:name w:val="PGD logo"/>
    <w:basedOn w:val="NICEnormal"/>
    <w:rsid w:val="001739F1"/>
    <w:pPr>
      <w:jc w:val="right"/>
    </w:pPr>
  </w:style>
  <w:style w:type="paragraph" w:customStyle="1" w:styleId="PGDLogo0">
    <w:name w:val="PGD Logo"/>
    <w:basedOn w:val="PGDNormal"/>
    <w:rsid w:val="001739F1"/>
    <w:pPr>
      <w:jc w:val="right"/>
    </w:pPr>
  </w:style>
  <w:style w:type="paragraph" w:customStyle="1" w:styleId="PGDVersion">
    <w:name w:val="PGD Version"/>
    <w:basedOn w:val="Normal"/>
    <w:rsid w:val="001739F1"/>
    <w:pPr>
      <w:jc w:val="center"/>
    </w:pPr>
    <w:rPr>
      <w:rFonts w:ascii="Arial" w:eastAsia="Times New Roman" w:hAnsi="Arial"/>
      <w:sz w:val="28"/>
    </w:rPr>
  </w:style>
  <w:style w:type="numbering" w:customStyle="1" w:styleId="PGDtablebullet2">
    <w:name w:val="PGD table bullet 2"/>
    <w:basedOn w:val="NoList"/>
    <w:rsid w:val="001739F1"/>
    <w:pPr>
      <w:numPr>
        <w:numId w:val="12"/>
      </w:numPr>
    </w:pPr>
  </w:style>
  <w:style w:type="numbering" w:customStyle="1" w:styleId="PGDbullet2">
    <w:name w:val="PGD bullet 2"/>
    <w:basedOn w:val="NoList"/>
    <w:rsid w:val="001739F1"/>
    <w:pPr>
      <w:numPr>
        <w:numId w:val="13"/>
      </w:numPr>
    </w:pPr>
  </w:style>
  <w:style w:type="numbering" w:customStyle="1" w:styleId="PGDtablebullet1">
    <w:name w:val="PGD table bullet 1"/>
    <w:basedOn w:val="NoList"/>
    <w:rsid w:val="001739F1"/>
    <w:pPr>
      <w:numPr>
        <w:numId w:val="14"/>
      </w:numPr>
    </w:pPr>
  </w:style>
  <w:style w:type="character" w:customStyle="1" w:styleId="BodyTextChar">
    <w:name w:val="Body Text Char"/>
    <w:basedOn w:val="DefaultParagraphFont"/>
    <w:link w:val="BodyText"/>
    <w:rsid w:val="001739F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739F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739F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739F1"/>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dicines.org.uk/emc" TargetMode="External"/><Relationship Id="rId18" Type="http://schemas.openxmlformats.org/officeDocument/2006/relationships/hyperlink" Target="https://www.cosrh.org/Public/Documents/fsrh-ceu-statement-contraception-for-women-using-known-teratogenic-drugs.aspx" TargetMode="External"/><Relationship Id="rId26" Type="http://schemas.openxmlformats.org/officeDocument/2006/relationships/hyperlink" Target="https://www.medicines.org.uk/emc" TargetMode="External"/><Relationship Id="rId39" Type="http://schemas.openxmlformats.org/officeDocument/2006/relationships/hyperlink" Target="https://digitalliverpool.sharepoint.com/sites/MUS/PGD%20Templates/Templates%20Under%20Review/Statement%20Response%20Lundstrom%20et%20al%20Progestogens%20and%20meningioma%20study%20(July%202026).pdf" TargetMode="External"/><Relationship Id="rId21" Type="http://schemas.openxmlformats.org/officeDocument/2006/relationships/hyperlink" Target="https://www.medicines.org.uk/emc" TargetMode="External"/><Relationship Id="rId34" Type="http://schemas.openxmlformats.org/officeDocument/2006/relationships/hyperlink" Target="https://www.cosrh.org/Common/Uploaded%20files/documents/fsrh-ceu-clinical-guideline-progestogen-only-pills-aug22-amended-11july-2023-.pdf" TargetMode="External"/><Relationship Id="rId42" Type="http://schemas.openxmlformats.org/officeDocument/2006/relationships/header" Target="header2.xml"/><Relationship Id="rId47" Type="http://schemas.openxmlformats.org/officeDocument/2006/relationships/customXml" Target="../customXml/item1.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www.medicines.org.uk/emc" TargetMode="External"/><Relationship Id="rId29" Type="http://schemas.openxmlformats.org/officeDocument/2006/relationships/hyperlink" Target="https://www.medicines.org.uk/emc" TargetMode="External"/><Relationship Id="rId11" Type="http://schemas.openxmlformats.org/officeDocument/2006/relationships/hyperlink" Target="https://www.e-lfh.org.uk/programmes/patient-group-directions/" TargetMode="External"/><Relationship Id="rId24" Type="http://schemas.openxmlformats.org/officeDocument/2006/relationships/hyperlink" Target="https://www.cosrh.org/Public/Standards-and-Guidance/Contraception-After-Pregnancy.aspx" TargetMode="External"/><Relationship Id="rId32" Type="http://schemas.openxmlformats.org/officeDocument/2006/relationships/hyperlink" Target="https://yellowcard.mhra.gov.uk/" TargetMode="External"/><Relationship Id="rId37" Type="http://schemas.openxmlformats.org/officeDocument/2006/relationships/hyperlink" Target="https://www.fsrh.org/Public/Documents/ceu-clinical-guidance-drug-interactions-with-hormonal.aspx" TargetMode="External"/><Relationship Id="rId40" Type="http://schemas.openxmlformats.org/officeDocument/2006/relationships/hyperlink" Target="https://www.cosrh.org/Public/Documents/FSRH-statement-Use-of-desogestrel-and-risk-of-intracranial-meningioma.asp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dicines.org.uk/" TargetMode="External"/><Relationship Id="rId23" Type="http://schemas.openxmlformats.org/officeDocument/2006/relationships/hyperlink" Target="https://www.cosrh.org/Public/Standards-and-Guidance/Switching-or-Starting-Methods-of-Contraception.aspx" TargetMode="External"/><Relationship Id="rId28" Type="http://schemas.openxmlformats.org/officeDocument/2006/relationships/hyperlink" Target="https://www.fsrh.org/Public/Documents/ceu-clinical-guidance-drug-interactions-with-hormonal.aspx" TargetMode="External"/><Relationship Id="rId36" Type="http://schemas.openxmlformats.org/officeDocument/2006/relationships/hyperlink" Target="https://www.nice.org.uk/guidance/mpg2" TargetMode="External"/><Relationship Id="rId49" Type="http://schemas.openxmlformats.org/officeDocument/2006/relationships/customXml" Target="../customXml/item3.xml"/><Relationship Id="rId10" Type="http://schemas.openxmlformats.org/officeDocument/2006/relationships/hyperlink" Target="https://www.legislation.gov.uk/uksi/2012/1916/schedule/16" TargetMode="External"/><Relationship Id="rId19" Type="http://schemas.openxmlformats.org/officeDocument/2006/relationships/hyperlink" Target="https://www.medicines.org.uk/emc" TargetMode="External"/><Relationship Id="rId31" Type="http://schemas.openxmlformats.org/officeDocument/2006/relationships/hyperlink" Target="https://bnf.nice.org.uk/"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ice.org.uk/guidance/mpg2/chapter/Recommendations" TargetMode="External"/><Relationship Id="rId14" Type="http://schemas.openxmlformats.org/officeDocument/2006/relationships/hyperlink" Target="https://bnf.nice.org.uk/" TargetMode="External"/><Relationship Id="rId22" Type="http://schemas.openxmlformats.org/officeDocument/2006/relationships/hyperlink" Target="https://www.cosrh.org/Common/Uploaded%20files/documents/fsrh-guideline-combined-hormonal-contraception-october-2023.pdf" TargetMode="External"/><Relationship Id="rId27" Type="http://schemas.openxmlformats.org/officeDocument/2006/relationships/hyperlink" Target="https://bnf.nice.org.uk/" TargetMode="External"/><Relationship Id="rId30" Type="http://schemas.openxmlformats.org/officeDocument/2006/relationships/hyperlink" Target="https://www.medicines.org.uk/emc" TargetMode="External"/><Relationship Id="rId35" Type="http://schemas.openxmlformats.org/officeDocument/2006/relationships/hyperlink" Target="https://www.medicines.org.uk/emc"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hyperlink" Target="https://www.nice.org.uk/Guidance/MPG2" TargetMode="External"/><Relationship Id="rId3" Type="http://schemas.openxmlformats.org/officeDocument/2006/relationships/settings" Target="settings.xml"/><Relationship Id="rId12" Type="http://schemas.openxmlformats.org/officeDocument/2006/relationships/hyperlink" Target="https://www.nice.org.uk/guidance/mpg2/resources" TargetMode="External"/><Relationship Id="rId17"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25" Type="http://schemas.openxmlformats.org/officeDocument/2006/relationships/hyperlink" Target="https://www.medicines.org.uk/emc" TargetMode="External"/><Relationship Id="rId33" Type="http://schemas.openxmlformats.org/officeDocument/2006/relationships/hyperlink" Target="https://www.fsrh.org/Common/Uploaded%20files/documents/fsrh-ceu-clinical-guideline-progestogen-only-pills-aug22-amended-11july-2023-.pdf" TargetMode="External"/><Relationship Id="rId38" Type="http://schemas.openxmlformats.org/officeDocument/2006/relationships/hyperlink" Target="https://www.fsrh.org/Public/Documents/fsrh-clinical-guidance-quick-starting-contraception-april-2017.aspx" TargetMode="External"/><Relationship Id="rId46" Type="http://schemas.openxmlformats.org/officeDocument/2006/relationships/theme" Target="theme/theme1.xml"/><Relationship Id="rId20" Type="http://schemas.openxmlformats.org/officeDocument/2006/relationships/hyperlink" Target="https://products.mhra.gov.u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2026-07-22T23:00:00+00:00</PublishedDate>
    <Accessibletemplate xmlns="f161132f-3af4-47f5-b28f-8075dccddbe8">true</Accessibletemplate>
    <ExpiryDate xmlns="f161132f-3af4-47f5-b28f-8075dccddbe8">2029-03-30T23:00:00+00:00</ExpiryDate>
    <Effectivefromdate xmlns="f161132f-3af4-47f5-b28f-8075dccddbe8">2026-03-31T23:00:00+00:00</Effectivefromdate>
    <_ApprovalStatus xmlns="f161132f-3af4-47f5-b28f-8075dccddbe8">0</_ApprovalStatus>
    <Versionnumber xmlns="f161132f-3af4-47f5-b28f-8075dccddbe8">3.1</Versionnumber>
    <Reviewcompleted xmlns="f161132f-3af4-47f5-b28f-8075dccddbe8" xsi:nil="true"/>
    <ReviewDate xmlns="f161132f-3af4-47f5-b28f-8075dccddbe8">2028-08-31T23:00:00+00:00</ReviewDate>
    <_ApprovalRespondedBy xmlns="f161132f-3af4-47f5-b28f-8075dccddbe8">
      <UserInfo>
        <DisplayName/>
        <AccountId xsi:nil="true"/>
        <AccountType/>
      </UserInfo>
    </_ApprovalRespondedBy>
    <ProgrammeBoardMeeting xmlns="f161132f-3af4-47f5-b28f-8075dccddbe8">2028-10-18T23:00:00+00:00</ProgrammeBoardMeeting>
    <Cardcreated xmlns="f161132f-3af4-47f5-b28f-8075dccddbe8">
      <Url>https://digitalliverpool.sharepoint.com/sites/SPSDigital/Lists/Content%20Directory/DispForm.aspx?ID=2882</Url>
      <Description>POP card</Description>
    </Cardcreated>
  </documentManagement>
</p:properties>
</file>

<file path=customXml/itemProps1.xml><?xml version="1.0" encoding="utf-8"?>
<ds:datastoreItem xmlns:ds="http://schemas.openxmlformats.org/officeDocument/2006/customXml" ds:itemID="{E0D5E114-2A5D-4F80-B062-EFB1B49B6FE8}"/>
</file>

<file path=customXml/itemProps2.xml><?xml version="1.0" encoding="utf-8"?>
<ds:datastoreItem xmlns:ds="http://schemas.openxmlformats.org/officeDocument/2006/customXml" ds:itemID="{50EF1709-3407-47B7-9A1F-05D16FEBF64E}"/>
</file>

<file path=customXml/itemProps3.xml><?xml version="1.0" encoding="utf-8"?>
<ds:datastoreItem xmlns:ds="http://schemas.openxmlformats.org/officeDocument/2006/customXml" ds:itemID="{FA787E23-83B7-4392-A76B-E274C793E545}"/>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32758</CharactersWithSpaces>
  <SharedDoc>false</SharedDoc>
  <HLinks>
    <vt:vector size="282" baseType="variant">
      <vt:variant>
        <vt:i4>6750242</vt:i4>
      </vt:variant>
      <vt:variant>
        <vt:i4>138</vt:i4>
      </vt:variant>
      <vt:variant>
        <vt:i4>0</vt:i4>
      </vt:variant>
      <vt:variant>
        <vt:i4>5</vt:i4>
      </vt:variant>
      <vt:variant>
        <vt:lpwstr>https://fsrh.org/Common/Uploaded files/documents/Use-of-desogestrel-and-risk-of-intracranial-meningioma.pdf</vt:lpwstr>
      </vt:variant>
      <vt:variant>
        <vt:lpwstr/>
      </vt:variant>
      <vt:variant>
        <vt:i4>3539055</vt:i4>
      </vt:variant>
      <vt:variant>
        <vt:i4>135</vt:i4>
      </vt:variant>
      <vt:variant>
        <vt:i4>0</vt:i4>
      </vt:variant>
      <vt:variant>
        <vt:i4>5</vt:i4>
      </vt:variant>
      <vt:variant>
        <vt:lpwstr>https://fsrh.org/Common/Uploaded files/documents/Patient-information-GLP-1-agonists-and-contraception.pdf?_gl=1*1rbmy9o*_ga*MTI1NTg5ODU4Ny4xNzEzNTE2Njg4*_ga_S2TDH89J5C*MTc0MTk0NjQyOS42OC4xLjE3NDE5NDY0OTcuMC4wLjA.</vt:lpwstr>
      </vt:variant>
      <vt:variant>
        <vt:lpwstr/>
      </vt:variant>
      <vt:variant>
        <vt:i4>4915226</vt:i4>
      </vt:variant>
      <vt:variant>
        <vt:i4>132</vt:i4>
      </vt:variant>
      <vt:variant>
        <vt:i4>0</vt:i4>
      </vt:variant>
      <vt:variant>
        <vt:i4>5</vt:i4>
      </vt:variant>
      <vt:variant>
        <vt:lpwstr>https://fsrh.org/Common/Uploaded files/documents/CEU-statement-GLP-1-agonists-and-contraception.pdf?_gl=1*1ai7lsa*_ga*MTI1NTg5ODU4Ny4xNzEzNTE2Njg4*_ga_S2TDH89J5C*MTc0MTk0NjQyOS42OC4xLjE3NDE5NDY0OTQuMC4wLjA.</vt:lpwstr>
      </vt:variant>
      <vt:variant>
        <vt:lpwstr/>
      </vt:variant>
      <vt:variant>
        <vt:i4>4194395</vt:i4>
      </vt:variant>
      <vt:variant>
        <vt:i4>129</vt:i4>
      </vt:variant>
      <vt:variant>
        <vt:i4>0</vt:i4>
      </vt:variant>
      <vt:variant>
        <vt:i4>5</vt:i4>
      </vt:variant>
      <vt:variant>
        <vt:lpwstr>https://www.fsrh.org/Public/Documents/response-to-study-on-use-of-chc-and-poc-and-breast-cancer.aspx</vt:lpwstr>
      </vt:variant>
      <vt:variant>
        <vt:lpwstr/>
      </vt:variant>
      <vt:variant>
        <vt:i4>5570573</vt:i4>
      </vt:variant>
      <vt:variant>
        <vt:i4>126</vt:i4>
      </vt:variant>
      <vt:variant>
        <vt:i4>0</vt:i4>
      </vt:variant>
      <vt:variant>
        <vt:i4>5</vt:i4>
      </vt:variant>
      <vt:variant>
        <vt:lpwstr>https://www.fsrh.org/Public/Documents/fsrh-ceu-statement-drospirenone-progestogen-only-pill-drsp-pop.aspx?WebsiteKey=f858b086-d221-4a83-9688-824162920b1b</vt:lpwstr>
      </vt:variant>
      <vt:variant>
        <vt:lpwstr/>
      </vt:variant>
      <vt:variant>
        <vt:i4>2752556</vt:i4>
      </vt:variant>
      <vt:variant>
        <vt:i4>123</vt:i4>
      </vt:variant>
      <vt:variant>
        <vt:i4>0</vt:i4>
      </vt:variant>
      <vt:variant>
        <vt:i4>5</vt:i4>
      </vt:variant>
      <vt:variant>
        <vt:lpwstr>https://www.cosrh.org/Public/Standards-and-Guidance/Switching-or-Starting-Methods-of-Contraception.aspx</vt:lpwstr>
      </vt:variant>
      <vt:variant>
        <vt:lpwstr/>
      </vt:variant>
      <vt:variant>
        <vt:i4>5767238</vt:i4>
      </vt:variant>
      <vt:variant>
        <vt:i4>120</vt:i4>
      </vt:variant>
      <vt:variant>
        <vt:i4>0</vt:i4>
      </vt:variant>
      <vt:variant>
        <vt:i4>5</vt:i4>
      </vt:variant>
      <vt:variant>
        <vt:lpwstr>https://www.fsrh.org/Public/Documents/fsrh-clinical-guidance-quick-starting-contraception-april-2017.aspx</vt:lpwstr>
      </vt:variant>
      <vt:variant>
        <vt:lpwstr/>
      </vt:variant>
      <vt:variant>
        <vt:i4>5111838</vt:i4>
      </vt:variant>
      <vt:variant>
        <vt:i4>117</vt:i4>
      </vt:variant>
      <vt:variant>
        <vt:i4>0</vt:i4>
      </vt:variant>
      <vt:variant>
        <vt:i4>5</vt:i4>
      </vt:variant>
      <vt:variant>
        <vt:lpwstr>https://www.fsrh.org/Public/Public/Standards-and-Guidance/uk-medical-eligibility-criteria-for-contraceptive-use-ukmec.aspx?hkey=82727ce6-756b-4b88-a5ab-acaf27c48669</vt:lpwstr>
      </vt:variant>
      <vt:variant>
        <vt:lpwstr/>
      </vt:variant>
      <vt:variant>
        <vt:i4>131146</vt:i4>
      </vt:variant>
      <vt:variant>
        <vt:i4>114</vt:i4>
      </vt:variant>
      <vt:variant>
        <vt:i4>0</vt:i4>
      </vt:variant>
      <vt:variant>
        <vt:i4>5</vt:i4>
      </vt:variant>
      <vt:variant>
        <vt:lpwstr>https://www.fsrh.org/Public/Documents/fsrh-guideline-combined-hormonal-contraception.aspx</vt:lpwstr>
      </vt:variant>
      <vt:variant>
        <vt:lpwstr/>
      </vt:variant>
      <vt:variant>
        <vt:i4>4980744</vt:i4>
      </vt:variant>
      <vt:variant>
        <vt:i4>111</vt:i4>
      </vt:variant>
      <vt:variant>
        <vt:i4>0</vt:i4>
      </vt:variant>
      <vt:variant>
        <vt:i4>5</vt:i4>
      </vt:variant>
      <vt:variant>
        <vt:lpwstr>https://www.fsrh.org/Public/Documents/ceu-clinical-guidance-drug-interactions-with-hormonal.aspx</vt:lpwstr>
      </vt:variant>
      <vt:variant>
        <vt:lpwstr/>
      </vt:variant>
      <vt:variant>
        <vt:i4>3538996</vt:i4>
      </vt:variant>
      <vt:variant>
        <vt:i4>108</vt:i4>
      </vt:variant>
      <vt:variant>
        <vt:i4>0</vt:i4>
      </vt:variant>
      <vt:variant>
        <vt:i4>5</vt:i4>
      </vt:variant>
      <vt:variant>
        <vt:lpwstr>https://www.cosrh.org/Common/Uploaded files/documents/fsrh-ceu-clinical-guideline-progestogen-only-pills-aug22-amended-11july-2023-.pdf</vt:lpwstr>
      </vt:variant>
      <vt:variant>
        <vt:lpwstr/>
      </vt:variant>
      <vt:variant>
        <vt:i4>393223</vt:i4>
      </vt:variant>
      <vt:variant>
        <vt:i4>105</vt:i4>
      </vt:variant>
      <vt:variant>
        <vt:i4>0</vt:i4>
      </vt:variant>
      <vt:variant>
        <vt:i4>5</vt:i4>
      </vt:variant>
      <vt:variant>
        <vt:lpwstr>https://www.nice.org.uk/guidance/mpg2</vt:lpwstr>
      </vt:variant>
      <vt:variant>
        <vt:lpwstr/>
      </vt:variant>
      <vt:variant>
        <vt:i4>983120</vt:i4>
      </vt:variant>
      <vt:variant>
        <vt:i4>102</vt:i4>
      </vt:variant>
      <vt:variant>
        <vt:i4>0</vt:i4>
      </vt:variant>
      <vt:variant>
        <vt:i4>5</vt:i4>
      </vt:variant>
      <vt:variant>
        <vt:lpwstr>https://bnf.nice.org.uk/</vt:lpwstr>
      </vt:variant>
      <vt:variant>
        <vt:lpwstr/>
      </vt:variant>
      <vt:variant>
        <vt:i4>5701640</vt:i4>
      </vt:variant>
      <vt:variant>
        <vt:i4>99</vt:i4>
      </vt:variant>
      <vt:variant>
        <vt:i4>0</vt:i4>
      </vt:variant>
      <vt:variant>
        <vt:i4>5</vt:i4>
      </vt:variant>
      <vt:variant>
        <vt:lpwstr>https://www.medicines.org.uk/emc</vt:lpwstr>
      </vt:variant>
      <vt:variant>
        <vt:lpwstr/>
      </vt:variant>
      <vt:variant>
        <vt:i4>589841</vt:i4>
      </vt:variant>
      <vt:variant>
        <vt:i4>96</vt:i4>
      </vt:variant>
      <vt:variant>
        <vt:i4>0</vt:i4>
      </vt:variant>
      <vt:variant>
        <vt:i4>5</vt:i4>
      </vt:variant>
      <vt:variant>
        <vt:lpwstr/>
      </vt:variant>
      <vt:variant>
        <vt:lpwstr>Cautions</vt:lpwstr>
      </vt:variant>
      <vt:variant>
        <vt:i4>3538996</vt:i4>
      </vt:variant>
      <vt:variant>
        <vt:i4>93</vt:i4>
      </vt:variant>
      <vt:variant>
        <vt:i4>0</vt:i4>
      </vt:variant>
      <vt:variant>
        <vt:i4>5</vt:i4>
      </vt:variant>
      <vt:variant>
        <vt:lpwstr>https://www.cosrh.org/Common/Uploaded files/documents/fsrh-ceu-clinical-guideline-progestogen-only-pills-aug22-amended-11july-2023-.pdf</vt:lpwstr>
      </vt:variant>
      <vt:variant>
        <vt:lpwstr/>
      </vt:variant>
      <vt:variant>
        <vt:i4>3735607</vt:i4>
      </vt:variant>
      <vt:variant>
        <vt:i4>90</vt:i4>
      </vt:variant>
      <vt:variant>
        <vt:i4>0</vt:i4>
      </vt:variant>
      <vt:variant>
        <vt:i4>5</vt:i4>
      </vt:variant>
      <vt:variant>
        <vt:lpwstr>https://www.fsrh.org/Common/Uploaded files/documents/fsrh-ceu-clinical-guideline-progestogen-only-pills-aug22-amended-11july-2023-.pdf</vt:lpwstr>
      </vt:variant>
      <vt:variant>
        <vt:lpwstr/>
      </vt:variant>
      <vt:variant>
        <vt:i4>7405672</vt:i4>
      </vt:variant>
      <vt:variant>
        <vt:i4>87</vt:i4>
      </vt:variant>
      <vt:variant>
        <vt:i4>0</vt:i4>
      </vt:variant>
      <vt:variant>
        <vt:i4>5</vt:i4>
      </vt:variant>
      <vt:variant>
        <vt:lpwstr>https://yellowcard.mhra.gov.uk/</vt:lpwstr>
      </vt:variant>
      <vt:variant>
        <vt:lpwstr/>
      </vt:variant>
      <vt:variant>
        <vt:i4>983120</vt:i4>
      </vt:variant>
      <vt:variant>
        <vt:i4>84</vt:i4>
      </vt:variant>
      <vt:variant>
        <vt:i4>0</vt:i4>
      </vt:variant>
      <vt:variant>
        <vt:i4>5</vt:i4>
      </vt:variant>
      <vt:variant>
        <vt:lpwstr>https://bnf.nice.org.uk/</vt:lpwstr>
      </vt:variant>
      <vt:variant>
        <vt:lpwstr/>
      </vt:variant>
      <vt:variant>
        <vt:i4>5701640</vt:i4>
      </vt:variant>
      <vt:variant>
        <vt:i4>80</vt:i4>
      </vt:variant>
      <vt:variant>
        <vt:i4>0</vt:i4>
      </vt:variant>
      <vt:variant>
        <vt:i4>5</vt:i4>
      </vt:variant>
      <vt:variant>
        <vt:lpwstr>https://www.medicines.org.uk/emc</vt:lpwstr>
      </vt:variant>
      <vt:variant>
        <vt:lpwstr/>
      </vt:variant>
      <vt:variant>
        <vt:i4>5701640</vt:i4>
      </vt:variant>
      <vt:variant>
        <vt:i4>78</vt:i4>
      </vt:variant>
      <vt:variant>
        <vt:i4>0</vt:i4>
      </vt:variant>
      <vt:variant>
        <vt:i4>5</vt:i4>
      </vt:variant>
      <vt:variant>
        <vt:lpwstr>https://www.medicines.org.uk/emc</vt:lpwstr>
      </vt:variant>
      <vt:variant>
        <vt:lpwstr/>
      </vt:variant>
      <vt:variant>
        <vt:i4>4980744</vt:i4>
      </vt:variant>
      <vt:variant>
        <vt:i4>75</vt:i4>
      </vt:variant>
      <vt:variant>
        <vt:i4>0</vt:i4>
      </vt:variant>
      <vt:variant>
        <vt:i4>5</vt:i4>
      </vt:variant>
      <vt:variant>
        <vt:lpwstr>https://www.fsrh.org/Public/Documents/ceu-clinical-guidance-drug-interactions-with-hormonal.aspx</vt:lpwstr>
      </vt:variant>
      <vt:variant>
        <vt:lpwstr/>
      </vt:variant>
      <vt:variant>
        <vt:i4>983120</vt:i4>
      </vt:variant>
      <vt:variant>
        <vt:i4>72</vt:i4>
      </vt:variant>
      <vt:variant>
        <vt:i4>0</vt:i4>
      </vt:variant>
      <vt:variant>
        <vt:i4>5</vt:i4>
      </vt:variant>
      <vt:variant>
        <vt:lpwstr>https://bnf.nice.org.uk/</vt:lpwstr>
      </vt:variant>
      <vt:variant>
        <vt:lpwstr/>
      </vt:variant>
      <vt:variant>
        <vt:i4>5701640</vt:i4>
      </vt:variant>
      <vt:variant>
        <vt:i4>69</vt:i4>
      </vt:variant>
      <vt:variant>
        <vt:i4>0</vt:i4>
      </vt:variant>
      <vt:variant>
        <vt:i4>5</vt:i4>
      </vt:variant>
      <vt:variant>
        <vt:lpwstr>https://www.medicines.org.uk/emc</vt:lpwstr>
      </vt:variant>
      <vt:variant>
        <vt:lpwstr/>
      </vt:variant>
      <vt:variant>
        <vt:i4>5701640</vt:i4>
      </vt:variant>
      <vt:variant>
        <vt:i4>66</vt:i4>
      </vt:variant>
      <vt:variant>
        <vt:i4>0</vt:i4>
      </vt:variant>
      <vt:variant>
        <vt:i4>5</vt:i4>
      </vt:variant>
      <vt:variant>
        <vt:lpwstr>https://www.medicines.org.uk/emc</vt:lpwstr>
      </vt:variant>
      <vt:variant>
        <vt:lpwstr/>
      </vt:variant>
      <vt:variant>
        <vt:i4>5570573</vt:i4>
      </vt:variant>
      <vt:variant>
        <vt:i4>63</vt:i4>
      </vt:variant>
      <vt:variant>
        <vt:i4>0</vt:i4>
      </vt:variant>
      <vt:variant>
        <vt:i4>5</vt:i4>
      </vt:variant>
      <vt:variant>
        <vt:lpwstr>https://www.fsrh.org/Public/Documents/fsrh-ceu-statement-drospirenone-progestogen-only-pill-drsp-pop.aspx?WebsiteKey=f858b086-d221-4a83-9688-824162920b1b</vt:lpwstr>
      </vt:variant>
      <vt:variant>
        <vt:lpwstr/>
      </vt:variant>
      <vt:variant>
        <vt:i4>3670142</vt:i4>
      </vt:variant>
      <vt:variant>
        <vt:i4>60</vt:i4>
      </vt:variant>
      <vt:variant>
        <vt:i4>0</vt:i4>
      </vt:variant>
      <vt:variant>
        <vt:i4>5</vt:i4>
      </vt:variant>
      <vt:variant>
        <vt:lpwstr>https://www.cosrh.org/Public/Standards-and-Guidance/Contraception-After-Pregnancy.aspx</vt:lpwstr>
      </vt:variant>
      <vt:variant>
        <vt:lpwstr/>
      </vt:variant>
      <vt:variant>
        <vt:i4>2752556</vt:i4>
      </vt:variant>
      <vt:variant>
        <vt:i4>57</vt:i4>
      </vt:variant>
      <vt:variant>
        <vt:i4>0</vt:i4>
      </vt:variant>
      <vt:variant>
        <vt:i4>5</vt:i4>
      </vt:variant>
      <vt:variant>
        <vt:lpwstr>https://www.cosrh.org/Public/Standards-and-Guidance/Switching-or-Starting-Methods-of-Contraception.aspx</vt:lpwstr>
      </vt:variant>
      <vt:variant>
        <vt:lpwstr/>
      </vt:variant>
      <vt:variant>
        <vt:i4>589896</vt:i4>
      </vt:variant>
      <vt:variant>
        <vt:i4>54</vt:i4>
      </vt:variant>
      <vt:variant>
        <vt:i4>0</vt:i4>
      </vt:variant>
      <vt:variant>
        <vt:i4>5</vt:i4>
      </vt:variant>
      <vt:variant>
        <vt:lpwstr>https://www.cosrh.org/Common/Uploaded files/documents/fsrh-guideline-combined-hormonal-contraception-october-2023.pdf</vt:lpwstr>
      </vt:variant>
      <vt:variant>
        <vt:lpwstr/>
      </vt:variant>
      <vt:variant>
        <vt:i4>458761</vt:i4>
      </vt:variant>
      <vt:variant>
        <vt:i4>51</vt:i4>
      </vt:variant>
      <vt:variant>
        <vt:i4>0</vt:i4>
      </vt:variant>
      <vt:variant>
        <vt:i4>5</vt:i4>
      </vt:variant>
      <vt:variant>
        <vt:lpwstr/>
      </vt:variant>
      <vt:variant>
        <vt:lpwstr>Drospirenone</vt:lpwstr>
      </vt:variant>
      <vt:variant>
        <vt:i4>6357117</vt:i4>
      </vt:variant>
      <vt:variant>
        <vt:i4>48</vt:i4>
      </vt:variant>
      <vt:variant>
        <vt:i4>0</vt:i4>
      </vt:variant>
      <vt:variant>
        <vt:i4>5</vt:i4>
      </vt:variant>
      <vt:variant>
        <vt:lpwstr/>
      </vt:variant>
      <vt:variant>
        <vt:lpwstr>Storage</vt:lpwstr>
      </vt:variant>
      <vt:variant>
        <vt:i4>5701640</vt:i4>
      </vt:variant>
      <vt:variant>
        <vt:i4>45</vt:i4>
      </vt:variant>
      <vt:variant>
        <vt:i4>0</vt:i4>
      </vt:variant>
      <vt:variant>
        <vt:i4>5</vt:i4>
      </vt:variant>
      <vt:variant>
        <vt:lpwstr>https://www.medicines.org.uk/emc</vt:lpwstr>
      </vt:variant>
      <vt:variant>
        <vt:lpwstr/>
      </vt:variant>
      <vt:variant>
        <vt:i4>786461</vt:i4>
      </vt:variant>
      <vt:variant>
        <vt:i4>42</vt:i4>
      </vt:variant>
      <vt:variant>
        <vt:i4>0</vt:i4>
      </vt:variant>
      <vt:variant>
        <vt:i4>5</vt:i4>
      </vt:variant>
      <vt:variant>
        <vt:lpwstr>https://products.mhra.gov.uk/</vt:lpwstr>
      </vt:variant>
      <vt:variant>
        <vt:lpwstr/>
      </vt:variant>
      <vt:variant>
        <vt:i4>5701640</vt:i4>
      </vt:variant>
      <vt:variant>
        <vt:i4>39</vt:i4>
      </vt:variant>
      <vt:variant>
        <vt:i4>0</vt:i4>
      </vt:variant>
      <vt:variant>
        <vt:i4>5</vt:i4>
      </vt:variant>
      <vt:variant>
        <vt:lpwstr>https://www.medicines.org.uk/emc</vt:lpwstr>
      </vt:variant>
      <vt:variant>
        <vt:lpwstr/>
      </vt:variant>
      <vt:variant>
        <vt:i4>4587610</vt:i4>
      </vt:variant>
      <vt:variant>
        <vt:i4>36</vt:i4>
      </vt:variant>
      <vt:variant>
        <vt:i4>0</vt:i4>
      </vt:variant>
      <vt:variant>
        <vt:i4>5</vt:i4>
      </vt:variant>
      <vt:variant>
        <vt:lpwstr>https://www.cosrh.org/Public/Documents/fsrh-ceu-statement-contraception-for-women-using-known-teratogenic-drugs.aspx</vt:lpwstr>
      </vt:variant>
      <vt:variant>
        <vt:lpwstr/>
      </vt:variant>
      <vt:variant>
        <vt:i4>1769559</vt:i4>
      </vt:variant>
      <vt:variant>
        <vt:i4>33</vt:i4>
      </vt:variant>
      <vt:variant>
        <vt:i4>0</vt:i4>
      </vt:variant>
      <vt:variant>
        <vt:i4>5</vt:i4>
      </vt:variant>
      <vt:variant>
        <vt:lpwstr>https://www.cosrh.org/Common/Uploaded files/documents/CEU-statement-GLP-1-agonists-and-contraception.pdf?_gl=1*1ai7lsa*_ga*MTI1NTg5ODU4Ny4xNzEzNTE2Njg4*_ga_S2TDH89J5C*MTc0MTk0NjQyOS42OC4xLjE3NDE5NDY0OTQuMC4wLjA.</vt:lpwstr>
      </vt:variant>
      <vt:variant>
        <vt:lpwstr/>
      </vt:variant>
      <vt:variant>
        <vt:i4>5701640</vt:i4>
      </vt:variant>
      <vt:variant>
        <vt:i4>30</vt:i4>
      </vt:variant>
      <vt:variant>
        <vt:i4>0</vt:i4>
      </vt:variant>
      <vt:variant>
        <vt:i4>5</vt:i4>
      </vt:variant>
      <vt:variant>
        <vt:lpwstr>https://www.medicines.org.uk/emc</vt:lpwstr>
      </vt:variant>
      <vt:variant>
        <vt:lpwstr/>
      </vt:variant>
      <vt:variant>
        <vt:i4>917577</vt:i4>
      </vt:variant>
      <vt:variant>
        <vt:i4>27</vt:i4>
      </vt:variant>
      <vt:variant>
        <vt:i4>0</vt:i4>
      </vt:variant>
      <vt:variant>
        <vt:i4>5</vt:i4>
      </vt:variant>
      <vt:variant>
        <vt:lpwstr>http://www.medicines.org.uk/</vt:lpwstr>
      </vt:variant>
      <vt:variant>
        <vt:lpwstr/>
      </vt:variant>
      <vt:variant>
        <vt:i4>983120</vt:i4>
      </vt:variant>
      <vt:variant>
        <vt:i4>24</vt:i4>
      </vt:variant>
      <vt:variant>
        <vt:i4>0</vt:i4>
      </vt:variant>
      <vt:variant>
        <vt:i4>5</vt:i4>
      </vt:variant>
      <vt:variant>
        <vt:lpwstr>https://bnf.nice.org.uk/</vt:lpwstr>
      </vt:variant>
      <vt:variant>
        <vt:lpwstr/>
      </vt:variant>
      <vt:variant>
        <vt:i4>5701640</vt:i4>
      </vt:variant>
      <vt:variant>
        <vt:i4>21</vt:i4>
      </vt:variant>
      <vt:variant>
        <vt:i4>0</vt:i4>
      </vt:variant>
      <vt:variant>
        <vt:i4>5</vt:i4>
      </vt:variant>
      <vt:variant>
        <vt:lpwstr>https://www.medicines.org.uk/emc</vt:lpwstr>
      </vt:variant>
      <vt:variant>
        <vt:lpwstr/>
      </vt:variant>
      <vt:variant>
        <vt:i4>3407906</vt:i4>
      </vt:variant>
      <vt:variant>
        <vt:i4>18</vt:i4>
      </vt:variant>
      <vt:variant>
        <vt:i4>0</vt:i4>
      </vt:variant>
      <vt:variant>
        <vt:i4>5</vt:i4>
      </vt:variant>
      <vt:variant>
        <vt:lpwstr>https://www.nice.org.uk/guidance/mpg2/resources</vt:lpwstr>
      </vt:variant>
      <vt:variant>
        <vt:lpwstr/>
      </vt:variant>
      <vt:variant>
        <vt:i4>5570566</vt:i4>
      </vt:variant>
      <vt:variant>
        <vt:i4>15</vt:i4>
      </vt:variant>
      <vt:variant>
        <vt:i4>0</vt:i4>
      </vt:variant>
      <vt:variant>
        <vt:i4>5</vt:i4>
      </vt:variant>
      <vt:variant>
        <vt:lpwstr>https://www.e-lfh.org.uk/programmes/patient-group-directions/</vt:lpwstr>
      </vt:variant>
      <vt:variant>
        <vt:lpwstr/>
      </vt:variant>
      <vt:variant>
        <vt:i4>1310728</vt:i4>
      </vt:variant>
      <vt:variant>
        <vt:i4>12</vt:i4>
      </vt:variant>
      <vt:variant>
        <vt:i4>0</vt:i4>
      </vt:variant>
      <vt:variant>
        <vt:i4>5</vt:i4>
      </vt:variant>
      <vt:variant>
        <vt:lpwstr>https://www.legislation.gov.uk/uksi/2012/1916/schedule/16</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5505113</vt:i4>
      </vt:variant>
      <vt:variant>
        <vt:i4>3</vt:i4>
      </vt:variant>
      <vt:variant>
        <vt:i4>0</vt:i4>
      </vt:variant>
      <vt:variant>
        <vt:i4>5</vt:i4>
      </vt:variant>
      <vt:variant>
        <vt:lpwstr>https://www.sps.nhs.uk/home/guidance/patient-group-directions-and-legal-mechanisms/national-pgd-protocol-and-written-instructions-templates/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